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377190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2"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124460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46"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41" w:lineRule="exact"/>
        <w:rPr>
          <w:sz w:val="24"/>
          <w:szCs w:val="24"/>
          <w:color w:val="auto"/>
        </w:rPr>
      </w:pPr>
    </w:p>
    <w:p>
      <w:pPr>
        <w:ind w:left="3470" w:right="2120" w:hanging="1360"/>
        <w:spacing w:after="0" w:line="286" w:lineRule="auto"/>
        <w:tabs>
          <w:tab w:leader="none" w:pos="232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6"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7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3470" w:right="2100" w:hanging="1367"/>
        <w:spacing w:after="0" w:line="286" w:lineRule="auto"/>
        <w:tabs>
          <w:tab w:leader="none" w:pos="2316"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04"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Commission File Number 001-32639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148590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56"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2"/>
          <w:szCs w:val="32"/>
          <w:b w:val="1"/>
          <w:bCs w:val="1"/>
          <w:color w:val="auto"/>
        </w:rPr>
        <w:t>TG THERAPEUTICS, INC.</w:t>
      </w:r>
    </w:p>
    <w:p>
      <w:pPr>
        <w:spacing w:after="0" w:line="45"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0230"/>
          </w:cols>
          <w:pgMar w:left="830" w:top="661" w:right="839" w:bottom="1440" w:gutter="0" w:footer="0" w:header="0"/>
        </w:sectPr>
      </w:pPr>
    </w:p>
    <w:p>
      <w:pPr>
        <w:spacing w:after="0" w:line="93" w:lineRule="exact"/>
        <w:rPr>
          <w:sz w:val="24"/>
          <w:szCs w:val="24"/>
          <w:color w:val="auto"/>
        </w:rPr>
      </w:pPr>
    </w:p>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63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36-3898269</w:t>
      </w:r>
    </w:p>
    <w:p>
      <w:pPr>
        <w:spacing w:after="0" w:line="3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93" w:lineRule="exact"/>
        <w:rPr>
          <w:sz w:val="24"/>
          <w:szCs w:val="24"/>
          <w:color w:val="auto"/>
        </w:rPr>
      </w:pPr>
    </w:p>
    <w:p>
      <w:pPr>
        <w:sectPr>
          <w:pgSz w:w="11900" w:h="16838" w:orient="portrait"/>
          <w:cols w:equalWidth="0" w:num="2">
            <w:col w:w="5550" w:space="720"/>
            <w:col w:w="3960"/>
          </w:cols>
          <w:pgMar w:left="830" w:top="661" w:right="839" w:bottom="1440" w:gutter="0" w:footer="0" w:header="0"/>
          <w:type w:val="continuous"/>
        </w:sect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3020 Carrington Mill Blvd, Suite 475</w:t>
      </w:r>
    </w:p>
    <w:p>
      <w:pPr>
        <w:spacing w:after="0" w:line="3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Morrisville, North Carolina 27560</w:t>
      </w:r>
    </w:p>
    <w:p>
      <w:pPr>
        <w:spacing w:after="0" w:line="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(Address including zip code of principal executive offices)</w:t>
      </w:r>
    </w:p>
    <w:p>
      <w:pPr>
        <w:spacing w:after="0" w:line="8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(212) 554-4484</w:t>
      </w:r>
    </w:p>
    <w:p>
      <w:pPr>
        <w:spacing w:after="0" w:line="3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72"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Class</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Exchange Name</w:t>
            </w:r>
          </w:p>
        </w:tc>
      </w:tr>
      <w:tr>
        <w:trPr>
          <w:trHeight w:val="210"/>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TGTX</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76" w:lineRule="exact"/>
        <w:rPr>
          <w:sz w:val="24"/>
          <w:szCs w:val="24"/>
          <w:color w:val="auto"/>
        </w:rPr>
      </w:pPr>
    </w:p>
    <w:p>
      <w:pPr>
        <w:jc w:val="both"/>
        <w:ind w:left="10" w:right="1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ind w:left="10" w:right="26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 w:lineRule="exact"/>
        <w:rPr>
          <w:sz w:val="24"/>
          <w:szCs w:val="24"/>
          <w:color w:val="auto"/>
        </w:rPr>
      </w:pPr>
    </w:p>
    <w:p>
      <w:pPr>
        <w:ind w:left="210" w:hanging="210"/>
        <w:spacing w:after="0" w:line="207" w:lineRule="exact"/>
        <w:tabs>
          <w:tab w:leader="none" w:pos="21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77" w:lineRule="exact"/>
        <w:rPr>
          <w:sz w:val="24"/>
          <w:szCs w:val="24"/>
          <w:color w:val="auto"/>
        </w:rPr>
      </w:pPr>
    </w:p>
    <w:p>
      <w:pPr>
        <w:ind w:left="10"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30"/>
          </w:cols>
          <w:pgMar w:left="830" w:top="661" w:right="839" w:bottom="1440" w:gutter="0" w:footer="0" w:header="0"/>
          <w:type w:val="continuous"/>
        </w:sectPr>
      </w:pPr>
    </w:p>
    <w:p>
      <w:pPr>
        <w:spacing w:after="0" w:line="39" w:lineRule="exact"/>
        <w:rPr>
          <w:sz w:val="24"/>
          <w:szCs w:val="24"/>
          <w:color w:val="auto"/>
        </w:rPr>
      </w:pPr>
    </w:p>
    <w:p>
      <w:pPr>
        <w:ind w:left="1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88" w:lineRule="exact"/>
        <w:rPr>
          <w:sz w:val="24"/>
          <w:szCs w:val="24"/>
          <w:color w:val="auto"/>
        </w:rPr>
      </w:pPr>
    </w:p>
    <w:p>
      <w:pPr>
        <w:sectPr>
          <w:pgSz w:w="11900" w:h="16838" w:orient="portrait"/>
          <w:cols w:equalWidth="0" w:num="2">
            <w:col w:w="8090" w:space="720"/>
            <w:col w:w="1420"/>
          </w:cols>
          <w:pgMar w:left="830" w:top="661" w:right="839" w:bottom="1440" w:gutter="0" w:footer="0" w:header="0"/>
          <w:type w:val="continuous"/>
        </w:sectPr>
      </w:pPr>
    </w:p>
    <w:p>
      <w:pPr>
        <w:ind w:left="1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88" w:lineRule="exact"/>
        <w:rPr>
          <w:sz w:val="24"/>
          <w:szCs w:val="24"/>
          <w:color w:val="auto"/>
        </w:rPr>
      </w:pPr>
    </w:p>
    <w:p>
      <w:pPr>
        <w:sectPr>
          <w:pgSz w:w="11900" w:h="16838" w:orient="portrait"/>
          <w:cols w:equalWidth="0" w:num="2">
            <w:col w:w="7330" w:space="720"/>
            <w:col w:w="2180"/>
          </w:cols>
          <w:pgMar w:left="830" w:top="661" w:right="839" w:bottom="1440" w:gutter="0" w:footer="0" w:header="0"/>
          <w:type w:val="continuous"/>
        </w:sectPr>
      </w:pPr>
    </w:p>
    <w:p>
      <w:pPr>
        <w:ind w:left="805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0230"/>
          </w:cols>
          <w:pgMar w:left="830" w:top="661" w:right="839" w:bottom="1440" w:gutter="0" w:footer="0" w:header="0"/>
          <w:type w:val="continuous"/>
        </w:sectPr>
      </w:pPr>
    </w:p>
    <w:p>
      <w:pPr>
        <w:spacing w:after="0" w:line="144" w:lineRule="exact"/>
        <w:rPr>
          <w:sz w:val="24"/>
          <w:szCs w:val="24"/>
          <w:color w:val="auto"/>
        </w:rPr>
      </w:pPr>
    </w:p>
    <w:p>
      <w:pPr>
        <w:ind w:left="10"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0"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color w:val="auto"/>
        </w:rPr>
        <w:t>Indicate by checkmark whether the registrant is a shell company (as defined in Rule 12b-2 of the Exchange Act).</w:t>
      </w:r>
    </w:p>
    <w:p>
      <w:pPr>
        <w:spacing w:after="0" w:line="27" w:lineRule="exact"/>
        <w:rPr>
          <w:sz w:val="24"/>
          <w:szCs w:val="24"/>
          <w:color w:val="auto"/>
        </w:rPr>
      </w:pPr>
    </w:p>
    <w:p>
      <w:pPr>
        <w:ind w:left="1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2"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color w:val="auto"/>
        </w:rPr>
        <w:t>There were 149,396,038 shares of the registrant’s common stock, $0.001 par value, outstanding as of May 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497205</wp:posOffset>
            </wp:positionV>
            <wp:extent cx="6497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 ENDED March 31, 2023</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40" w:type="dxa"/>
            <w:vAlign w:val="bottom"/>
            <w:gridSpan w:val="10"/>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20" w:type="dxa"/>
            <w:vAlign w:val="bottom"/>
          </w:tcPr>
          <w:p>
            <w:pPr>
              <w:spacing w:after="0"/>
              <w:rPr>
                <w:sz w:val="20"/>
                <w:szCs w:val="20"/>
                <w:color w:val="auto"/>
              </w:rPr>
            </w:pPr>
          </w:p>
        </w:tc>
      </w:tr>
      <w:tr>
        <w:trPr>
          <w:trHeight w:val="364"/>
        </w:trPr>
        <w:tc>
          <w:tcPr>
            <w:tcW w:w="79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SPECIAL CAUTIONARY NOTICE REGARDING FORWARD-LOOKING STATEMENTS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672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SUMMARY RISK FACTORS</w:t>
            </w:r>
          </w:p>
        </w:tc>
        <w:tc>
          <w:tcPr>
            <w:tcW w:w="1240" w:type="dxa"/>
            <w:vAlign w:val="bottom"/>
            <w:gridSpan w:val="3"/>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PART I</w:t>
            </w:r>
          </w:p>
        </w:tc>
        <w:tc>
          <w:tcPr>
            <w:tcW w:w="72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4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4"/>
              </w:rPr>
              <w:t>Item 1</w:t>
            </w:r>
          </w:p>
        </w:tc>
        <w:tc>
          <w:tcPr>
            <w:tcW w:w="60" w:type="dxa"/>
            <w:vAlign w:val="bottom"/>
            <w:tcBorders>
              <w:top w:val="single" w:sz="8" w:color="0000EE"/>
            </w:tcBorders>
            <w:gridSpan w:val="2"/>
          </w:tcPr>
          <w:p>
            <w:pPr>
              <w:spacing w:after="0"/>
              <w:rPr>
                <w:sz w:val="24"/>
                <w:szCs w:val="24"/>
                <w:color w:val="auto"/>
              </w:rPr>
            </w:pPr>
          </w:p>
        </w:tc>
        <w:tc>
          <w:tcPr>
            <w:tcW w:w="240" w:type="dxa"/>
            <w:vAlign w:val="bottom"/>
            <w:gridSpan w:val="2"/>
          </w:tcPr>
          <w:p>
            <w:pPr>
              <w:spacing w:after="0"/>
              <w:rPr>
                <w:sz w:val="24"/>
                <w:szCs w:val="24"/>
                <w:color w:val="auto"/>
              </w:rPr>
            </w:pPr>
          </w:p>
        </w:tc>
        <w:tc>
          <w:tcPr>
            <w:tcW w:w="15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700" w:type="dxa"/>
            <w:vAlign w:val="bottom"/>
            <w:tcBorders>
              <w:top w:val="single" w:sz="8" w:color="0000EE"/>
            </w:tcBorders>
            <w:gridSpan w:val="4"/>
          </w:tcPr>
          <w:p>
            <w:pPr>
              <w:spacing w:after="0"/>
              <w:rPr>
                <w:sz w:val="24"/>
                <w:szCs w:val="24"/>
                <w:color w:val="auto"/>
              </w:rPr>
            </w:pPr>
          </w:p>
        </w:tc>
        <w:tc>
          <w:tcPr>
            <w:tcW w:w="4940" w:type="dxa"/>
            <w:vAlign w:val="bottom"/>
            <w:gridSpan w:val="10"/>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426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(unaudited)</w:t>
            </w:r>
          </w:p>
        </w:tc>
        <w:tc>
          <w:tcPr>
            <w:tcW w:w="266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(unaudited)</w:t>
            </w:r>
          </w:p>
        </w:tc>
        <w:tc>
          <w:tcPr>
            <w:tcW w:w="1080" w:type="dxa"/>
            <w:vAlign w:val="bottom"/>
            <w:gridSpan w:val="2"/>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(unaudited)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4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4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Item 2</w:t>
            </w:r>
          </w:p>
        </w:tc>
        <w:tc>
          <w:tcPr>
            <w:tcW w:w="280" w:type="dxa"/>
            <w:vAlign w:val="bottom"/>
            <w:gridSpan w:val="3"/>
          </w:tcPr>
          <w:p>
            <w:pPr>
              <w:spacing w:after="0"/>
              <w:rPr>
                <w:sz w:val="24"/>
                <w:szCs w:val="24"/>
                <w:color w:val="auto"/>
              </w:rPr>
            </w:pPr>
          </w:p>
        </w:tc>
        <w:tc>
          <w:tcPr>
            <w:tcW w:w="64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7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12"/>
        </w:trPr>
        <w:tc>
          <w:tcPr>
            <w:tcW w:w="4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Item 3</w:t>
            </w:r>
          </w:p>
        </w:tc>
        <w:tc>
          <w:tcPr>
            <w:tcW w:w="280" w:type="dxa"/>
            <w:vAlign w:val="bottom"/>
            <w:gridSpan w:val="3"/>
          </w:tcPr>
          <w:p>
            <w:pPr>
              <w:spacing w:after="0"/>
              <w:rPr>
                <w:sz w:val="24"/>
                <w:szCs w:val="24"/>
                <w:color w:val="auto"/>
              </w:rPr>
            </w:pP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84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EE"/>
                <w:w w:val="94"/>
              </w:rPr>
              <w:t>Item 4</w:t>
            </w:r>
          </w:p>
        </w:tc>
        <w:tc>
          <w:tcPr>
            <w:tcW w:w="300" w:type="dxa"/>
            <w:vAlign w:val="bottom"/>
            <w:gridSpan w:val="4"/>
          </w:tcPr>
          <w:p>
            <w:pPr>
              <w:spacing w:after="0"/>
              <w:rPr>
                <w:sz w:val="24"/>
                <w:szCs w:val="24"/>
                <w:color w:val="auto"/>
              </w:rPr>
            </w:pPr>
          </w:p>
        </w:tc>
        <w:tc>
          <w:tcPr>
            <w:tcW w:w="72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86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PART II</w:t>
            </w:r>
          </w:p>
        </w:tc>
        <w:tc>
          <w:tcPr>
            <w:tcW w:w="72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2"/>
        </w:trPr>
        <w:tc>
          <w:tcPr>
            <w:tcW w:w="4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Item 1</w:t>
            </w:r>
          </w:p>
        </w:tc>
        <w:tc>
          <w:tcPr>
            <w:tcW w:w="100" w:type="dxa"/>
            <w:vAlign w:val="bottom"/>
            <w:tcBorders>
              <w:top w:val="single" w:sz="8" w:color="0000EE"/>
            </w:tcBorders>
            <w:gridSpan w:val="2"/>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540" w:type="dxa"/>
            <w:vAlign w:val="bottom"/>
            <w:tcBorders>
              <w:top w:val="single" w:sz="8" w:color="0000EE"/>
            </w:tcBorders>
            <w:gridSpan w:val="4"/>
          </w:tcPr>
          <w:p>
            <w:pPr>
              <w:spacing w:after="0"/>
              <w:rPr>
                <w:sz w:val="24"/>
                <w:szCs w:val="24"/>
                <w:color w:val="auto"/>
              </w:rPr>
            </w:pPr>
          </w:p>
        </w:tc>
        <w:tc>
          <w:tcPr>
            <w:tcW w:w="5320" w:type="dxa"/>
            <w:vAlign w:val="bottom"/>
            <w:gridSpan w:val="12"/>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2"/>
        </w:trPr>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1A</w:t>
            </w:r>
          </w:p>
        </w:tc>
        <w:tc>
          <w:tcPr>
            <w:tcW w:w="72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8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86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Item 2</w:t>
            </w:r>
          </w:p>
        </w:tc>
        <w:tc>
          <w:tcPr>
            <w:tcW w:w="1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72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412"/>
        </w:trPr>
        <w:tc>
          <w:tcPr>
            <w:tcW w:w="4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Item 3</w:t>
            </w:r>
          </w:p>
        </w:tc>
        <w:tc>
          <w:tcPr>
            <w:tcW w:w="280" w:type="dxa"/>
            <w:vAlign w:val="bottom"/>
            <w:gridSpan w:val="3"/>
          </w:tcPr>
          <w:p>
            <w:pPr>
              <w:spacing w:after="0"/>
              <w:rPr>
                <w:sz w:val="24"/>
                <w:szCs w:val="24"/>
                <w:color w:val="auto"/>
              </w:rPr>
            </w:pPr>
          </w:p>
        </w:tc>
        <w:tc>
          <w:tcPr>
            <w:tcW w:w="208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Defaults of Senior Securities</w:t>
            </w:r>
          </w:p>
        </w:tc>
        <w:tc>
          <w:tcPr>
            <w:tcW w:w="2260" w:type="dxa"/>
            <w:vAlign w:val="bottom"/>
            <w:tcBorders>
              <w:top w:val="single" w:sz="8" w:color="0000EE"/>
            </w:tcBorders>
            <w:gridSpan w:val="3"/>
          </w:tcPr>
          <w:p>
            <w:pPr>
              <w:spacing w:after="0"/>
              <w:rPr>
                <w:sz w:val="24"/>
                <w:szCs w:val="24"/>
                <w:color w:val="auto"/>
              </w:rPr>
            </w:pPr>
          </w:p>
        </w:tc>
        <w:tc>
          <w:tcPr>
            <w:tcW w:w="286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412"/>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Item 4</w:t>
            </w:r>
          </w:p>
        </w:tc>
        <w:tc>
          <w:tcPr>
            <w:tcW w:w="280" w:type="dxa"/>
            <w:vAlign w:val="bottom"/>
            <w:gridSpan w:val="3"/>
          </w:tcPr>
          <w:p>
            <w:pPr>
              <w:spacing w:after="0"/>
              <w:rPr>
                <w:sz w:val="24"/>
                <w:szCs w:val="24"/>
                <w:color w:val="auto"/>
              </w:rPr>
            </w:pPr>
          </w:p>
        </w:tc>
        <w:tc>
          <w:tcPr>
            <w:tcW w:w="72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412"/>
        </w:trPr>
        <w:tc>
          <w:tcPr>
            <w:tcW w:w="4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Item 5</w:t>
            </w:r>
          </w:p>
        </w:tc>
        <w:tc>
          <w:tcPr>
            <w:tcW w:w="280" w:type="dxa"/>
            <w:vAlign w:val="bottom"/>
            <w:gridSpan w:val="3"/>
          </w:tcPr>
          <w:p>
            <w:pPr>
              <w:spacing w:after="0"/>
              <w:rPr>
                <w:sz w:val="24"/>
                <w:szCs w:val="24"/>
                <w:color w:val="auto"/>
              </w:rPr>
            </w:pPr>
          </w:p>
        </w:tc>
        <w:tc>
          <w:tcPr>
            <w:tcW w:w="13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4"/>
          </w:tcPr>
          <w:p>
            <w:pPr>
              <w:spacing w:after="0"/>
              <w:rPr>
                <w:sz w:val="24"/>
                <w:szCs w:val="24"/>
                <w:color w:val="auto"/>
              </w:rPr>
            </w:pPr>
          </w:p>
        </w:tc>
        <w:tc>
          <w:tcPr>
            <w:tcW w:w="5440" w:type="dxa"/>
            <w:vAlign w:val="bottom"/>
            <w:gridSpan w:val="13"/>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412"/>
        </w:trPr>
        <w:tc>
          <w:tcPr>
            <w:tcW w:w="4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Item 6</w:t>
            </w:r>
          </w:p>
        </w:tc>
        <w:tc>
          <w:tcPr>
            <w:tcW w:w="280" w:type="dxa"/>
            <w:vAlign w:val="bottom"/>
            <w:gridSpan w:val="3"/>
          </w:tcPr>
          <w:p>
            <w:pPr>
              <w:spacing w:after="0"/>
              <w:rPr>
                <w:sz w:val="24"/>
                <w:szCs w:val="24"/>
                <w:color w:val="auto"/>
              </w:rPr>
            </w:pPr>
          </w:p>
        </w:tc>
        <w:tc>
          <w:tcPr>
            <w:tcW w:w="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6600" w:type="dxa"/>
            <w:vAlign w:val="bottom"/>
            <w:gridSpan w:val="19"/>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SPECIAL CAUTIONARY NOTICE REGARDING FORWARD-LOOKING STATEMENTS</w:t>
      </w:r>
    </w:p>
    <w:p>
      <w:pPr>
        <w:spacing w:after="0" w:line="20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7"/>
          <w:szCs w:val="17"/>
          <w:color w:val="auto"/>
        </w:rPr>
        <w:t>Certain matters discussed in this report, including matters discussed under the captions “Business” and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23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7"/>
          <w:szCs w:val="17"/>
          <w:color w:val="auto"/>
        </w:rPr>
        <w:t>All written or oral forward-looking statements attributable to us are expressly qualified in their entirety by these cautionary statements. In addition, with respect to all of our forward-looking statements, we claim the protection of the safe harbor for forward-looking statements contained in the Private Securities Litigation Reform Act of 1995. Such forward-looking statements include, but are not limited to, statements about:</w:t>
      </w:r>
    </w:p>
    <w:p>
      <w:pPr>
        <w:jc w:val="both"/>
        <w:ind w:left="760" w:right="79" w:hanging="359"/>
        <w:spacing w:after="0" w:line="214" w:lineRule="auto"/>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regulatory approvals for our product candidates, including TG-1701 and TG-1801, as well as any other product candidates, and our ability to maintain regulatory approval of BRIUMVI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(ublituximab-xiiy) in relapsing forms of multiple sclerosis (RMS) in the U.S.;</w:t>
      </w:r>
    </w:p>
    <w:p>
      <w:pPr>
        <w:spacing w:after="0" w:line="2" w:lineRule="exact"/>
        <w:rPr>
          <w:rFonts w:ascii="Times New Roman" w:cs="Times New Roman" w:eastAsia="Times New Roman" w:hAnsi="Times New Roman"/>
          <w:sz w:val="17"/>
          <w:szCs w:val="17"/>
          <w:color w:val="auto"/>
        </w:rPr>
      </w:pPr>
    </w:p>
    <w:p>
      <w:pPr>
        <w:ind w:left="760" w:right="79" w:hanging="359"/>
        <w:spacing w:after="0" w:line="248" w:lineRule="auto"/>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adapt and expand our commercial infrastructure to successfully launch, market and sell BRIUMVI and our other product candidates;</w:t>
      </w:r>
    </w:p>
    <w:p>
      <w:pPr>
        <w:spacing w:after="0" w:line="1" w:lineRule="exact"/>
        <w:rPr>
          <w:rFonts w:ascii="Times New Roman" w:cs="Times New Roman" w:eastAsia="Times New Roman" w:hAnsi="Times New Roman"/>
          <w:sz w:val="17"/>
          <w:szCs w:val="17"/>
          <w:color w:val="auto"/>
        </w:rPr>
      </w:pPr>
    </w:p>
    <w:p>
      <w:pPr>
        <w:ind w:left="760" w:hanging="359"/>
        <w:spacing w:after="0"/>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 reliable supply of our products that meets market demand;</w:t>
      </w:r>
    </w:p>
    <w:p>
      <w:pPr>
        <w:spacing w:after="0" w:line="7" w:lineRule="exact"/>
        <w:rPr>
          <w:rFonts w:ascii="Times New Roman" w:cs="Times New Roman" w:eastAsia="Times New Roman" w:hAnsi="Times New Roman"/>
          <w:sz w:val="17"/>
          <w:szCs w:val="17"/>
          <w:color w:val="auto"/>
        </w:rPr>
      </w:pPr>
    </w:p>
    <w:p>
      <w:pPr>
        <w:ind w:left="760" w:right="79" w:hanging="359"/>
        <w:spacing w:after="0" w:line="248" w:lineRule="auto"/>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the ongoing commercialization of BRIUMVI or any future products or combinations of products, including the anticipated rate and degree of market acceptance and pricing and reimbursement;</w:t>
      </w:r>
    </w:p>
    <w:p>
      <w:pPr>
        <w:spacing w:after="0" w:line="1" w:lineRule="exact"/>
        <w:rPr>
          <w:rFonts w:ascii="Times New Roman" w:cs="Times New Roman" w:eastAsia="Times New Roman" w:hAnsi="Times New Roman"/>
          <w:sz w:val="17"/>
          <w:szCs w:val="17"/>
          <w:color w:val="auto"/>
        </w:rPr>
      </w:pPr>
    </w:p>
    <w:p>
      <w:pPr>
        <w:ind w:left="760" w:hanging="359"/>
        <w:spacing w:after="0"/>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initiation, timing, progress and results of our pre-clinical studies and clinical trials;</w:t>
      </w:r>
    </w:p>
    <w:p>
      <w:pPr>
        <w:spacing w:after="0" w:line="7" w:lineRule="exact"/>
        <w:rPr>
          <w:rFonts w:ascii="Times New Roman" w:cs="Times New Roman" w:eastAsia="Times New Roman" w:hAnsi="Times New Roman"/>
          <w:sz w:val="17"/>
          <w:szCs w:val="17"/>
          <w:color w:val="auto"/>
        </w:rPr>
      </w:pPr>
    </w:p>
    <w:p>
      <w:pPr>
        <w:ind w:left="760" w:hanging="359"/>
        <w:spacing w:after="0"/>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advance drug candidates into, and successfully complete, clinical trials;</w:t>
      </w:r>
    </w:p>
    <w:p>
      <w:pPr>
        <w:spacing w:after="0" w:line="7" w:lineRule="exact"/>
        <w:rPr>
          <w:rFonts w:ascii="Times New Roman" w:cs="Times New Roman" w:eastAsia="Times New Roman" w:hAnsi="Times New Roman"/>
          <w:sz w:val="17"/>
          <w:szCs w:val="17"/>
          <w:color w:val="auto"/>
        </w:rPr>
      </w:pPr>
    </w:p>
    <w:p>
      <w:pPr>
        <w:ind w:left="760" w:hanging="359"/>
        <w:spacing w:after="0" w:line="23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our ability to develop, formulate, manufacture and commercialize our product candidates;</w:t>
      </w:r>
    </w:p>
    <w:p>
      <w:pPr>
        <w:spacing w:after="0" w:line="12" w:lineRule="exact"/>
        <w:rPr>
          <w:rFonts w:ascii="Times New Roman" w:cs="Times New Roman" w:eastAsia="Times New Roman" w:hAnsi="Times New Roman"/>
          <w:sz w:val="18"/>
          <w:szCs w:val="18"/>
          <w:color w:val="auto"/>
        </w:rPr>
      </w:pPr>
    </w:p>
    <w:p>
      <w:pPr>
        <w:jc w:val="both"/>
        <w:ind w:left="760" w:right="79" w:hanging="359"/>
        <w:spacing w:after="0" w:line="248" w:lineRule="auto"/>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and maintain contractual relationships, on commercially reasonable terms, with third parties for manufacturing, distribution and supply, and a range of other support functions for our clinical development and commercialization efforts;</w:t>
      </w:r>
    </w:p>
    <w:p>
      <w:pPr>
        <w:spacing w:after="0" w:line="1" w:lineRule="exact"/>
        <w:rPr>
          <w:rFonts w:ascii="Times New Roman" w:cs="Times New Roman" w:eastAsia="Times New Roman" w:hAnsi="Times New Roman"/>
          <w:sz w:val="17"/>
          <w:szCs w:val="17"/>
          <w:color w:val="auto"/>
        </w:rPr>
      </w:pPr>
    </w:p>
    <w:p>
      <w:pPr>
        <w:ind w:left="760" w:hanging="359"/>
        <w:spacing w:after="0"/>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of our business model and, strategic plans for our business and drug candidates;</w:t>
      </w:r>
    </w:p>
    <w:p>
      <w:pPr>
        <w:spacing w:after="0" w:line="7" w:lineRule="exact"/>
        <w:rPr>
          <w:rFonts w:ascii="Times New Roman" w:cs="Times New Roman" w:eastAsia="Times New Roman" w:hAnsi="Times New Roman"/>
          <w:sz w:val="17"/>
          <w:szCs w:val="17"/>
          <w:color w:val="auto"/>
        </w:rPr>
      </w:pPr>
    </w:p>
    <w:p>
      <w:pPr>
        <w:ind w:left="760" w:right="79" w:hanging="359"/>
        <w:spacing w:after="0" w:line="248" w:lineRule="auto"/>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protection we are able to establish and maintain for intellectual property rights covering our product and product candidates;</w:t>
      </w:r>
    </w:p>
    <w:p>
      <w:pPr>
        <w:spacing w:after="0" w:line="1" w:lineRule="exact"/>
        <w:rPr>
          <w:rFonts w:ascii="Times New Roman" w:cs="Times New Roman" w:eastAsia="Times New Roman" w:hAnsi="Times New Roman"/>
          <w:sz w:val="17"/>
          <w:szCs w:val="17"/>
          <w:color w:val="auto"/>
        </w:rPr>
      </w:pPr>
    </w:p>
    <w:p>
      <w:pPr>
        <w:ind w:left="760" w:hanging="359"/>
        <w:spacing w:after="0"/>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estimates of our expenses, future revenues, capital requirements and our needs for additional financing;</w:t>
      </w:r>
    </w:p>
    <w:p>
      <w:pPr>
        <w:spacing w:after="0" w:line="7" w:lineRule="exact"/>
        <w:rPr>
          <w:rFonts w:ascii="Times New Roman" w:cs="Times New Roman" w:eastAsia="Times New Roman" w:hAnsi="Times New Roman"/>
          <w:sz w:val="17"/>
          <w:szCs w:val="17"/>
          <w:color w:val="auto"/>
        </w:rPr>
      </w:pPr>
    </w:p>
    <w:p>
      <w:pPr>
        <w:ind w:left="760" w:hanging="359"/>
        <w:spacing w:after="0"/>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establish collaborations and enter into strategic arrangements, if desired;</w:t>
      </w:r>
    </w:p>
    <w:p>
      <w:pPr>
        <w:spacing w:after="0" w:line="7" w:lineRule="exact"/>
        <w:rPr>
          <w:rFonts w:ascii="Times New Roman" w:cs="Times New Roman" w:eastAsia="Times New Roman" w:hAnsi="Times New Roman"/>
          <w:sz w:val="17"/>
          <w:szCs w:val="17"/>
          <w:color w:val="auto"/>
        </w:rPr>
      </w:pPr>
    </w:p>
    <w:p>
      <w:pPr>
        <w:ind w:left="760" w:right="79" w:hanging="359"/>
        <w:spacing w:after="0" w:line="248" w:lineRule="auto"/>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meet any of our financial projections or guidance, including without limitation short and long-term revenue projections or guidance and changes to the assumptions underlying those projections or guidance;</w:t>
      </w:r>
    </w:p>
    <w:p>
      <w:pPr>
        <w:spacing w:after="0" w:line="1" w:lineRule="exact"/>
        <w:rPr>
          <w:rFonts w:ascii="Times New Roman" w:cs="Times New Roman" w:eastAsia="Times New Roman" w:hAnsi="Times New Roman"/>
          <w:sz w:val="17"/>
          <w:szCs w:val="17"/>
          <w:color w:val="auto"/>
        </w:rPr>
      </w:pPr>
    </w:p>
    <w:p>
      <w:pPr>
        <w:ind w:left="760" w:hanging="359"/>
        <w:spacing w:after="0"/>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sufficient capital to fund our planned operations;</w:t>
      </w:r>
    </w:p>
    <w:p>
      <w:pPr>
        <w:spacing w:after="0" w:line="7" w:lineRule="exact"/>
        <w:rPr>
          <w:rFonts w:ascii="Times New Roman" w:cs="Times New Roman" w:eastAsia="Times New Roman" w:hAnsi="Times New Roman"/>
          <w:sz w:val="17"/>
          <w:szCs w:val="17"/>
          <w:color w:val="auto"/>
        </w:rPr>
      </w:pPr>
    </w:p>
    <w:p>
      <w:pPr>
        <w:ind w:left="760" w:hanging="359"/>
        <w:spacing w:after="0"/>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performance and cash burn management;</w:t>
      </w:r>
    </w:p>
    <w:p>
      <w:pPr>
        <w:spacing w:after="0" w:line="7" w:lineRule="exact"/>
        <w:rPr>
          <w:rFonts w:ascii="Times New Roman" w:cs="Times New Roman" w:eastAsia="Times New Roman" w:hAnsi="Times New Roman"/>
          <w:sz w:val="17"/>
          <w:szCs w:val="17"/>
          <w:color w:val="auto"/>
        </w:rPr>
      </w:pPr>
    </w:p>
    <w:p>
      <w:pPr>
        <w:ind w:left="760" w:hanging="359"/>
        <w:spacing w:after="0"/>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or obtain adequate product liability and other insurance coverage; and</w:t>
      </w:r>
    </w:p>
    <w:p>
      <w:pPr>
        <w:spacing w:after="0" w:line="7" w:lineRule="exact"/>
        <w:rPr>
          <w:rFonts w:ascii="Times New Roman" w:cs="Times New Roman" w:eastAsia="Times New Roman" w:hAnsi="Times New Roman"/>
          <w:sz w:val="17"/>
          <w:szCs w:val="17"/>
          <w:color w:val="auto"/>
        </w:rPr>
      </w:pPr>
    </w:p>
    <w:p>
      <w:pPr>
        <w:ind w:left="760" w:hanging="359"/>
        <w:spacing w:after="0"/>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relating to our competitors and our industry.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SUMMARY RISK FACTORS</w:t>
      </w:r>
    </w:p>
    <w:p>
      <w:pPr>
        <w:spacing w:after="0" w:line="106" w:lineRule="exact"/>
        <w:rPr>
          <w:sz w:val="20"/>
          <w:szCs w:val="20"/>
          <w:color w:val="auto"/>
        </w:rPr>
      </w:pPr>
    </w:p>
    <w:p>
      <w:pPr>
        <w:jc w:val="both"/>
        <w:ind w:left="60" w:right="59" w:firstLine="492"/>
        <w:spacing w:after="0" w:line="259" w:lineRule="auto"/>
        <w:rPr>
          <w:sz w:val="20"/>
          <w:szCs w:val="20"/>
          <w:color w:val="auto"/>
        </w:rPr>
      </w:pPr>
      <w:r>
        <w:rPr>
          <w:rFonts w:ascii="Times New Roman" w:cs="Times New Roman" w:eastAsia="Times New Roman" w:hAnsi="Times New Roman"/>
          <w:sz w:val="17"/>
          <w:szCs w:val="17"/>
          <w:color w:val="auto"/>
        </w:rPr>
        <w:t>Our business is subject to a number of risks of which you should be aware before making an investment decision. The risks described below are a summary of the principal risks associated with an investment in us and are not the only risks we face. You should carefully consider these risks, the risk factors in Item IA, and the other reports and documents that we have filed with the Securities and Exchange Commission (SEC).</w:t>
      </w:r>
    </w:p>
    <w:p>
      <w:pPr>
        <w:spacing w:after="0" w:line="1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Risks Related to Commercialization</w:t>
      </w:r>
    </w:p>
    <w:p>
      <w:pPr>
        <w:spacing w:after="0" w:line="29"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maintain current approval of BRIUMVI our business will be materially harmed.</w:t>
      </w:r>
    </w:p>
    <w:p>
      <w:pPr>
        <w:spacing w:after="0" w:line="7" w:lineRule="exact"/>
        <w:rPr>
          <w:rFonts w:ascii="Times New Roman" w:cs="Times New Roman" w:eastAsia="Times New Roman" w:hAnsi="Times New Roman"/>
          <w:sz w:val="17"/>
          <w:szCs w:val="17"/>
          <w:color w:val="auto"/>
        </w:rPr>
      </w:pPr>
    </w:p>
    <w:p>
      <w:pPr>
        <w:ind w:left="380" w:right="79" w:hanging="330"/>
        <w:spacing w:after="0" w:line="248" w:lineRule="auto"/>
        <w:tabs>
          <w:tab w:leader="none" w:pos="3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cannot predict when or if we will obtain regulatory approval to commercialize our product candidates, including TG-1701 and TG-1801 in B-cell disorders.</w:t>
      </w:r>
    </w:p>
    <w:p>
      <w:pPr>
        <w:spacing w:after="0" w:line="1" w:lineRule="exact"/>
        <w:rPr>
          <w:rFonts w:ascii="Times New Roman" w:cs="Times New Roman" w:eastAsia="Times New Roman" w:hAnsi="Times New Roman"/>
          <w:sz w:val="17"/>
          <w:szCs w:val="17"/>
          <w:color w:val="auto"/>
        </w:rPr>
      </w:pPr>
    </w:p>
    <w:p>
      <w:pPr>
        <w:ind w:left="380" w:right="79" w:hanging="330"/>
        <w:spacing w:after="0" w:line="248" w:lineRule="auto"/>
        <w:tabs>
          <w:tab w:leader="none" w:pos="3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limited experience operating as a commercial company, and, as a result, the marketing and sale of BRIUMVI in RMS may be less successful than anticipated.</w:t>
      </w:r>
    </w:p>
    <w:p>
      <w:pPr>
        <w:spacing w:after="0" w:line="1" w:lineRule="exact"/>
        <w:rPr>
          <w:rFonts w:ascii="Times New Roman" w:cs="Times New Roman" w:eastAsia="Times New Roman" w:hAnsi="Times New Roman"/>
          <w:sz w:val="17"/>
          <w:szCs w:val="17"/>
          <w:color w:val="auto"/>
        </w:rPr>
      </w:pPr>
    </w:p>
    <w:p>
      <w:pPr>
        <w:ind w:left="380" w:right="79" w:hanging="330"/>
        <w:spacing w:after="0" w:line="248" w:lineRule="auto"/>
        <w:tabs>
          <w:tab w:leader="none" w:pos="3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BRIUMVI or any of our future product candidates (if approved) do not achieve broad market acceptance among physicians, patients, payors, or the medical community, the revenues that we generate from product sales will be limited.</w:t>
      </w:r>
    </w:p>
    <w:p>
      <w:pPr>
        <w:spacing w:after="0" w:line="1" w:lineRule="exact"/>
        <w:rPr>
          <w:rFonts w:ascii="Times New Roman" w:cs="Times New Roman" w:eastAsia="Times New Roman" w:hAnsi="Times New Roman"/>
          <w:sz w:val="17"/>
          <w:szCs w:val="17"/>
          <w:color w:val="auto"/>
        </w:rPr>
      </w:pPr>
    </w:p>
    <w:p>
      <w:pPr>
        <w:jc w:val="both"/>
        <w:ind w:left="380" w:right="79" w:hanging="330"/>
        <w:spacing w:after="0" w:line="248" w:lineRule="auto"/>
        <w:tabs>
          <w:tab w:leader="none" w:pos="3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market opportunities for BRIUMVI and any future products for which we may receive approval, including TG-1701 or TG-1801 in B-cell disorders, are smaller than we estimate or if any approval we obtain is based on a narrower patient population or the labeling includes warnings or limitations that are not acceptable to patients or healthcare providers, our revenue will be adversely affected.</w:t>
      </w:r>
    </w:p>
    <w:p>
      <w:pPr>
        <w:spacing w:after="0" w:line="2" w:lineRule="exact"/>
        <w:rPr>
          <w:rFonts w:ascii="Times New Roman" w:cs="Times New Roman" w:eastAsia="Times New Roman" w:hAnsi="Times New Roman"/>
          <w:sz w:val="17"/>
          <w:szCs w:val="17"/>
          <w:color w:val="auto"/>
        </w:rPr>
      </w:pPr>
    </w:p>
    <w:p>
      <w:pPr>
        <w:jc w:val="both"/>
        <w:ind w:left="380" w:right="79" w:hanging="330"/>
        <w:spacing w:after="0" w:line="248" w:lineRule="auto"/>
        <w:tabs>
          <w:tab w:leader="none" w:pos="3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substantial competition for treatments for our target indications, including from companies with greater resources than we have, which may result in others commercializing drugs before or more successfully than we do, which could result in the reduction or elimination of our commercial opportunity.</w:t>
      </w:r>
    </w:p>
    <w:p>
      <w:pPr>
        <w:spacing w:after="0" w:line="1" w:lineRule="exact"/>
        <w:rPr>
          <w:rFonts w:ascii="Times New Roman" w:cs="Times New Roman" w:eastAsia="Times New Roman" w:hAnsi="Times New Roman"/>
          <w:sz w:val="17"/>
          <w:szCs w:val="17"/>
          <w:color w:val="auto"/>
        </w:rPr>
      </w:pPr>
    </w:p>
    <w:p>
      <w:pPr>
        <w:ind w:left="380" w:hanging="330"/>
        <w:spacing w:after="0"/>
        <w:tabs>
          <w:tab w:leader="none" w:pos="3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generate sufficient revenue, we may need to raise substantial additional capital to sustain our business.</w:t>
      </w:r>
    </w:p>
    <w:p>
      <w:pPr>
        <w:spacing w:after="0" w:line="7" w:lineRule="exact"/>
        <w:rPr>
          <w:rFonts w:ascii="Times New Roman" w:cs="Times New Roman" w:eastAsia="Times New Roman" w:hAnsi="Times New Roman"/>
          <w:sz w:val="17"/>
          <w:szCs w:val="17"/>
          <w:color w:val="auto"/>
        </w:rPr>
      </w:pPr>
    </w:p>
    <w:p>
      <w:pPr>
        <w:ind w:left="380" w:hanging="330"/>
        <w:spacing w:after="0"/>
        <w:tabs>
          <w:tab w:leader="none" w:pos="3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liability lawsuits could cause us to incur substantial liabilities and limit product commercialization.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Risks Related to our Financial Position and Need for Additional Capital</w:t>
      </w:r>
    </w:p>
    <w:p>
      <w:pPr>
        <w:spacing w:after="0" w:line="29" w:lineRule="exact"/>
        <w:rPr>
          <w:sz w:val="20"/>
          <w:szCs w:val="20"/>
          <w:color w:val="auto"/>
        </w:rPr>
      </w:pPr>
    </w:p>
    <w:p>
      <w:pPr>
        <w:ind w:left="380" w:right="79" w:hanging="330"/>
        <w:spacing w:after="0" w:line="248" w:lineRule="auto"/>
        <w:tabs>
          <w:tab w:leader="none" w:pos="3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operating losses since our inception and anticipate that we will continue to incur losses for the foreseeable future.</w:t>
      </w:r>
    </w:p>
    <w:p>
      <w:pPr>
        <w:spacing w:after="0" w:line="1" w:lineRule="exact"/>
        <w:rPr>
          <w:rFonts w:ascii="Times New Roman" w:cs="Times New Roman" w:eastAsia="Times New Roman" w:hAnsi="Times New Roman"/>
          <w:sz w:val="17"/>
          <w:szCs w:val="17"/>
          <w:color w:val="auto"/>
        </w:rPr>
      </w:pPr>
    </w:p>
    <w:p>
      <w:pPr>
        <w:ind w:left="380" w:right="79" w:hanging="330"/>
        <w:spacing w:after="0" w:line="248" w:lineRule="auto"/>
        <w:tabs>
          <w:tab w:leader="none" w:pos="3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to raise substantial additional funding. If we are unable to raise capital, if needed, we may be required to delay, limit, reduce, or eliminate some of our drug development programs or commercialization efforts.</w:t>
      </w:r>
    </w:p>
    <w:p>
      <w:pPr>
        <w:spacing w:after="0" w:line="1" w:lineRule="exact"/>
        <w:rPr>
          <w:rFonts w:ascii="Times New Roman" w:cs="Times New Roman" w:eastAsia="Times New Roman" w:hAnsi="Times New Roman"/>
          <w:sz w:val="17"/>
          <w:szCs w:val="17"/>
          <w:color w:val="auto"/>
        </w:rPr>
      </w:pPr>
    </w:p>
    <w:p>
      <w:pPr>
        <w:ind w:left="380" w:right="79" w:hanging="330"/>
        <w:spacing w:after="0" w:line="259" w:lineRule="auto"/>
        <w:tabs>
          <w:tab w:leader="none" w:pos="3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level of indebtedness and debt service obligations could adversely affect our financial condition and may make it more difficult for us to fund our operations.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Risks Related to Drug Development and Regulatory Approval</w:t>
      </w:r>
    </w:p>
    <w:p>
      <w:pPr>
        <w:spacing w:after="0" w:line="29" w:lineRule="exact"/>
        <w:rPr>
          <w:sz w:val="20"/>
          <w:szCs w:val="20"/>
          <w:color w:val="auto"/>
        </w:rPr>
      </w:pPr>
    </w:p>
    <w:p>
      <w:pPr>
        <w:jc w:val="both"/>
        <w:ind w:left="380" w:right="79" w:hanging="330"/>
        <w:spacing w:after="0" w:line="243" w:lineRule="auto"/>
        <w:tabs>
          <w:tab w:leader="none" w:pos="3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obtain or maintain regulatory approval for our product or product candidates and ultimately cannot commercialize one or more of them, or if we experience significant delays in doing so, our business will be materially harmed.</w:t>
      </w:r>
    </w:p>
    <w:p>
      <w:pPr>
        <w:jc w:val="both"/>
        <w:ind w:left="380" w:right="79" w:hanging="330"/>
        <w:spacing w:after="0" w:line="248" w:lineRule="auto"/>
        <w:tabs>
          <w:tab w:leader="none" w:pos="3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 and product candidates may cause undesirable side effects that could delay or prevent their regulatory approval or significantly limit their commercial profile following marketing approval, if any, or result in withdrawal from the market if approved.</w:t>
      </w:r>
    </w:p>
    <w:p>
      <w:pPr>
        <w:spacing w:after="0" w:line="1" w:lineRule="exact"/>
        <w:rPr>
          <w:rFonts w:ascii="Times New Roman" w:cs="Times New Roman" w:eastAsia="Times New Roman" w:hAnsi="Times New Roman"/>
          <w:sz w:val="17"/>
          <w:szCs w:val="17"/>
          <w:color w:val="auto"/>
        </w:rPr>
      </w:pPr>
    </w:p>
    <w:p>
      <w:pPr>
        <w:jc w:val="both"/>
        <w:ind w:left="380" w:right="79" w:hanging="330"/>
        <w:spacing w:after="0" w:line="248" w:lineRule="auto"/>
        <w:tabs>
          <w:tab w:leader="none" w:pos="3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results of preclinical studies and early clinical trials are not necessarily predictive of future results, any product candidate we advance may not have favorable results in later clinical trials. Moreover, interim, “top-line,” and preliminary data from our clinical trials that we announce or publish may change, or the perceived product profile may be impacted, as more patient data or additional endpoints are analyzed.</w:t>
      </w:r>
    </w:p>
    <w:p>
      <w:pPr>
        <w:spacing w:after="0" w:line="2" w:lineRule="exact"/>
        <w:rPr>
          <w:rFonts w:ascii="Times New Roman" w:cs="Times New Roman" w:eastAsia="Times New Roman" w:hAnsi="Times New Roman"/>
          <w:sz w:val="17"/>
          <w:szCs w:val="17"/>
          <w:color w:val="auto"/>
        </w:rPr>
      </w:pPr>
    </w:p>
    <w:p>
      <w:pPr>
        <w:ind w:left="380" w:right="79" w:hanging="330"/>
        <w:spacing w:after="0" w:line="259" w:lineRule="auto"/>
        <w:tabs>
          <w:tab w:leader="none" w:pos="3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products or product candidates we may advance through clinical development are subject to extensive regulation, which can be costly and time consuming, cause unanticipated delays, or prevent the receipt of the required approvals.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Risks Related to Governmental Regulation of the Pharmaceutical Industry</w:t>
      </w:r>
    </w:p>
    <w:p>
      <w:pPr>
        <w:spacing w:after="0" w:line="29" w:lineRule="exact"/>
        <w:rPr>
          <w:sz w:val="20"/>
          <w:szCs w:val="20"/>
          <w:color w:val="auto"/>
        </w:rPr>
      </w:pPr>
    </w:p>
    <w:p>
      <w:pPr>
        <w:jc w:val="both"/>
        <w:ind w:left="380" w:right="79" w:hanging="330"/>
        <w:spacing w:after="0" w:line="248" w:lineRule="auto"/>
        <w:tabs>
          <w:tab w:leader="none" w:pos="3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extensive regulation, including new legislative and regulatory proposals, including efforts to control, set or cap pricing for approved drugs, which may increase our compliance costs and adversely affect our ability to market our products, obtain collaborators and raise capital.</w:t>
      </w:r>
    </w:p>
    <w:p>
      <w:pPr>
        <w:spacing w:after="0" w:line="1" w:lineRule="exact"/>
        <w:rPr>
          <w:rFonts w:ascii="Times New Roman" w:cs="Times New Roman" w:eastAsia="Times New Roman" w:hAnsi="Times New Roman"/>
          <w:sz w:val="17"/>
          <w:szCs w:val="17"/>
          <w:color w:val="auto"/>
        </w:rPr>
      </w:pPr>
    </w:p>
    <w:p>
      <w:pPr>
        <w:ind w:left="380" w:right="79" w:hanging="330"/>
        <w:spacing w:after="0" w:line="248" w:lineRule="auto"/>
        <w:tabs>
          <w:tab w:leader="none" w:pos="3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comply with various healthcare laws and regulations, we may incur losses or be subject to civil or criminal liability.</w:t>
      </w:r>
    </w:p>
    <w:p>
      <w:pPr>
        <w:spacing w:after="0" w:line="1" w:lineRule="exact"/>
        <w:rPr>
          <w:rFonts w:ascii="Times New Roman" w:cs="Times New Roman" w:eastAsia="Times New Roman" w:hAnsi="Times New Roman"/>
          <w:sz w:val="17"/>
          <w:szCs w:val="17"/>
          <w:color w:val="auto"/>
        </w:rPr>
      </w:pPr>
    </w:p>
    <w:p>
      <w:pPr>
        <w:jc w:val="both"/>
        <w:ind w:left="380" w:right="79" w:hanging="330"/>
        <w:spacing w:after="0" w:line="254" w:lineRule="auto"/>
        <w:tabs>
          <w:tab w:leader="none" w:pos="3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comply with regulatory requirements, any product candidate may fail to receive regulatory approval and any product for which we obtain marketing approval could be subject to restrictions or withdrawal from the market and we may be subject to penalties.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Risks Related to our Dependence on Third Parties</w:t>
      </w:r>
    </w:p>
    <w:p>
      <w:pPr>
        <w:spacing w:after="0" w:line="29" w:lineRule="exact"/>
        <w:rPr>
          <w:sz w:val="20"/>
          <w:szCs w:val="20"/>
          <w:color w:val="auto"/>
        </w:rPr>
      </w:pPr>
    </w:p>
    <w:p>
      <w:pPr>
        <w:jc w:val="both"/>
        <w:ind w:left="380" w:right="79" w:hanging="330"/>
        <w:spacing w:after="0" w:line="248" w:lineRule="auto"/>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third parties on which we rely to conduct our clinical trials and generate clinical, preclinical, and other data necessary to support our regulatory applications do not perform their services as required, we may not be able to obtain regulatory approval for or commercialize our product or product candidates when expected or at all.</w:t>
      </w:r>
    </w:p>
    <w:p>
      <w:pPr>
        <w:spacing w:after="0" w:line="1" w:lineRule="exact"/>
        <w:rPr>
          <w:rFonts w:ascii="Times New Roman" w:cs="Times New Roman" w:eastAsia="Times New Roman" w:hAnsi="Times New Roman"/>
          <w:sz w:val="17"/>
          <w:szCs w:val="17"/>
          <w:color w:val="auto"/>
        </w:rPr>
      </w:pPr>
    </w:p>
    <w:p>
      <w:pPr>
        <w:jc w:val="both"/>
        <w:ind w:left="380" w:right="79" w:hanging="330"/>
        <w:spacing w:after="0" w:line="248" w:lineRule="auto"/>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third parties for commercial and clinical supply of our product and product candidates increases the risk that we will not have sufficient quantities of our product or product candidates or such quantities at an acceptable cost or quality, which could delay, prevent or impair our development or commercialization efforts.</w:t>
      </w:r>
    </w:p>
    <w:p>
      <w:pPr>
        <w:spacing w:after="0" w:line="1" w:lineRule="exact"/>
        <w:rPr>
          <w:rFonts w:ascii="Times New Roman" w:cs="Times New Roman" w:eastAsia="Times New Roman" w:hAnsi="Times New Roman"/>
          <w:sz w:val="17"/>
          <w:szCs w:val="17"/>
          <w:color w:val="auto"/>
        </w:rPr>
      </w:pPr>
    </w:p>
    <w:p>
      <w:pPr>
        <w:ind w:left="380" w:right="79" w:hanging="330"/>
        <w:spacing w:after="0" w:line="259" w:lineRule="auto"/>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we have in-licensed our product and product candidates from third parties, any dispute with, or non-performance by our licensors will adversely affect our ability to develop and commercialize the applicable product.</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Risks Related to Intellectual Property</w:t>
      </w:r>
    </w:p>
    <w:p>
      <w:pPr>
        <w:spacing w:after="0" w:line="29" w:lineRule="exact"/>
        <w:rPr>
          <w:sz w:val="20"/>
          <w:szCs w:val="20"/>
          <w:color w:val="auto"/>
        </w:rPr>
      </w:pPr>
    </w:p>
    <w:p>
      <w:pPr>
        <w:jc w:val="both"/>
        <w:ind w:left="380" w:right="79" w:hanging="330"/>
        <w:spacing w:after="0" w:line="248" w:lineRule="auto"/>
        <w:tabs>
          <w:tab w:leader="none" w:pos="3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depends upon our ability to obtain and protect our intellectual property, and if the scope of our patent protection obtained is not sufficiently broad, our competitors could develop and commercialize products similar or identical to ours, and our ability to successfully commercialize our products may be impaired.</w:t>
      </w:r>
    </w:p>
    <w:p>
      <w:pPr>
        <w:spacing w:after="0" w:line="1" w:lineRule="exact"/>
        <w:rPr>
          <w:rFonts w:ascii="Times New Roman" w:cs="Times New Roman" w:eastAsia="Times New Roman" w:hAnsi="Times New Roman"/>
          <w:sz w:val="17"/>
          <w:szCs w:val="17"/>
          <w:color w:val="auto"/>
        </w:rPr>
      </w:pPr>
    </w:p>
    <w:p>
      <w:pPr>
        <w:ind w:left="380" w:right="79" w:hanging="330"/>
        <w:spacing w:after="0" w:line="248" w:lineRule="auto"/>
        <w:tabs>
          <w:tab w:leader="none" w:pos="3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patent protection could be reduced or eliminated for non-compliance with various procedural and other requirements imposed by governmental patent agencies.</w:t>
      </w:r>
    </w:p>
    <w:p>
      <w:pPr>
        <w:spacing w:after="0" w:line="1" w:lineRule="exact"/>
        <w:rPr>
          <w:rFonts w:ascii="Times New Roman" w:cs="Times New Roman" w:eastAsia="Times New Roman" w:hAnsi="Times New Roman"/>
          <w:sz w:val="17"/>
          <w:szCs w:val="17"/>
          <w:color w:val="auto"/>
        </w:rPr>
      </w:pPr>
    </w:p>
    <w:p>
      <w:pPr>
        <w:ind w:left="380" w:right="79" w:hanging="330"/>
        <w:spacing w:after="0" w:line="248" w:lineRule="auto"/>
        <w:tabs>
          <w:tab w:leader="none" w:pos="3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to license certain intellectual property from third parties, and such licenses may not be available or may not be available on commercially reasonable terms.</w:t>
      </w:r>
    </w:p>
    <w:p>
      <w:pPr>
        <w:spacing w:after="0" w:line="1" w:lineRule="exact"/>
        <w:rPr>
          <w:rFonts w:ascii="Times New Roman" w:cs="Times New Roman" w:eastAsia="Times New Roman" w:hAnsi="Times New Roman"/>
          <w:sz w:val="17"/>
          <w:szCs w:val="17"/>
          <w:color w:val="auto"/>
        </w:rPr>
      </w:pPr>
    </w:p>
    <w:p>
      <w:pPr>
        <w:jc w:val="both"/>
        <w:ind w:left="380" w:right="79" w:hanging="330"/>
        <w:spacing w:after="0" w:line="248" w:lineRule="auto"/>
        <w:tabs>
          <w:tab w:leader="none" w:pos="3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or our partners are sued for infringing intellectual property rights of third parties, it will be costly and time consuming to defend against such lawsuits, and an unfavorable outcome in any such lawsuit would have a material adverse effect on our business.</w:t>
      </w:r>
    </w:p>
    <w:p>
      <w:pPr>
        <w:spacing w:after="0" w:line="1" w:lineRule="exact"/>
        <w:rPr>
          <w:rFonts w:ascii="Times New Roman" w:cs="Times New Roman" w:eastAsia="Times New Roman" w:hAnsi="Times New Roman"/>
          <w:sz w:val="17"/>
          <w:szCs w:val="17"/>
          <w:color w:val="auto"/>
        </w:rPr>
      </w:pPr>
    </w:p>
    <w:p>
      <w:pPr>
        <w:ind w:left="380" w:hanging="330"/>
        <w:spacing w:after="0"/>
        <w:tabs>
          <w:tab w:leader="none" w:pos="3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protect the confidentiality of our trade secrets, our business may be significantly harmed.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Risks Related to COVID-19</w:t>
      </w:r>
    </w:p>
    <w:p>
      <w:pPr>
        <w:spacing w:after="0" w:line="29" w:lineRule="exact"/>
        <w:rPr>
          <w:sz w:val="20"/>
          <w:szCs w:val="20"/>
          <w:color w:val="auto"/>
        </w:rPr>
      </w:pPr>
    </w:p>
    <w:p>
      <w:pPr>
        <w:ind w:left="380" w:right="79" w:hanging="330"/>
        <w:spacing w:after="0" w:line="248" w:lineRule="auto"/>
        <w:tabs>
          <w:tab w:leader="none" w:pos="3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health issues including an epidemic or global pandemic, and specifically the pandemic caused by COVID-19, could have an adverse impact on our financial condition and results of operations and other aspects of our business.</w:t>
      </w:r>
    </w:p>
    <w:p>
      <w:pPr>
        <w:spacing w:after="0" w:line="1" w:lineRule="exact"/>
        <w:rPr>
          <w:rFonts w:ascii="Times New Roman" w:cs="Times New Roman" w:eastAsia="Times New Roman" w:hAnsi="Times New Roman"/>
          <w:sz w:val="17"/>
          <w:szCs w:val="17"/>
          <w:color w:val="auto"/>
        </w:rPr>
      </w:pPr>
    </w:p>
    <w:p>
      <w:pPr>
        <w:jc w:val="both"/>
        <w:ind w:left="380" w:right="79" w:hanging="330"/>
        <w:spacing w:after="0" w:line="252" w:lineRule="auto"/>
        <w:tabs>
          <w:tab w:leader="none" w:pos="3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Patients and healthcare providers have raised concerns that immunosuppressive products, like anti-CD20 antibodies and other B-cell targeted agents, may increase the risk of acquiring COVID-19 or lead to more severe complications upon infection. These concerns may impact the commercial potential for BRIUMVI and other immunosuppressive products that we have in development.</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9" w:lineRule="exact"/>
        <w:rPr>
          <w:sz w:val="20"/>
          <w:szCs w:val="20"/>
          <w:color w:val="auto"/>
        </w:rPr>
      </w:pPr>
    </w:p>
    <w:p>
      <w:pPr>
        <w:ind w:left="380" w:right="79" w:hanging="330"/>
        <w:spacing w:after="0" w:line="248" w:lineRule="auto"/>
        <w:tabs>
          <w:tab w:leader="none" w:pos="3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need to develop and expand our business, and we may encounter difficulties in managing this development and expansion.</w:t>
      </w:r>
    </w:p>
    <w:p>
      <w:pPr>
        <w:spacing w:after="0" w:line="1" w:lineRule="exact"/>
        <w:rPr>
          <w:rFonts w:ascii="Times New Roman" w:cs="Times New Roman" w:eastAsia="Times New Roman" w:hAnsi="Times New Roman"/>
          <w:sz w:val="17"/>
          <w:szCs w:val="17"/>
          <w:color w:val="auto"/>
        </w:rPr>
      </w:pPr>
    </w:p>
    <w:p>
      <w:pPr>
        <w:ind w:left="380" w:right="79" w:hanging="330"/>
        <w:spacing w:after="0" w:line="248" w:lineRule="auto"/>
        <w:tabs>
          <w:tab w:leader="none" w:pos="3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our clinical development and commercialization activities will depend on our ability to attract and maintain key management and other personnel.</w:t>
      </w:r>
    </w:p>
    <w:p>
      <w:pPr>
        <w:spacing w:after="0" w:line="1" w:lineRule="exact"/>
        <w:rPr>
          <w:rFonts w:ascii="Times New Roman" w:cs="Times New Roman" w:eastAsia="Times New Roman" w:hAnsi="Times New Roman"/>
          <w:sz w:val="17"/>
          <w:szCs w:val="17"/>
          <w:color w:val="auto"/>
        </w:rPr>
      </w:pPr>
    </w:p>
    <w:p>
      <w:pPr>
        <w:ind w:left="380" w:right="79" w:hanging="330"/>
        <w:spacing w:after="0" w:line="248" w:lineRule="auto"/>
        <w:tabs>
          <w:tab w:leader="none" w:pos="3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our executive officers, directors and other stockholders own more than 5% of our outstanding common stock and may be able to influence our management and the outcome of matters submitted to shareholders for approval.</w:t>
      </w:r>
    </w:p>
    <w:p>
      <w:pPr>
        <w:spacing w:after="0" w:line="1" w:lineRule="exact"/>
        <w:rPr>
          <w:rFonts w:ascii="Times New Roman" w:cs="Times New Roman" w:eastAsia="Times New Roman" w:hAnsi="Times New Roman"/>
          <w:sz w:val="17"/>
          <w:szCs w:val="17"/>
          <w:color w:val="auto"/>
        </w:rPr>
      </w:pPr>
    </w:p>
    <w:p>
      <w:pPr>
        <w:ind w:left="380" w:right="79" w:hanging="330"/>
        <w:spacing w:after="0" w:line="248" w:lineRule="auto"/>
        <w:tabs>
          <w:tab w:leader="none" w:pos="3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anti-takeover provisions in our charter documents and Delaware law could make a third-party acquisition more difficult, which could limit the price investors might be willing to pay for our common stock.</w:t>
      </w:r>
    </w:p>
    <w:p>
      <w:pPr>
        <w:spacing w:after="0" w:line="1" w:lineRule="exact"/>
        <w:rPr>
          <w:rFonts w:ascii="Times New Roman" w:cs="Times New Roman" w:eastAsia="Times New Roman" w:hAnsi="Times New Roman"/>
          <w:sz w:val="17"/>
          <w:szCs w:val="17"/>
          <w:color w:val="auto"/>
        </w:rPr>
      </w:pPr>
    </w:p>
    <w:p>
      <w:pPr>
        <w:ind w:left="380" w:right="79" w:hanging="330"/>
        <w:spacing w:after="0" w:line="248" w:lineRule="auto"/>
        <w:tabs>
          <w:tab w:leader="none" w:pos="3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stock price is, and we expect it to remain, volatile, which could limit investors’ ability to sell stock at a profit and could subject us to securities and shareholder derivative litigation.</w:t>
      </w:r>
    </w:p>
    <w:p>
      <w:pPr>
        <w:spacing w:after="0" w:line="1" w:lineRule="exact"/>
        <w:rPr>
          <w:rFonts w:ascii="Times New Roman" w:cs="Times New Roman" w:eastAsia="Times New Roman" w:hAnsi="Times New Roman"/>
          <w:sz w:val="17"/>
          <w:szCs w:val="17"/>
          <w:color w:val="auto"/>
        </w:rPr>
      </w:pPr>
    </w:p>
    <w:p>
      <w:pPr>
        <w:ind w:left="380" w:right="79" w:hanging="330"/>
        <w:spacing w:after="0" w:line="259" w:lineRule="auto"/>
        <w:tabs>
          <w:tab w:leader="none" w:pos="3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disruptions of information technology systems, breaches of data security, or unauthorized disclosures of sensitive data could harm our business and subject us to liability or reputational damage.</w:t>
      </w:r>
    </w:p>
    <w:p>
      <w:pPr>
        <w:spacing w:after="0" w:line="168" w:lineRule="exact"/>
        <w:rPr>
          <w:sz w:val="20"/>
          <w:szCs w:val="20"/>
          <w:color w:val="auto"/>
        </w:rPr>
      </w:pPr>
    </w:p>
    <w:p>
      <w:pPr>
        <w:ind w:left="60" w:right="439" w:firstLine="648"/>
        <w:spacing w:after="0" w:line="281" w:lineRule="auto"/>
        <w:rPr>
          <w:sz w:val="20"/>
          <w:szCs w:val="20"/>
          <w:color w:val="auto"/>
        </w:rPr>
      </w:pPr>
      <w:r>
        <w:rPr>
          <w:rFonts w:ascii="Times New Roman" w:cs="Times New Roman" w:eastAsia="Times New Roman" w:hAnsi="Times New Roman"/>
          <w:sz w:val="17"/>
          <w:szCs w:val="17"/>
          <w:color w:val="auto"/>
        </w:rPr>
        <w:t>The foregoing is only a summary of some of our risks. These and other risks are discussed more fully in the section entitled “Risk Factors” in Part II, Item IA and elsewhere in this Quarterly Report on Form 10-Q (our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5"/>
                <w:szCs w:val="15"/>
                <w:color w:val="auto"/>
              </w:rPr>
            </w:pPr>
          </w:p>
        </w:tc>
      </w:tr>
      <w:tr>
        <w:trPr>
          <w:trHeight w:val="169"/>
        </w:trPr>
        <w:tc>
          <w:tcPr>
            <w:tcW w:w="6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4"/>
                <w:szCs w:val="14"/>
                <w:color w:val="auto"/>
              </w:rPr>
            </w:pPr>
          </w:p>
        </w:tc>
        <w:tc>
          <w:tcPr>
            <w:tcW w:w="88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(Note 1)</w:t>
            </w:r>
          </w:p>
        </w:tc>
        <w:tc>
          <w:tcPr>
            <w:tcW w:w="20" w:type="dxa"/>
            <w:vAlign w:val="bottom"/>
          </w:tcPr>
          <w:p>
            <w:pPr>
              <w:spacing w:after="0"/>
              <w:rPr>
                <w:sz w:val="14"/>
                <w:szCs w:val="14"/>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102,304</w:t>
            </w:r>
          </w:p>
        </w:tc>
        <w:tc>
          <w:tcPr>
            <w:tcW w:w="20" w:type="dxa"/>
            <w:vAlign w:val="bottom"/>
          </w:tcPr>
          <w:p>
            <w:pPr>
              <w:spacing w:after="0"/>
              <w:rPr>
                <w:sz w:val="18"/>
                <w:szCs w:val="18"/>
                <w:color w:val="auto"/>
              </w:rPr>
            </w:pPr>
          </w:p>
        </w:tc>
      </w:tr>
      <w:tr>
        <w:trPr>
          <w:trHeight w:val="216"/>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investment securities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59,374</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20" w:type="dxa"/>
            <w:vAlign w:val="bottom"/>
          </w:tcPr>
          <w:p>
            <w:pPr>
              <w:spacing w:after="0"/>
              <w:rPr>
                <w:sz w:val="18"/>
                <w:szCs w:val="18"/>
                <w:color w:val="auto"/>
              </w:rPr>
            </w:pPr>
          </w:p>
        </w:tc>
      </w:tr>
      <w:tr>
        <w:trPr>
          <w:trHeight w:val="216"/>
        </w:trPr>
        <w:tc>
          <w:tcPr>
            <w:tcW w:w="6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20" w:type="dxa"/>
            <w:vAlign w:val="bottom"/>
          </w:tcPr>
          <w:p>
            <w:pPr>
              <w:spacing w:after="0"/>
              <w:rPr>
                <w:sz w:val="18"/>
                <w:szCs w:val="18"/>
                <w:color w:val="auto"/>
              </w:rPr>
            </w:pPr>
          </w:p>
        </w:tc>
      </w:tr>
      <w:tr>
        <w:trPr>
          <w:trHeight w:val="210"/>
        </w:trPr>
        <w:tc>
          <w:tcPr>
            <w:tcW w:w="6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168,274</w:t>
            </w:r>
          </w:p>
        </w:tc>
        <w:tc>
          <w:tcPr>
            <w:tcW w:w="20" w:type="dxa"/>
            <w:vAlign w:val="bottom"/>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 securities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12,404</w:t>
            </w:r>
          </w:p>
        </w:tc>
        <w:tc>
          <w:tcPr>
            <w:tcW w:w="20" w:type="dxa"/>
            <w:vAlign w:val="bottom"/>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interest, net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0" w:type="dxa"/>
            <w:vAlign w:val="bottom"/>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net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799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0" w:type="dxa"/>
            <w:vAlign w:val="bottom"/>
          </w:tcPr>
          <w:p>
            <w:pPr>
              <w:spacing w:after="0"/>
              <w:rPr>
                <w:sz w:val="18"/>
                <w:szCs w:val="18"/>
                <w:color w:val="auto"/>
              </w:rPr>
            </w:pPr>
          </w:p>
        </w:tc>
      </w:tr>
      <w:tr>
        <w:trPr>
          <w:trHeight w:val="250"/>
        </w:trPr>
        <w:tc>
          <w:tcPr>
            <w:tcW w:w="66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197,358</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193,572</w:t>
            </w:r>
          </w:p>
        </w:tc>
        <w:tc>
          <w:tcPr>
            <w:tcW w:w="20" w:type="dxa"/>
            <w:vAlign w:val="bottom"/>
          </w:tcPr>
          <w:p>
            <w:pPr>
              <w:spacing w:after="0"/>
              <w:rPr>
                <w:sz w:val="21"/>
                <w:szCs w:val="21"/>
                <w:color w:val="auto"/>
              </w:rPr>
            </w:pPr>
          </w:p>
        </w:tc>
      </w:tr>
      <w:tr>
        <w:trPr>
          <w:trHeight w:val="197"/>
        </w:trPr>
        <w:tc>
          <w:tcPr>
            <w:tcW w:w="6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42,019</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0" w:type="dxa"/>
            <w:vAlign w:val="bottom"/>
          </w:tcPr>
          <w:p>
            <w:pPr>
              <w:spacing w:after="0"/>
              <w:rPr>
                <w:sz w:val="18"/>
                <w:szCs w:val="18"/>
                <w:color w:val="auto"/>
              </w:rPr>
            </w:pPr>
          </w:p>
        </w:tc>
      </w:tr>
      <w:tr>
        <w:trPr>
          <w:trHeight w:val="216"/>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liability – current portion</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w:t>
            </w:r>
          </w:p>
        </w:tc>
        <w:tc>
          <w:tcPr>
            <w:tcW w:w="20" w:type="dxa"/>
            <w:vAlign w:val="bottom"/>
          </w:tcPr>
          <w:p>
            <w:pPr>
              <w:spacing w:after="0"/>
              <w:rPr>
                <w:sz w:val="18"/>
                <w:szCs w:val="18"/>
                <w:color w:val="auto"/>
              </w:rPr>
            </w:pPr>
          </w:p>
        </w:tc>
      </w:tr>
      <w:tr>
        <w:trPr>
          <w:trHeight w:val="209"/>
        </w:trPr>
        <w:tc>
          <w:tcPr>
            <w:tcW w:w="6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53,201</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 w:type="dxa"/>
            <w:vAlign w:val="bottom"/>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payable – non-current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71,135</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10,344</w:t>
            </w:r>
          </w:p>
        </w:tc>
        <w:tc>
          <w:tcPr>
            <w:tcW w:w="20" w:type="dxa"/>
            <w:vAlign w:val="bottom"/>
          </w:tcPr>
          <w:p>
            <w:pPr>
              <w:spacing w:after="0"/>
              <w:rPr>
                <w:sz w:val="18"/>
                <w:szCs w:val="18"/>
                <w:color w:val="auto"/>
              </w:rPr>
            </w:pPr>
          </w:p>
        </w:tc>
      </w:tr>
      <w:tr>
        <w:trPr>
          <w:trHeight w:val="209"/>
        </w:trPr>
        <w:tc>
          <w:tcPr>
            <w:tcW w:w="66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169,925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134,985</w:t>
            </w:r>
          </w:p>
        </w:tc>
        <w:tc>
          <w:tcPr>
            <w:tcW w:w="20" w:type="dxa"/>
            <w:vAlign w:val="bottom"/>
          </w:tcPr>
          <w:p>
            <w:pPr>
              <w:spacing w:after="0"/>
              <w:rPr>
                <w:sz w:val="18"/>
                <w:szCs w:val="18"/>
                <w:color w:val="auto"/>
              </w:rPr>
            </w:pPr>
          </w:p>
        </w:tc>
      </w:tr>
      <w:tr>
        <w:trPr>
          <w:trHeight w:val="21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6680" w:type="dxa"/>
            <w:vAlign w:val="bottom"/>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(175,000,000 shares authorized,</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149,437,347 and 146,426,697 shares issued, 149,396,038 and 146,385,388 shares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6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outstanding at March 31, 2023 and December 31, 2022, respectively)</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tcPr>
          <w:p>
            <w:pPr>
              <w:spacing w:after="0"/>
              <w:rPr>
                <w:sz w:val="20"/>
                <w:szCs w:val="20"/>
                <w:color w:val="auto"/>
              </w:rPr>
            </w:pPr>
          </w:p>
        </w:tc>
      </w:tr>
      <w:tr>
        <w:trPr>
          <w:trHeight w:val="216"/>
        </w:trPr>
        <w:tc>
          <w:tcPr>
            <w:tcW w:w="6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1,593,783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1,585,708</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Treasury stock, at cost, 41,309 shares at March 31, 2023 and December 31, 2022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tcPr>
          <w:p>
            <w:pPr>
              <w:spacing w:after="0"/>
              <w:rPr>
                <w:sz w:val="18"/>
                <w:szCs w:val="18"/>
                <w:color w:val="auto"/>
              </w:rPr>
            </w:pPr>
          </w:p>
        </w:tc>
      </w:tr>
      <w:tr>
        <w:trPr>
          <w:trHeight w:val="216"/>
        </w:trPr>
        <w:tc>
          <w:tcPr>
            <w:tcW w:w="6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(1,566,265)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(1,527,033)</w:t>
            </w:r>
          </w:p>
        </w:tc>
        <w:tc>
          <w:tcPr>
            <w:tcW w:w="20" w:type="dxa"/>
            <w:vAlign w:val="bottom"/>
          </w:tcPr>
          <w:p>
            <w:pPr>
              <w:spacing w:after="0"/>
              <w:rPr>
                <w:sz w:val="18"/>
                <w:szCs w:val="18"/>
                <w:color w:val="auto"/>
              </w:rPr>
            </w:pPr>
          </w:p>
        </w:tc>
      </w:tr>
      <w:tr>
        <w:trPr>
          <w:trHeight w:val="209"/>
        </w:trPr>
        <w:tc>
          <w:tcPr>
            <w:tcW w:w="668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58,587</w:t>
            </w:r>
          </w:p>
        </w:tc>
        <w:tc>
          <w:tcPr>
            <w:tcW w:w="20" w:type="dxa"/>
            <w:vAlign w:val="bottom"/>
          </w:tcPr>
          <w:p>
            <w:pPr>
              <w:spacing w:after="0"/>
              <w:rPr>
                <w:sz w:val="18"/>
                <w:szCs w:val="18"/>
                <w:color w:val="auto"/>
              </w:rPr>
            </w:pPr>
          </w:p>
        </w:tc>
      </w:tr>
      <w:tr>
        <w:trPr>
          <w:trHeight w:val="209"/>
        </w:trPr>
        <w:tc>
          <w:tcPr>
            <w:tcW w:w="6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197,358</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193,572</w:t>
            </w:r>
          </w:p>
        </w:tc>
        <w:tc>
          <w:tcPr>
            <w:tcW w:w="2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gridSpan w:val="3"/>
          </w:tcPr>
          <w:p>
            <w:pPr>
              <w:jc w:val="center"/>
              <w:ind w:left="6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5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7,765</w:t>
            </w:r>
          </w:p>
        </w:tc>
        <w:tc>
          <w:tcPr>
            <w:tcW w:w="220" w:type="dxa"/>
            <w:vAlign w:val="bottom"/>
          </w:tcPr>
          <w:p>
            <w:pPr>
              <w:spacing w:after="0"/>
              <w:rPr>
                <w:sz w:val="20"/>
                <w:szCs w:val="20"/>
                <w:color w:val="auto"/>
              </w:rPr>
            </w:pPr>
          </w:p>
        </w:tc>
        <w:tc>
          <w:tcPr>
            <w:tcW w:w="6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License revenue</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220" w:type="dxa"/>
            <w:vAlign w:val="bottom"/>
          </w:tcPr>
          <w:p>
            <w:pPr>
              <w:spacing w:after="0"/>
              <w:rPr>
                <w:sz w:val="18"/>
                <w:szCs w:val="18"/>
                <w:color w:val="auto"/>
              </w:rPr>
            </w:pPr>
          </w:p>
        </w:tc>
        <w:tc>
          <w:tcPr>
            <w:tcW w:w="6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revenue</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compensation</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14,286</w:t>
            </w: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15,870</w:t>
            </w: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compensation</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22,828</w:t>
            </w: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28,068</w:t>
            </w: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44,795</w:t>
            </w: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(36,992)</w:t>
            </w:r>
          </w:p>
        </w:tc>
        <w:tc>
          <w:tcPr>
            <w:tcW w:w="6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w:t>
            </w:r>
          </w:p>
        </w:tc>
        <w:tc>
          <w:tcPr>
            <w:tcW w:w="6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(39,232)</w:t>
            </w:r>
          </w:p>
        </w:tc>
        <w:tc>
          <w:tcPr>
            <w:tcW w:w="680" w:type="dxa"/>
            <w:vAlign w:val="bottom"/>
            <w:shd w:val="clear" w:color="auto" w:fill="CCEEFF"/>
          </w:tcPr>
          <w:p>
            <w:pPr>
              <w:jc w:val="center"/>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(0.28)</w:t>
            </w:r>
          </w:p>
        </w:tc>
        <w:tc>
          <w:tcPr>
            <w:tcW w:w="680" w:type="dxa"/>
            <w:vAlign w:val="bottom"/>
            <w:shd w:val="clear" w:color="auto" w:fill="CCEEFF"/>
          </w:tcPr>
          <w:p>
            <w:pPr>
              <w:jc w:val="center"/>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basic and diluted net loss per</w:t>
            </w:r>
          </w:p>
        </w:tc>
        <w:tc>
          <w:tcPr>
            <w:tcW w:w="3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140,312,269</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134,400,500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TG Therapeutics,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Condensed Consolidated Statements of Changes in Stockholders’ Equity</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(in thousands, except share and per share amounts)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55"/>
        </w:trPr>
        <w:tc>
          <w:tcPr>
            <w:tcW w:w="3740" w:type="dxa"/>
            <w:vAlign w:val="bottom"/>
          </w:tcPr>
          <w:p>
            <w:pPr>
              <w:spacing w:after="0"/>
              <w:rPr>
                <w:sz w:val="13"/>
                <w:szCs w:val="13"/>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18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28"/>
        </w:trPr>
        <w:tc>
          <w:tcPr>
            <w:tcW w:w="3740" w:type="dxa"/>
            <w:vAlign w:val="bottom"/>
          </w:tcPr>
          <w:p>
            <w:pPr>
              <w:spacing w:after="0"/>
              <w:rPr>
                <w:sz w:val="11"/>
                <w:szCs w:val="11"/>
                <w:color w:val="auto"/>
              </w:rPr>
            </w:pPr>
          </w:p>
        </w:tc>
        <w:tc>
          <w:tcPr>
            <w:tcW w:w="920" w:type="dxa"/>
            <w:vAlign w:val="bottom"/>
            <w:tcBorders>
              <w:top w:val="single" w:sz="8" w:color="auto"/>
            </w:tcBorders>
            <w:gridSpan w:val="2"/>
          </w:tcPr>
          <w:p>
            <w:pPr>
              <w:ind w:left="22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0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1"/>
                <w:szCs w:val="11"/>
                <w:color w:val="auto"/>
              </w:rPr>
            </w:pPr>
          </w:p>
        </w:tc>
        <w:tc>
          <w:tcPr>
            <w:tcW w:w="7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w w:val="95"/>
              </w:rPr>
              <w:t>capital</w:t>
            </w:r>
          </w:p>
        </w:tc>
        <w:tc>
          <w:tcPr>
            <w:tcW w:w="60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80" w:type="dxa"/>
            <w:vAlign w:val="bottom"/>
          </w:tcPr>
          <w:p>
            <w:pPr>
              <w:spacing w:after="0"/>
              <w:rPr>
                <w:sz w:val="11"/>
                <w:szCs w:val="11"/>
                <w:color w:val="auto"/>
              </w:rPr>
            </w:pPr>
          </w:p>
        </w:tc>
        <w:tc>
          <w:tcPr>
            <w:tcW w:w="880" w:type="dxa"/>
            <w:vAlign w:val="bottom"/>
            <w:gridSpan w:val="2"/>
          </w:tcPr>
          <w:p>
            <w:pPr>
              <w:jc w:val="right"/>
              <w:ind w:right="32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3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480" w:type="dxa"/>
            <w:vAlign w:val="bottom"/>
          </w:tcPr>
          <w:p>
            <w:pPr>
              <w:spacing w:after="0"/>
              <w:rPr>
                <w:sz w:val="11"/>
                <w:szCs w:val="11"/>
                <w:color w:val="auto"/>
              </w:rPr>
            </w:pPr>
          </w:p>
        </w:tc>
      </w:tr>
      <w:tr>
        <w:trPr>
          <w:trHeight w:val="128"/>
        </w:trPr>
        <w:tc>
          <w:tcPr>
            <w:tcW w:w="37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at January 1, 2022</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143,292,043</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143</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$ 1,565,942</w:t>
            </w:r>
          </w:p>
        </w:tc>
        <w:tc>
          <w:tcPr>
            <w:tcW w:w="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41,309</w:t>
            </w:r>
          </w:p>
        </w:tc>
        <w:tc>
          <w:tcPr>
            <w:tcW w:w="1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(234)</w:t>
            </w: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(1,328,698)</w:t>
            </w:r>
          </w:p>
        </w:tc>
        <w:tc>
          <w:tcPr>
            <w:tcW w:w="1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237,153</w:t>
            </w:r>
          </w:p>
        </w:tc>
      </w:tr>
      <w:tr>
        <w:trPr>
          <w:trHeight w:val="135"/>
        </w:trPr>
        <w:tc>
          <w:tcPr>
            <w:tcW w:w="37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Issuance of common stock in connection with exercise of options</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30,411</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125</w:t>
            </w:r>
          </w:p>
        </w:tc>
        <w:tc>
          <w:tcPr>
            <w:tcW w:w="12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125</w:t>
            </w:r>
          </w:p>
        </w:tc>
      </w:tr>
      <w:tr>
        <w:trPr>
          <w:trHeight w:val="135"/>
        </w:trPr>
        <w:tc>
          <w:tcPr>
            <w:tcW w:w="37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Issuance of restricted stock</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1,852,626</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7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Forfeiture of restricted stock</w:t>
            </w: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(591,746)</w:t>
            </w:r>
          </w:p>
        </w:tc>
        <w:tc>
          <w:tcPr>
            <w:tcW w:w="24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374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Compensation in respect of restricted stock granted to employees,</w:t>
            </w: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r>
      <w:tr>
        <w:trPr>
          <w:trHeight w:val="15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directors and consultants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2,121</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2,121</w:t>
            </w:r>
          </w:p>
        </w:tc>
      </w:tr>
      <w:tr>
        <w:trPr>
          <w:trHeight w:val="135"/>
        </w:trPr>
        <w:tc>
          <w:tcPr>
            <w:tcW w:w="37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(69,013)</w:t>
            </w:r>
          </w:p>
        </w:tc>
        <w:tc>
          <w:tcPr>
            <w:tcW w:w="3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(69,013)</w:t>
            </w:r>
          </w:p>
        </w:tc>
      </w:tr>
      <w:tr>
        <w:trPr>
          <w:trHeight w:val="129"/>
        </w:trPr>
        <w:tc>
          <w:tcPr>
            <w:tcW w:w="37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at March 31, 2022</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144,583,334</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145</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1,568,186</w:t>
            </w:r>
          </w:p>
        </w:tc>
        <w:tc>
          <w:tcPr>
            <w:tcW w:w="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41,309</w:t>
            </w:r>
          </w:p>
        </w:tc>
        <w:tc>
          <w:tcPr>
            <w:tcW w:w="1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(234)</w:t>
            </w: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(1,397,711)</w:t>
            </w:r>
          </w:p>
        </w:tc>
        <w:tc>
          <w:tcPr>
            <w:tcW w:w="1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170,386</w:t>
            </w:r>
          </w:p>
        </w:tc>
      </w:tr>
    </w:tbl>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55"/>
        </w:trPr>
        <w:tc>
          <w:tcPr>
            <w:tcW w:w="3780" w:type="dxa"/>
            <w:vAlign w:val="bottom"/>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26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560" w:type="dxa"/>
            <w:vAlign w:val="bottom"/>
          </w:tcPr>
          <w:p>
            <w:pPr>
              <w:spacing w:after="0"/>
              <w:rPr>
                <w:sz w:val="13"/>
                <w:szCs w:val="13"/>
                <w:color w:val="auto"/>
              </w:rPr>
            </w:pPr>
          </w:p>
        </w:tc>
      </w:tr>
      <w:tr>
        <w:trPr>
          <w:trHeight w:val="128"/>
        </w:trPr>
        <w:tc>
          <w:tcPr>
            <w:tcW w:w="3780" w:type="dxa"/>
            <w:vAlign w:val="bottom"/>
          </w:tcPr>
          <w:p>
            <w:pPr>
              <w:spacing w:after="0"/>
              <w:rPr>
                <w:sz w:val="11"/>
                <w:szCs w:val="11"/>
                <w:color w:val="auto"/>
              </w:rPr>
            </w:pPr>
          </w:p>
        </w:tc>
        <w:tc>
          <w:tcPr>
            <w:tcW w:w="940" w:type="dxa"/>
            <w:vAlign w:val="bottom"/>
            <w:tcBorders>
              <w:top w:val="single" w:sz="8" w:color="auto"/>
            </w:tcBorders>
            <w:gridSpan w:val="2"/>
          </w:tcPr>
          <w:p>
            <w:pPr>
              <w:jc w:val="right"/>
              <w:ind w:right="3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4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1"/>
                <w:szCs w:val="11"/>
                <w:color w:val="auto"/>
              </w:rPr>
            </w:pPr>
          </w:p>
        </w:tc>
        <w:tc>
          <w:tcPr>
            <w:tcW w:w="80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3"/>
                <w:szCs w:val="13"/>
                <w:b w:val="1"/>
                <w:bCs w:val="1"/>
                <w:color w:val="auto"/>
                <w:w w:val="95"/>
              </w:rPr>
              <w:t>capital</w:t>
            </w:r>
          </w:p>
        </w:tc>
        <w:tc>
          <w:tcPr>
            <w:tcW w:w="60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60" w:type="dxa"/>
            <w:vAlign w:val="bottom"/>
            <w:tcBorders>
              <w:top w:val="single" w:sz="8" w:color="auto"/>
            </w:tcBorders>
            <w:gridSpan w:val="2"/>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1"/>
                <w:szCs w:val="11"/>
                <w:color w:val="auto"/>
              </w:rPr>
            </w:pPr>
          </w:p>
        </w:tc>
        <w:tc>
          <w:tcPr>
            <w:tcW w:w="880" w:type="dxa"/>
            <w:vAlign w:val="bottom"/>
            <w:gridSpan w:val="2"/>
          </w:tcPr>
          <w:p>
            <w:pPr>
              <w:jc w:val="right"/>
              <w:ind w:right="32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56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29"/>
        </w:trPr>
        <w:tc>
          <w:tcPr>
            <w:tcW w:w="378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at January 1, 2023</w:t>
            </w: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146,426,697</w:t>
            </w:r>
          </w:p>
        </w:tc>
        <w:tc>
          <w:tcPr>
            <w:tcW w:w="1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146</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$ 1,585,708</w:t>
            </w:r>
          </w:p>
        </w:tc>
        <w:tc>
          <w:tcPr>
            <w:tcW w:w="1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41,309</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(234)</w:t>
            </w:r>
          </w:p>
        </w:tc>
        <w:tc>
          <w:tcPr>
            <w:tcW w:w="1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(1,527,033)</w:t>
            </w:r>
          </w:p>
        </w:tc>
        <w:tc>
          <w:tcPr>
            <w:tcW w:w="1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58,587</w:t>
            </w:r>
          </w:p>
        </w:tc>
      </w:tr>
      <w:tr>
        <w:trPr>
          <w:trHeight w:val="135"/>
        </w:trPr>
        <w:tc>
          <w:tcPr>
            <w:tcW w:w="37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Issuance of common stock in connection with exercise of options</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66,701</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363</w:t>
            </w:r>
          </w:p>
        </w:tc>
        <w:tc>
          <w:tcPr>
            <w:tcW w:w="14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4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363</w:t>
            </w:r>
          </w:p>
        </w:tc>
      </w:tr>
      <w:tr>
        <w:trPr>
          <w:trHeight w:val="135"/>
        </w:trPr>
        <w:tc>
          <w:tcPr>
            <w:tcW w:w="37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Issuance of restricted stock</w:t>
            </w: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3,017,736</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6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7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Warrants issued with debt financing</w:t>
            </w: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595</w:t>
            </w:r>
          </w:p>
        </w:tc>
        <w:tc>
          <w:tcPr>
            <w:tcW w:w="14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4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595</w:t>
            </w:r>
          </w:p>
        </w:tc>
      </w:tr>
      <w:tr>
        <w:trPr>
          <w:trHeight w:val="135"/>
        </w:trPr>
        <w:tc>
          <w:tcPr>
            <w:tcW w:w="37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Forfeiture of restricted stock</w:t>
            </w:r>
          </w:p>
        </w:tc>
        <w:tc>
          <w:tcPr>
            <w:tcW w:w="9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(73,787)</w:t>
            </w: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378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Compensation in respect of restricted stock granted to employees,</w:t>
            </w: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53"/>
        </w:trPr>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directors and consultants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7,120</w:t>
            </w:r>
          </w:p>
        </w:tc>
        <w:tc>
          <w:tcPr>
            <w:tcW w:w="14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7,120</w:t>
            </w:r>
          </w:p>
        </w:tc>
      </w:tr>
      <w:tr>
        <w:trPr>
          <w:trHeight w:val="135"/>
        </w:trPr>
        <w:tc>
          <w:tcPr>
            <w:tcW w:w="37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(39,232)</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(39,232)</w:t>
            </w:r>
          </w:p>
        </w:tc>
      </w:tr>
      <w:tr>
        <w:trPr>
          <w:trHeight w:val="158"/>
        </w:trPr>
        <w:tc>
          <w:tcPr>
            <w:tcW w:w="37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Balance at March 31, 2023</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149,437,347</w:t>
            </w:r>
          </w:p>
        </w:tc>
        <w:tc>
          <w:tcPr>
            <w:tcW w:w="1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4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1,593,783</w:t>
            </w:r>
          </w:p>
        </w:tc>
        <w:tc>
          <w:tcPr>
            <w:tcW w:w="14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41,309</w:t>
            </w: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100" w:type="dxa"/>
            <w:vAlign w:val="bottom"/>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(1,566,265)</w:t>
            </w:r>
          </w:p>
        </w:tc>
        <w:tc>
          <w:tcPr>
            <w:tcW w:w="140" w:type="dxa"/>
            <w:vAlign w:val="bottom"/>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27,433</w:t>
            </w:r>
          </w:p>
        </w:tc>
      </w:tr>
    </w:tbl>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i w:val="1"/>
          <w:iCs w:val="1"/>
          <w:color w:val="auto"/>
        </w:rPr>
        <w:t>*Amount less than one thousand dollars</w:t>
      </w:r>
    </w:p>
    <w:p>
      <w:pPr>
        <w:spacing w:after="0" w:line="11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1"/>
          <w:szCs w:val="11"/>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(39,232)</w:t>
            </w:r>
          </w:p>
        </w:tc>
        <w:tc>
          <w:tcPr>
            <w:tcW w:w="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(69,013)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Noncash stock compensation expense</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6,823</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Amortization of premium (discount) on investment securities</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(301)</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Amortization of leasehold interest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Noncash change in lease liability and right of use asset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 in fair value of notes payable</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Increase in inventory</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(26,924)</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Decrease (increase) in other current assets</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(2,623)</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Decrease (increase) in accounts receivable</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(8,623)</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Increase (decrease) in accounts payable and accrued expenses</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9,858</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Decrease in lease liabilities</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(593)</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Increase in other current liabilities</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619</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Decrease in deferred revenue</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(59,902)</w:t>
            </w:r>
          </w:p>
        </w:tc>
        <w:tc>
          <w:tcPr>
            <w:tcW w:w="2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(68,689)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maturity of short-term securities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16,000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Investment in held-to-maturity securities</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(22,168)</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(56,889)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PPE</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(6,168)</w:t>
            </w:r>
          </w:p>
        </w:tc>
        <w:tc>
          <w:tcPr>
            <w:tcW w:w="2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(43,671)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Payment of loan payable</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exercise of options</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debt financings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Financing costs paid</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25,238</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(40,832)</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(113,210)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103,577</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300,151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22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62,745</w:t>
            </w:r>
          </w:p>
        </w:tc>
        <w:tc>
          <w:tcPr>
            <w:tcW w:w="2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186,941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Reconciliation to amounts on condensed consolidated balance sheets:</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61,469</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185,676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1,276</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62,745</w:t>
            </w:r>
          </w:p>
        </w:tc>
        <w:tc>
          <w:tcPr>
            <w:tcW w:w="2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186,941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paid for:</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1,749</w:t>
            </w:r>
          </w:p>
        </w:tc>
        <w:tc>
          <w:tcPr>
            <w:tcW w:w="200" w:type="dxa"/>
            <w:vAlign w:val="bottom"/>
          </w:tcPr>
          <w:p>
            <w:pPr>
              <w:spacing w:after="0"/>
              <w:rPr>
                <w:sz w:val="12"/>
                <w:szCs w:val="12"/>
                <w:color w:val="auto"/>
              </w:rPr>
            </w:pP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178"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report to “TG,” “Company,” “we,” “us” and “our” refer to TG Therapeutics, Inc. and our subsidiaries.</w:t>
      </w:r>
    </w:p>
    <w:p>
      <w:pPr>
        <w:spacing w:after="0" w:line="116" w:lineRule="exact"/>
        <w:rPr>
          <w:sz w:val="20"/>
          <w:szCs w:val="20"/>
          <w:color w:val="auto"/>
        </w:rPr>
      </w:pPr>
    </w:p>
    <w:p>
      <w:pPr>
        <w:ind w:left="60" w:right="1679"/>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NOTE 1 ORGANIZATION AND SUMMARY OF SIGNIFICANT ACCOUNTING POLICIES </w:t>
      </w:r>
      <w:r>
        <w:rPr>
          <w:rFonts w:ascii="Times New Roman" w:cs="Times New Roman" w:eastAsia="Times New Roman" w:hAnsi="Times New Roman"/>
          <w:sz w:val="18"/>
          <w:szCs w:val="18"/>
          <w:b w:val="1"/>
          <w:bCs w:val="1"/>
          <w:i w:val="1"/>
          <w:iCs w:val="1"/>
          <w:color w:val="auto"/>
        </w:rPr>
        <w:t>Description of Business</w:t>
      </w:r>
    </w:p>
    <w:p>
      <w:pPr>
        <w:jc w:val="both"/>
        <w:ind w:left="60" w:right="59" w:firstLine="648"/>
        <w:spacing w:after="0"/>
        <w:rPr>
          <w:sz w:val="20"/>
          <w:szCs w:val="20"/>
          <w:color w:val="auto"/>
        </w:rPr>
      </w:pPr>
      <w:r>
        <w:rPr>
          <w:rFonts w:ascii="Times New Roman" w:cs="Times New Roman" w:eastAsia="Times New Roman" w:hAnsi="Times New Roman"/>
          <w:sz w:val="18"/>
          <w:szCs w:val="18"/>
          <w:color w:val="auto"/>
        </w:rPr>
        <w:t>TG Therapeutics is a fully-integrated, commercial stage, biopharmaceutical company focused on the acquisition, development and commercialization of novel treatments for B-cell diseases. In addition to a research pipeline including several investigational medicines, TG has received approval from the United States Food and Drug Administration (FDA) for BRIUMVI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(ublituximab-xiiy) for the treatment of adult patients with relapsing forms of multiple sclerosis (RMS), to include clinically isolated syndrome, relapsing-remitting disease, and active secondary progressive disease, in adults. We also actively evaluate complementary products, technologies and companies for in-licensing, partnership, acquisition and/or investment opportunities.</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left="60" w:right="59" w:firstLine="492"/>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were prepared in accordance with U.S. generally accepted accounting principles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2022. The accompanying condensed December 31, 2022 balance sheet has been derived from these statements. The results of operations for the three months ended March 31, 2023 are not necessarily indicative of the results that may be expected for the entire fiscal year or any other interim period.</w:t>
      </w:r>
    </w:p>
    <w:p>
      <w:pPr>
        <w:spacing w:after="0" w:line="86"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In December 2018, the Company created an Australian corporation, TG Therapeutics AUS Pty Ltd. (TG AUS), as a wholly-owned subsidiary. This corporation’s functional currency, the Australian dollar, is also its reporting currency, and its financial statements are translated to U.S. dollars, the Company’s reporting currency, prior to consolidation. The activities of TG AUS result in immaterial currency translation adjustments and, thus, are included in Other Income/Expense on the Company’s condensed consolidated statement of operations. The accompanying condensed consolidated financial statements include the accounts of the Company and its subsidiaries, and all intercompany accounts and transactions have been eliminated in consolidation.</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89" w:lineRule="exact"/>
        <w:rPr>
          <w:sz w:val="20"/>
          <w:szCs w:val="20"/>
          <w:color w:val="auto"/>
        </w:rPr>
      </w:pPr>
    </w:p>
    <w:p>
      <w:pPr>
        <w:jc w:val="both"/>
        <w:ind w:left="60" w:right="59" w:firstLine="492"/>
        <w:spacing w:after="0" w:line="275" w:lineRule="auto"/>
        <w:rPr>
          <w:sz w:val="20"/>
          <w:szCs w:val="20"/>
          <w:color w:val="auto"/>
        </w:rPr>
      </w:pPr>
      <w:r>
        <w:rPr>
          <w:rFonts w:ascii="Times New Roman" w:cs="Times New Roman" w:eastAsia="Times New Roman" w:hAnsi="Times New Roman"/>
          <w:sz w:val="18"/>
          <w:szCs w:val="18"/>
          <w:color w:val="auto"/>
        </w:rPr>
        <w:t>We have incurred operating losses since our inception and expect to continue to incur operating losses for the foreseeable future and may never become profitable. As of March 31, 2023, we have an accumulated deficit of $1.6 billion.</w:t>
      </w:r>
    </w:p>
    <w:p>
      <w:pPr>
        <w:spacing w:after="0" w:line="363" w:lineRule="exact"/>
        <w:rPr>
          <w:sz w:val="20"/>
          <w:szCs w:val="20"/>
          <w:color w:val="auto"/>
        </w:rPr>
      </w:pPr>
    </w:p>
    <w:p>
      <w:pPr>
        <w:jc w:val="both"/>
        <w:ind w:left="60" w:right="59" w:firstLine="492"/>
        <w:spacing w:after="0" w:line="253" w:lineRule="auto"/>
        <w:rPr>
          <w:sz w:val="20"/>
          <w:szCs w:val="20"/>
          <w:color w:val="auto"/>
        </w:rPr>
      </w:pPr>
      <w:r>
        <w:rPr>
          <w:rFonts w:ascii="Times New Roman" w:cs="Times New Roman" w:eastAsia="Times New Roman" w:hAnsi="Times New Roman"/>
          <w:sz w:val="18"/>
          <w:szCs w:val="18"/>
          <w:color w:val="auto"/>
        </w:rPr>
        <w:t>Our major sources of cash have been proceeds from private placement and public offering of equity securities, and from our loan and security agreements executed with Hercules Capital, Inc. (Hercules) (see Note 7 for more information). Since inception, we have incurred significant operating losses. Substantially all our operating losses have resulted from costs incurred in connection with our research and development programs and from selling, general and administrative costs associated with our operations, including our commercialization activities. As of March 31, 2023, we had generated $7.8 million in revenue from drug sales of BRIUMVI. BRIUMVI first became commercially available in the United States in January of 2023. Even with the commercialization of BRIUMVI and the possible future commercialization of our other drug candidates, we may not become profitable. Our ability to achieve profitability depends on our ability to generate revenue and many other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We evaluated whether there are any conditions and events, considered in the aggregate, that raise substantial doubt about our ability to continue as a going concern within one year beyond the filing of this Quarterly Report on Form 10-Q. As of March 31, 2023, we had $139.7 million in cash and cash equivalents, and investment securities. We anticipate that our cash, cash equivalents, and investment securities as of March 31, 2023, capital contractually available under our existing loan and security agreement, and forecasted revenue, will provide sufficient liquidity for more than a twelve-month period from the date of filing of this Quarterly Report on Form 10-Q.</w:t>
      </w:r>
    </w:p>
    <w:p>
      <w:pPr>
        <w:spacing w:after="0" w:line="160" w:lineRule="exact"/>
        <w:rPr>
          <w:sz w:val="20"/>
          <w:szCs w:val="20"/>
          <w:color w:val="auto"/>
        </w:rPr>
      </w:pPr>
    </w:p>
    <w:p>
      <w:pPr>
        <w:jc w:val="both"/>
        <w:ind w:left="60" w:right="59" w:firstLine="537"/>
        <w:spacing w:after="0" w:line="258" w:lineRule="auto"/>
        <w:rPr>
          <w:sz w:val="20"/>
          <w:szCs w:val="20"/>
          <w:color w:val="auto"/>
        </w:rPr>
      </w:pPr>
      <w:r>
        <w:rPr>
          <w:rFonts w:ascii="Times New Roman" w:cs="Times New Roman" w:eastAsia="Times New Roman" w:hAnsi="Times New Roman"/>
          <w:sz w:val="18"/>
          <w:szCs w:val="18"/>
          <w:color w:val="auto"/>
        </w:rPr>
        <w:t>The actual amount of cash that we will need to operate is subject to many factors, including, but not limited to, our commercialization efforts for BRIUMVI, preparations for the potential commercialization of our other drug candidates, and the timing, design and conduct of clinical trials for our drug candidates. We are dependent upon significant future financing to provide the cash necessary to execute our ongoing and future operations, including the commercialization of any of our drug candidates.</w:t>
      </w:r>
    </w:p>
    <w:p>
      <w:pPr>
        <w:spacing w:after="0" w:line="143" w:lineRule="exact"/>
        <w:rPr>
          <w:sz w:val="20"/>
          <w:szCs w:val="20"/>
          <w:color w:val="auto"/>
        </w:rPr>
      </w:pPr>
    </w:p>
    <w:p>
      <w:pPr>
        <w:ind w:left="60" w:right="1399" w:firstLine="492"/>
        <w:spacing w:after="0" w:line="461" w:lineRule="auto"/>
        <w:rPr>
          <w:sz w:val="20"/>
          <w:szCs w:val="20"/>
          <w:color w:val="auto"/>
        </w:rPr>
      </w:pPr>
      <w:r>
        <w:rPr>
          <w:rFonts w:ascii="Times New Roman" w:cs="Times New Roman" w:eastAsia="Times New Roman" w:hAnsi="Times New Roman"/>
          <w:sz w:val="18"/>
          <w:szCs w:val="18"/>
          <w:color w:val="auto"/>
        </w:rPr>
        <w:t xml:space="preserve">Our common stock is quoted on the Nasdaq Capital Market and trades under the symbol “TGTX.” </w:t>
      </w:r>
      <w:r>
        <w:rPr>
          <w:rFonts w:ascii="Times New Roman" w:cs="Times New Roman" w:eastAsia="Times New Roman" w:hAnsi="Times New Roman"/>
          <w:sz w:val="18"/>
          <w:szCs w:val="18"/>
          <w:b w:val="1"/>
          <w:bCs w:val="1"/>
          <w:i w:val="1"/>
          <w:iCs w:val="1"/>
          <w:color w:val="auto"/>
        </w:rPr>
        <w:t>Summary of Significant Accounting Policies</w:t>
      </w:r>
    </w:p>
    <w:p>
      <w:pPr>
        <w:spacing w:after="0" w:line="1"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Our significant accounting policies are described in Note 1 of Notes to Consolidated Financial Statements included in our 2022 Annual Report on Form 10-K, except updated herein or as it relates to revenue recognition, accounts receivable, inventory, cost of product revenue, and the adoption of new accounting standards during the three months ended March 31, 2023. Management does not believe that any recently issued, but not yet effective, accounting pronouncements, if currently adopted, would have a material effect on the Company’s consolidated financial statements.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Pursuant to Topic 606, we recognize revenue to depict the transfer of promised goods or services to customers in an amount that reflects the consideration to which we expect to be entitled in exchange for those goods or services. To achieve this core principle, Topic 606 includes provisions within a five-step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60"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At contract inception, we assess the goods or services promised within each contract and assess whether each promised good or service is distinct and determine those that are performance obligations. We then recognize as revenue the amount of the transaction price that is allocated to the respective performance obligation when the performance obligation is satisfied.</w:t>
      </w:r>
    </w:p>
    <w:p>
      <w:pPr>
        <w:spacing w:after="0" w:line="139"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Product Revenue, Net - The Company recognizes product revenues, net of variable consideration related to certain allowances and accruals, when the customer takes control of the product, which is typically upon delivery to the customer. Product revenue is recorded at the net sales price, or transaction price. The Company records product revenue reserves, which are classified as a reduction in product revenues, to account for the components of variable consideration. Variable consideration includes the following components, which are described below: chargebacks, government rebates, trade discounts and allowances, product returns, and co-payment assistance.</w:t>
      </w:r>
    </w:p>
    <w:p>
      <w:pPr>
        <w:spacing w:after="0" w:line="147" w:lineRule="exact"/>
        <w:rPr>
          <w:sz w:val="20"/>
          <w:szCs w:val="20"/>
          <w:color w:val="auto"/>
        </w:rPr>
      </w:pPr>
    </w:p>
    <w:p>
      <w:pPr>
        <w:jc w:val="both"/>
        <w:ind w:left="60" w:right="59" w:firstLine="492"/>
        <w:spacing w:after="0" w:line="253" w:lineRule="auto"/>
        <w:rPr>
          <w:sz w:val="20"/>
          <w:szCs w:val="20"/>
          <w:color w:val="auto"/>
        </w:rPr>
      </w:pPr>
      <w:r>
        <w:rPr>
          <w:rFonts w:ascii="Times New Roman" w:cs="Times New Roman" w:eastAsia="Times New Roman" w:hAnsi="Times New Roman"/>
          <w:sz w:val="18"/>
          <w:szCs w:val="18"/>
          <w:color w:val="auto"/>
        </w:rPr>
        <w:t>These reserves are based on estimates of the amounts earned or to be claimed on the related sales and are classified as reductions of accounts receivable (if the amount is expected to be settled with a credit against the Company’s customer account) or a liability (if the amount is expected to be settled with a cash payment). The Company’s estimates of reserves established for variable consideration are calculated based upon a consistent application of the expected value method, which is the sum of probability-weighted amounts in a range of possible consideration amounts. These estimates reflect the Company’s current contractual and statutory requirements, specific known market events and trends, industry data, and forecasted customer buying and payment patterns. The amount of variable consideration that is included in the transaction price may be subject to constraint and is included in net product revenues only to the extent that it is probable that a significant reversal in the amount of the cumulative revenue recognized will not occur in a future period. Actual amounts of consideration received may ultimately differ from the Company’s estimates. If actual results vary, the Company adjusts these estimates, which could have an effect on earnings in the period of adjustment.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Chargebacks: Chargebacks for discounts represent the Company’s estimated obligations resulting from contractual commitments to sell product to qualified healthcare providers and government agencies at prices lower than the list prices charged to the customers who directly purchase the product from the Company. The customers charge the Company for the difference between what the customers pay the Company for the product and the customers’ ultimate contractually committed or government required lower selling price to the qualified healthcare providers.</w:t>
      </w:r>
    </w:p>
    <w:p>
      <w:pPr>
        <w:spacing w:after="0" w:line="156"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Government Rebates: Government rebates consist of Medicare, Tricare, and Medicaid rebates. These reserves are recorded in the same period the related revenue is recognized. For Medicare, the Company also estimates the number of patients in the prescription drug coverage gap for whom it will owe a rebate under the Medicare Part D program.</w:t>
      </w:r>
    </w:p>
    <w:p>
      <w:pPr>
        <w:spacing w:after="0" w:line="135" w:lineRule="exact"/>
        <w:rPr>
          <w:sz w:val="20"/>
          <w:szCs w:val="20"/>
          <w:color w:val="auto"/>
        </w:rPr>
      </w:pPr>
    </w:p>
    <w:p>
      <w:pPr>
        <w:jc w:val="both"/>
        <w:ind w:left="60" w:right="59" w:firstLine="492"/>
        <w:spacing w:after="0" w:line="289" w:lineRule="auto"/>
        <w:rPr>
          <w:sz w:val="20"/>
          <w:szCs w:val="20"/>
          <w:color w:val="auto"/>
        </w:rPr>
      </w:pPr>
      <w:r>
        <w:rPr>
          <w:rFonts w:ascii="Times New Roman" w:cs="Times New Roman" w:eastAsia="Times New Roman" w:hAnsi="Times New Roman"/>
          <w:sz w:val="17"/>
          <w:szCs w:val="17"/>
          <w:color w:val="auto"/>
        </w:rPr>
        <w:t>Trade Discounts and Allowances: The Company provides its customers with discounts that are explicitly stated in the contracts and are recorded in the period the related product revenue is recognized. In addition, the Company also receives sales order management, inventory management, and data services from its customers in exchange for certain fees.</w:t>
      </w:r>
    </w:p>
    <w:p>
      <w:pPr>
        <w:spacing w:after="0" w:line="117"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Product Returns: Consistent with industry practice, the Company generally offers customers a limited right of return for product that has been purchased from the Company. The Company estimates the amount of its product sales that may be returned by its customers and records this estimate in the period the related product revenue is recognized. The Company currently estimates product return liabilities based on data from similar products and other qualitative considerations, such as visibility into the inventory remaining in the distribution channel.</w:t>
      </w:r>
    </w:p>
    <w:p>
      <w:pPr>
        <w:spacing w:after="0" w:line="156"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Subject to certain limitations, the Company’s return policy allows for eligible returns of BRIUMVI for credit under the following circumstances:</w:t>
      </w:r>
    </w:p>
    <w:p>
      <w:pPr>
        <w:spacing w:after="0" w:line="121" w:lineRule="exact"/>
        <w:rPr>
          <w:sz w:val="20"/>
          <w:szCs w:val="20"/>
          <w:color w:val="auto"/>
        </w:rPr>
      </w:pPr>
    </w:p>
    <w:p>
      <w:pPr>
        <w:ind w:left="700" w:hanging="157"/>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damaged product;</w:t>
      </w:r>
    </w:p>
    <w:p>
      <w:pPr>
        <w:spacing w:after="0" w:line="184" w:lineRule="exact"/>
        <w:rPr>
          <w:rFonts w:ascii="Times New Roman" w:cs="Times New Roman" w:eastAsia="Times New Roman" w:hAnsi="Times New Roman"/>
          <w:sz w:val="18"/>
          <w:szCs w:val="18"/>
          <w:color w:val="auto"/>
        </w:rPr>
      </w:pPr>
    </w:p>
    <w:p>
      <w:pPr>
        <w:ind w:left="700" w:hanging="157"/>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shipment errors that were a result of an error by the Company;</w:t>
      </w:r>
    </w:p>
    <w:p>
      <w:pPr>
        <w:spacing w:after="0" w:line="198" w:lineRule="exact"/>
        <w:rPr>
          <w:rFonts w:ascii="Times New Roman" w:cs="Times New Roman" w:eastAsia="Times New Roman" w:hAnsi="Times New Roman"/>
          <w:sz w:val="18"/>
          <w:szCs w:val="18"/>
          <w:color w:val="auto"/>
        </w:rPr>
      </w:pPr>
    </w:p>
    <w:p>
      <w:pPr>
        <w:ind w:left="60" w:right="79" w:firstLine="483"/>
        <w:spacing w:after="0" w:line="282" w:lineRule="auto"/>
        <w:tabs>
          <w:tab w:leader="none" w:pos="7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expired product that is returned during the period beginning three months prior to the product’s expiration and ending six months after the expiration date;</w:t>
      </w:r>
    </w:p>
    <w:p>
      <w:pPr>
        <w:spacing w:after="0" w:line="121" w:lineRule="exact"/>
        <w:rPr>
          <w:rFonts w:ascii="Times New Roman" w:cs="Times New Roman" w:eastAsia="Times New Roman" w:hAnsi="Times New Roman"/>
          <w:sz w:val="18"/>
          <w:szCs w:val="18"/>
          <w:color w:val="auto"/>
        </w:rPr>
      </w:pPr>
    </w:p>
    <w:p>
      <w:pPr>
        <w:ind w:left="700" w:hanging="157"/>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subject to a recall; and</w:t>
      </w:r>
    </w:p>
    <w:p>
      <w:pPr>
        <w:spacing w:after="0" w:line="184" w:lineRule="exact"/>
        <w:rPr>
          <w:rFonts w:ascii="Times New Roman" w:cs="Times New Roman" w:eastAsia="Times New Roman" w:hAnsi="Times New Roman"/>
          <w:sz w:val="18"/>
          <w:szCs w:val="18"/>
          <w:color w:val="auto"/>
        </w:rPr>
      </w:pPr>
    </w:p>
    <w:p>
      <w:pPr>
        <w:ind w:left="700" w:hanging="157"/>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that the Company, at its sole discretion, has specified can be returned for credit.</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As of March 31, 2023, the Company has not received any returns related to sales of BRIUMVI.</w:t>
      </w:r>
    </w:p>
    <w:p>
      <w:pPr>
        <w:spacing w:after="0" w:line="185"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Co-Payment Assistance Programs: Co-payment assistance is provided to qualified patients with commercial insurance, whereby the Company may provide financial assistance to patients with prescription drug co-payments required by the patient's insurance provider. Reserves for co-payment assistance are recorded in the same period the related revenue is recognized.</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02"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In general, accounts receivable consists of amounts due from customers, net of customer allowances for cash discounts, product returns and chargebacks. Our contracts with customers have standard payment terms. We analyze accounts that are past due for collectability, and regularly evaluate the creditworthiness of our customers so that we can properly assess and respond to changes in their credit profiles. As of March 31, 2023, we determined an allowance for expected credit losses related to outstanding accounts receivable was currently not required based upon our review of contractual payment terms and individual customer circumstances.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Cost of product revenue consists primarily of third-party manufacturing costs, distribution, overhead and royalties owed to our licensing partner for BRIUMVI sales. Cost of sales may also include costs related to excess or obsolete inventory adjustment charges, abnormal costs, unabsorbed manufacturing and overhead costs, and manufacturing</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variances. Based on our policy to expense costs associated with the manufacture of our products prior to regulatory approval, a portion of the costs of producing BRIUMVI sold to date was expensed as research and development prior to the FDA approval of BRIUMVI and therefore it is not reflected in the cost of product revenue.</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89"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Prior to regulatory approval, we expense costs relating to the production of inventory as research and development expense in the period incurred. Following regulatory approval, costs to manufacture those approved products will be capitalized. Inventories are stated at the lower of cost or estimated net realizable value with cost based on the first-in-first-out method (FIFO). Inventory that can be used in either the production of clinical or commercial products is expensed as research and development costs when identified for use in clinical trials.</w:t>
      </w:r>
    </w:p>
    <w:p>
      <w:pPr>
        <w:spacing w:after="0" w:line="143"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Prior to the approval of BRIUMVI, all manufacturing and other potential costs related to the commercial launch of BRIUMVI were expensed to research and development expense in the period incurred.</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89"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Basic net loss per share of our common stock is calculated by dividing net loss applicable to the common stock by the weighted-average number of our common stock outstanding for the period. Diluted net loss per share of common stock is the same as basic net loss per share of common stock since potentially dilutive securities from stock options, restricted stock, stock warrants and convertible preferred stock would have an antidilutive effect either because we incurred a net loss during the period presented or because such potentially dilutive securities were out of the money and the Company realized net income during the period presented. The cumulative amounts of potentially dilutive securities excluded from the calculation were 14,209,749 and 12,657,717 for the three months ended March 31, 2023 and 2022, respectively.</w:t>
      </w:r>
    </w:p>
    <w:p>
      <w:pPr>
        <w:spacing w:after="0" w:line="1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summarizes our potentially dilutive securities at March 31, 2023 and 2022:</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4"/>
          <w:szCs w:val="14"/>
          <w:b w:val="1"/>
          <w:bCs w:val="1"/>
          <w:color w:val="auto"/>
        </w:rPr>
        <w:t>Three Months Ended</w:t>
      </w:r>
    </w:p>
    <w:tbl>
      <w:tblPr>
        <w:tblLayout w:type="fixed"/>
        <w:tblInd w:w="4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42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648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r>
      <w:tr>
        <w:trPr>
          <w:trHeight w:val="209"/>
        </w:trPr>
        <w:tc>
          <w:tcPr>
            <w:tcW w:w="6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9,000,857</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9,952,451</w:t>
            </w:r>
          </w:p>
        </w:tc>
        <w:tc>
          <w:tcPr>
            <w:tcW w:w="180" w:type="dxa"/>
            <w:vAlign w:val="bottom"/>
            <w:shd w:val="clear" w:color="auto" w:fill="CCEEFF"/>
          </w:tcPr>
          <w:p>
            <w:pPr>
              <w:spacing w:after="0"/>
              <w:rPr>
                <w:sz w:val="18"/>
                <w:szCs w:val="18"/>
                <w:color w:val="auto"/>
              </w:rPr>
            </w:pPr>
          </w:p>
        </w:tc>
      </w:tr>
      <w:tr>
        <w:trPr>
          <w:trHeight w:val="216"/>
        </w:trPr>
        <w:tc>
          <w:tcPr>
            <w:tcW w:w="6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4,876,484</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2,423,991</w:t>
            </w:r>
          </w:p>
        </w:tc>
        <w:tc>
          <w:tcPr>
            <w:tcW w:w="180" w:type="dxa"/>
            <w:vAlign w:val="bottom"/>
          </w:tcPr>
          <w:p>
            <w:pPr>
              <w:spacing w:after="0"/>
              <w:rPr>
                <w:sz w:val="18"/>
                <w:szCs w:val="18"/>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312,272</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262,100</w:t>
            </w:r>
          </w:p>
        </w:tc>
        <w:tc>
          <w:tcPr>
            <w:tcW w:w="180" w:type="dxa"/>
            <w:vAlign w:val="bottom"/>
            <w:shd w:val="clear" w:color="auto" w:fill="CCEEFF"/>
          </w:tcPr>
          <w:p>
            <w:pPr>
              <w:spacing w:after="0"/>
              <w:rPr>
                <w:sz w:val="18"/>
                <w:szCs w:val="18"/>
                <w:color w:val="auto"/>
              </w:rPr>
            </w:pPr>
          </w:p>
        </w:tc>
      </w:tr>
      <w:tr>
        <w:trPr>
          <w:trHeight w:val="216"/>
        </w:trPr>
        <w:tc>
          <w:tcPr>
            <w:tcW w:w="64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Shares issuable upon note conversion</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20,136</w:t>
            </w:r>
          </w:p>
        </w:tc>
        <w:tc>
          <w:tcPr>
            <w:tcW w:w="2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19,175</w:t>
            </w:r>
          </w:p>
        </w:tc>
        <w:tc>
          <w:tcPr>
            <w:tcW w:w="180" w:type="dxa"/>
            <w:vAlign w:val="bottom"/>
            <w:tcBorders>
              <w:bottom w:val="single" w:sz="8" w:color="CCEEFF"/>
            </w:tcBorders>
          </w:tcPr>
          <w:p>
            <w:pPr>
              <w:spacing w:after="0"/>
              <w:rPr>
                <w:sz w:val="18"/>
                <w:szCs w:val="18"/>
                <w:color w:val="auto"/>
              </w:rPr>
            </w:pPr>
          </w:p>
        </w:tc>
      </w:tr>
      <w:tr>
        <w:trPr>
          <w:trHeight w:val="210"/>
        </w:trPr>
        <w:tc>
          <w:tcPr>
            <w:tcW w:w="64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14,209,749</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12,657,717</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NET PRODUCT REVENUE</w:t>
      </w:r>
    </w:p>
    <w:p>
      <w:pPr>
        <w:spacing w:after="0" w:line="20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2023 our only source of product revenue has been from U.S. sales of BRIUMVI which we began shipping to our customers in January 2023. For the three months ended March 31, 2022 our only source of product revenue was from the U.S. sales of UKONIQ, which we began shipping to our customers in February 2021. The voluntary withdrawal of UKONIQ from the U.S. market was announced on April 15, 2022. Effective May 31, 2022, UKONIQ was officially withdrawn from the market.</w:t>
      </w:r>
    </w:p>
    <w:p>
      <w:pPr>
        <w:spacing w:after="0" w:line="183"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As of March 31, 2023, approximately $1.9 million of estimated gross-to-net accruals have been recorded as a reduction of accounts receivable, net and within accounts payable and accrued expenses on the condensed consolidated balance sheets.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INVESTMENT SECURITIES</w:t>
      </w:r>
    </w:p>
    <w:p>
      <w:pPr>
        <w:spacing w:after="0" w:line="31" w:lineRule="exact"/>
        <w:rPr>
          <w:sz w:val="20"/>
          <w:szCs w:val="20"/>
          <w:color w:val="auto"/>
        </w:rPr>
      </w:pPr>
    </w:p>
    <w:p>
      <w:pPr>
        <w:jc w:val="both"/>
        <w:ind w:left="60" w:right="59" w:firstLine="492"/>
        <w:spacing w:after="0" w:line="260" w:lineRule="auto"/>
        <w:rPr>
          <w:sz w:val="20"/>
          <w:szCs w:val="20"/>
          <w:color w:val="auto"/>
        </w:rPr>
      </w:pPr>
      <w:r>
        <w:rPr>
          <w:rFonts w:ascii="Times New Roman" w:cs="Times New Roman" w:eastAsia="Times New Roman" w:hAnsi="Times New Roman"/>
          <w:sz w:val="18"/>
          <w:szCs w:val="18"/>
          <w:color w:val="auto"/>
        </w:rPr>
        <w:t>Our investments as of March 31, 2023 and December 31, 2022 are classified as held-to-maturity. Held-to-maturity investments are recorded at amortized cost.</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tables summarize our investment securities at March 31, 2023 and December 31, 2022:</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88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00" w:type="dxa"/>
            <w:vAlign w:val="bottom"/>
          </w:tcPr>
          <w:p>
            <w:pPr>
              <w:spacing w:after="0"/>
              <w:rPr>
                <w:sz w:val="10"/>
                <w:szCs w:val="10"/>
                <w:color w:val="auto"/>
              </w:rPr>
            </w:pPr>
          </w:p>
        </w:tc>
        <w:tc>
          <w:tcPr>
            <w:tcW w:w="8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8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780" w:type="dxa"/>
            <w:vAlign w:val="bottom"/>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cost, as</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2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Obligations of domestic governmental agencies (maturing between</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2023 and March 2024) (held-to-maturity)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78,241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77,292</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short-term investment securities</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$ 78,241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88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00" w:type="dxa"/>
            <w:vAlign w:val="bottom"/>
          </w:tcPr>
          <w:p>
            <w:pPr>
              <w:spacing w:after="0"/>
              <w:rPr>
                <w:sz w:val="10"/>
                <w:szCs w:val="10"/>
                <w:color w:val="auto"/>
              </w:rPr>
            </w:pPr>
          </w:p>
        </w:tc>
        <w:tc>
          <w:tcPr>
            <w:tcW w:w="8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8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cost, as</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20" w:type="dxa"/>
            <w:vAlign w:val="bottom"/>
          </w:tcPr>
          <w:p>
            <w:pPr>
              <w:spacing w:after="0"/>
              <w:rPr>
                <w:sz w:val="15"/>
                <w:szCs w:val="15"/>
                <w:color w:val="auto"/>
              </w:rPr>
            </w:pPr>
          </w:p>
        </w:tc>
        <w:tc>
          <w:tcPr>
            <w:tcW w:w="7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Obligations of domestic governmental agencies (maturing between</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2022 and April 2022) (held-to-maturity)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Obligations of domestic governmental agencies (maturing between</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2023 and June 2023) (held-to-maturity)</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11,975</w:t>
            </w:r>
          </w:p>
        </w:tc>
        <w:tc>
          <w:tcPr>
            <w:tcW w:w="0" w:type="dxa"/>
            <w:vAlign w:val="bottom"/>
          </w:tcPr>
          <w:p>
            <w:pPr>
              <w:spacing w:after="0"/>
              <w:rPr>
                <w:sz w:val="1"/>
                <w:szCs w:val="1"/>
                <w:color w:val="auto"/>
              </w:rPr>
            </w:pPr>
          </w:p>
        </w:tc>
      </w:tr>
      <w:tr>
        <w:trPr>
          <w:trHeight w:val="21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short-term and long-term investment securities</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$ 71,778</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70,296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INVENTORY</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our inventory as of March 31, 2023 (in thousands):</w:t>
      </w:r>
    </w:p>
    <w:p>
      <w:pPr>
        <w:spacing w:after="0" w:line="200" w:lineRule="exact"/>
        <w:rPr>
          <w:sz w:val="20"/>
          <w:szCs w:val="20"/>
          <w:color w:val="auto"/>
        </w:rPr>
      </w:pP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5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March 31, 2023</w:t>
            </w:r>
          </w:p>
        </w:tc>
      </w:tr>
      <w:tr>
        <w:trPr>
          <w:trHeight w:val="237"/>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tcPr>
          <w:p>
            <w:pPr>
              <w:ind w:left="20"/>
              <w:spacing w:after="0" w:line="234" w:lineRule="exact"/>
              <w:rPr>
                <w:sz w:val="20"/>
                <w:szCs w:val="20"/>
                <w:color w:val="auto"/>
              </w:rPr>
            </w:pPr>
            <w:r>
              <w:rPr>
                <w:rFonts w:ascii="Calibri" w:cs="Calibri" w:eastAsia="Calibri" w:hAnsi="Calibri"/>
                <w:sz w:val="20"/>
                <w:szCs w:val="20"/>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4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27,145</w:t>
            </w:r>
          </w:p>
        </w:tc>
      </w:tr>
      <w:tr>
        <w:trPr>
          <w:trHeight w:val="243"/>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27,221</w:t>
            </w:r>
          </w:p>
        </w:tc>
      </w:tr>
      <w:tr>
        <w:trPr>
          <w:trHeight w:val="20"/>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60" w:right="119" w:firstLine="492"/>
        <w:spacing w:after="0" w:line="253"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and consists of raw materials, work-in-process and finished goods. Cost is determined using a standard cost method, which approximates actual cost, and assumes a FIFO flow of goods. At March 31, 2023, all of our inventory was related to BRIUMVI, which was approved by the FDA on December 28, 2022, at which time we began to capitalize costs to manufacture BRIUMVI. The Company has not recorded any inventory write downs since that time. Prior to the FDA approval of BRIUMVI, all costs related to the manufacturing of BRIUMVI and related material were charged to research and development expense in the period incurred. No costs related to the manufacturing of BRIUMVI and the related material were incurred between the approval date and year end 2022, therefore, inventory is not included in the December 31, 2022 condensed consolidated balance sheets. Inventory that is used for clinical development purposes is expensed to research and development expense when consumed. At March 31, 2023, we determined that a reserve related to BRIUMVI inventory is not required. We currently use a limited number of third-party contract manufacturing organizations (CMOs) to produce our inventory.</w:t>
      </w: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189"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on a recurring basis in the condensed consolidated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39" w:lineRule="exact"/>
        <w:rPr>
          <w:sz w:val="20"/>
          <w:szCs w:val="20"/>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and liabilities;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Level 1 quoted prices that are directly or indirectly observable;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180"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At the time of our merger (we were then known as Manhattan Pharmaceuticals, Inc. (Manhattan))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We have no obligations under the 5% Notes aside from the conversion feature.</w:t>
      </w:r>
    </w:p>
    <w:p>
      <w:pPr>
        <w:spacing w:after="0" w:line="143"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include cash, cash equivalents consisting of money market funds, accounts receivable, accounts payable and loan payable. As of March 31, 2023 and December 31, 2022, the fair values of cash and cash equivalents, restricted cash, accounts receivable, and loan and interest payable approximate their carrying value. The carrying value of loan payable on the Company’s balance sheet is estimated to approximate its fair value as the interest rate approximates the market rate for loans with similar terms and risk characteristics.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492"/>
        <w:spacing w:after="0" w:line="266" w:lineRule="auto"/>
        <w:rPr>
          <w:sz w:val="20"/>
          <w:szCs w:val="20"/>
          <w:color w:val="auto"/>
        </w:rPr>
      </w:pPr>
      <w:r>
        <w:rPr>
          <w:rFonts w:ascii="Times New Roman" w:cs="Times New Roman" w:eastAsia="Times New Roman" w:hAnsi="Times New Roman"/>
          <w:sz w:val="18"/>
          <w:szCs w:val="18"/>
          <w:color w:val="auto"/>
        </w:rPr>
        <w:t>We have no Level 1 or Level 2 instruments. Our Level 3 instrument amounts represent the fair value of the 5% Notes and related accrued interest. The following table summarizes the changes in Level 3 instruments during the three months ended March 31, 2023:</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accrued on face value of 5% Notes</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Level 3 liabilities</w:t>
            </w:r>
          </w:p>
        </w:tc>
        <w:tc>
          <w:tcPr>
            <w:tcW w:w="4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0"/>
        </w:trPr>
        <w:tc>
          <w:tcPr>
            <w:tcW w:w="7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change in the fair value of the Level 3 liabilities is reported in other (income) expense in the accompanying condensed consolidated statements of operations.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STOCKHOLDERS’ EQUITY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02"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9"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up to 175,000,000 shares of $0.001 par value common stock.</w:t>
      </w:r>
    </w:p>
    <w:p>
      <w:pPr>
        <w:spacing w:after="0" w:line="135"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On September 2, 2022, we filed an automatic “shelf registration” statement on Form S-3 (the 2022 WKSI Shelf) as a “well-known seasoned issuer” as defined in Rule 405 under the Securities Act, which registered an unlimited and indeterminate amount of debt or equity securities for future issuance and sale. The 2022 WKSI Shelf was declared effective in September 2022. In connection with the 2022 WKSI Shelf, we entered into an At-the-Market Issuance Sales Agreement (the 2022 ATM) with Cantor Fitzgerald &amp; Co. and B. Riley Securities, Inc. (each a 2022 Agent and collectively, the 2022 Agents), relating to the sale of shares of our common stock. Under the 2022 ATM, we will pay the 2022 Agents a commission rate of up to 3.0% of the gross proceeds from the sale of any shares of common stock.</w:t>
      </w:r>
    </w:p>
    <w:p>
      <w:pPr>
        <w:spacing w:after="0" w:line="1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We had no activity on the 2022 ATM during the three months ended March 31, 2023.</w:t>
      </w:r>
    </w:p>
    <w:p>
      <w:pPr>
        <w:spacing w:after="0" w:line="185"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The 2022 WKSI Shelf is currently our only active shelf-registration statement. We may offer any combination of the securities registered under the 2022 WKSI Shelf from time to time in response to market conditions or other circumstances if we believe such a plan of financing is in the best interests of our stockholders. We may need to file additional shelf-registration statements in the future to provide us with the flexibility to raise additional capital to finance our operations as needed.</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89"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The TG Therapeutics, Inc. 2022 Incentive Plan (the 2022 Incentive Plan) was approved by stockholders in June 2022 with 17 million shares available to be issued, of which not more than 10 million shares may be issued pursuant to “full-value awards.” Full-value awards include any award other than an option or stock appreciation right and which is settled by the issuance of stock. As of March 31, 2023, 4,948,662 shares of restricted stock and 2,272,500 options were outstanding and up to an additional 9,247,521 shares were available to be issued under the 2022 Incentive Plan.</w:t>
      </w:r>
    </w:p>
    <w:p>
      <w:pPr>
        <w:spacing w:after="0" w:line="143"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TG Therapeutics, Inc. Amended and Restated 2012 Incentive Plan (the 2012 Incentive Plan) was approved by stockholders in June 2020. As of March 31, 2023, 5,552,226 shares of restricted stock and 2,603,984 options were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outstanding, and no additional shares were available to be issued under the 2012 Incentive Plan as the 2022 Incentive Plan is now the only active incentive plan.</w:t>
      </w:r>
    </w:p>
    <w:p>
      <w:pPr>
        <w:spacing w:after="0" w:line="13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Stock-based compensation expense included in the condensed consolidated statements of operations was $6.8 million and $2.1 million for the three months ended March 31, 2023 and 2022, respectively. The $6.8 million for the three months ended March 31, 2023, is net of $0.3 million of stock-based compensation expense that was capitalized into inventory.</w:t>
      </w:r>
    </w:p>
    <w:p>
      <w:pPr>
        <w:spacing w:after="0" w:line="3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Stock Options and Restricted Stock</w:t>
      </w:r>
    </w:p>
    <w:p>
      <w:pPr>
        <w:spacing w:after="0" w:line="200" w:lineRule="exact"/>
        <w:rPr>
          <w:sz w:val="20"/>
          <w:szCs w:val="20"/>
          <w:color w:val="auto"/>
        </w:rPr>
      </w:pPr>
    </w:p>
    <w:p>
      <w:pPr>
        <w:spacing w:after="0" w:line="201"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for stock options and restricted stock for the three months ended March 31, 2023:</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7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4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Restricted Stock</w:t>
            </w:r>
          </w:p>
        </w:tc>
      </w:tr>
      <w:tr>
        <w:trPr>
          <w:trHeight w:val="210"/>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awards outstanding, beginning of year</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5,135,685</w:t>
            </w:r>
          </w:p>
        </w:tc>
        <w:tc>
          <w:tcPr>
            <w:tcW w:w="2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8,732,286</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during the year:</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3,017,736</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 or vested</w:t>
            </w: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(66,701)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(1,175,347)</w:t>
            </w:r>
          </w:p>
        </w:tc>
      </w:tr>
      <w:tr>
        <w:trPr>
          <w:trHeight w:val="23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 or Forfeited</w:t>
            </w:r>
          </w:p>
        </w:tc>
        <w:tc>
          <w:tcPr>
            <w:tcW w:w="1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(192,500)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(73,787)</w:t>
            </w:r>
          </w:p>
        </w:tc>
      </w:tr>
      <w:tr>
        <w:trPr>
          <w:trHeight w:val="203"/>
        </w:trPr>
        <w:tc>
          <w:tcPr>
            <w:tcW w:w="570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Equity awards outstanding, end of period</w:t>
            </w:r>
          </w:p>
        </w:tc>
        <w:tc>
          <w:tcPr>
            <w:tcW w:w="14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4,876,484</w:t>
            </w:r>
          </w:p>
        </w:tc>
        <w:tc>
          <w:tcPr>
            <w:tcW w:w="280" w:type="dxa"/>
            <w:vAlign w:val="bottom"/>
            <w:tcBorders>
              <w:top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10,500,888</w:t>
            </w:r>
          </w:p>
        </w:tc>
      </w:tr>
      <w:tr>
        <w:trPr>
          <w:trHeight w:val="20"/>
        </w:trPr>
        <w:tc>
          <w:tcPr>
            <w:tcW w:w="57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2023, total compensation cost related to unvested awards not yet recognized and the weighted-average periods over which the awards are expected to be recognized were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Restricted Stock</w:t>
            </w:r>
          </w:p>
        </w:tc>
      </w:tr>
      <w:tr>
        <w:trPr>
          <w:trHeight w:val="210"/>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compensation cost</w:t>
            </w:r>
          </w:p>
        </w:tc>
        <w:tc>
          <w:tcPr>
            <w:tcW w:w="4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51,264</w:t>
            </w:r>
          </w:p>
        </w:tc>
      </w:tr>
      <w:tr>
        <w:trPr>
          <w:trHeight w:val="234"/>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weighted-average period in years of compensation cost to be recognized</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185"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The Company’s only outstanding warrants are the warrants issued to Hercules as part of the Loan Agreement, the Amended Loan Agreement and the First Amendment (as such terms are defined below) to purchase 147,058, 115,042 and 50,172 shares of our common stock with exercise prices of $4.08, $17.95 and $14.70, respectively. See Note 7 for further details. There will not be any ongoing stock compensation expense volatility associated with these warrants.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LOAN PAYABLE</w:t>
      </w:r>
    </w:p>
    <w:p>
      <w:pPr>
        <w:spacing w:after="0" w:line="202"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On February 28, 2019 (the Closing Date), we entered into a term loan facility with Hercules Capital, Inc. (Hercules or Lender), which provided us with the capacity to borrow up to an aggregate principal amount of $60.0 million (Term Loan). The Term Loan is governed by a loan and security agreement, dated February 28, 2019 (the Loan Agreement), which provides for up to four separate advances. The first advance of $30.0 million was drawn on the Closing Date. An additional $30.0 million under the Term Loan was previously available upon the completion of different milestones and time points that have now lapsed.</w:t>
      </w:r>
    </w:p>
    <w:p>
      <w:pPr>
        <w:spacing w:after="0" w:line="147"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On December 30, 2021 (the Amended Loan Agreement Closing Date), the Company entered into an Amended and Restated Loan and Security Agreement (the Amended Loan Agreement) with Hercules Capital, Inc. The Amended Loan Agreement amended the terms of the Loan Agreement to, among other things, (i) increase the aggregate principal amount of the loan, available at the Company’s option, from $60.0 million to $200.0 million (the Amended Term Loan), (ii) issue a first advance of $70.0 million drawn at the Amended Loan Agreement Closing Date, a portion of which was used to refinance the current outstanding loan balance of approximately $7.8 million and pay for expenses incurred by the Lender in executing the agreements, (iii) change the draw amounts and dates available in subsequent tranches, (iv) extend the maturity date of the facility from the original March 1, 2022 to January 1, 2026, (v) reset and extend the interest only period from April 1, 2021 to February 1, 2025 and extendable to August 1, 2025 subject to the achievement of certain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performance milestones, and (vi) modify the cash interest rate to be the greater of either (a) the “prime rate” as reported in The Wall Street Journal plus 2.15%, and (b) 5.40%. In addition to the cash interest rate, the principal balance will accrue paid-in-kind interest at a rate of 3.45%, which amount will be capitalized and added to the outstanding principal balance of the Amended Term Loan and payable at the maturity date of the Amended Loan Agreement. The performance milestones are based on achievement of certain FDA approvals and impact the potential extension of the interest only period, access to future advances under the Loan Agreement and minimum cash levels required under the Amended Loan Agreement.</w:t>
      </w:r>
    </w:p>
    <w:p>
      <w:pPr>
        <w:spacing w:after="0" w:line="160"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The Amended Loan Agreement contains financial covenants from and after October 15, 2022 that require the Company to maintain certain levels of unrestricted cash and additional financial covenants related to market capitalization and unrestricted cash commencing on July 1, 2023 at any time when the Amended Term Loan advances made under the Amended Loan Agreement are greater than $70 million.</w:t>
      </w:r>
    </w:p>
    <w:p>
      <w:pPr>
        <w:spacing w:after="0" w:line="139" w:lineRule="exact"/>
        <w:rPr>
          <w:sz w:val="20"/>
          <w:szCs w:val="20"/>
          <w:color w:val="auto"/>
        </w:rPr>
      </w:pPr>
    </w:p>
    <w:p>
      <w:pPr>
        <w:jc w:val="both"/>
        <w:ind w:left="60" w:right="59" w:firstLine="492"/>
        <w:spacing w:after="0" w:line="252" w:lineRule="auto"/>
        <w:rPr>
          <w:sz w:val="20"/>
          <w:szCs w:val="20"/>
          <w:color w:val="auto"/>
        </w:rPr>
      </w:pPr>
      <w:r>
        <w:rPr>
          <w:rFonts w:ascii="Times New Roman" w:cs="Times New Roman" w:eastAsia="Times New Roman" w:hAnsi="Times New Roman"/>
          <w:sz w:val="18"/>
          <w:szCs w:val="18"/>
          <w:color w:val="auto"/>
        </w:rPr>
        <w:t>On March 31, 2023 (the First Amendment Effective Date), the Company entered into a First Amendment to the Amended and Restated Loan and Security Agreement (the First Amendment) with Hercules. The First Amendment amended the terms of the Amended Loan Agreement to, among other things, (i) issue an advance of $25.0 million drawn at the First Amendment Effective Date (the Tranche 3A Advance), (ii) formal expiration of Tranche 2, (iii) change the draw amounts and dates available under subsequent tranches, including splitting the remaining balance of Tranche 3 into two additional advances in an aggregate principal amount of up to $20.0 million, in increments of $10.0 million (each a Tranche 3B Advance and Tranche 3C Advance), decreasing the amount available under Tranche 4 from $65.0 million to $60.0 million, and adding a Tranche 5 of $25.0 million, subject to the achievement of revenue related performance milestones, (iv) extend the interest only period from February 1, 2025 to August 1, 2025, and (v) modify the cash interest rate to be the greater of either (a) the “prime rate” as reported in The Wall Street Journal plus 1.20%, and (b) 8.95%. In addition to the cash interest rate, the principal balance will accrue paid-in-kind interest at a rate of 2.25%, which amount will be capitalized and added to the outstanding principal balance of the Amended Term Loan and payable at the maturity date of the Amended Loan Agreement. The First Amendment requires that the additional financial covenants referenced above apply at all times commencing on July 1, 2023.</w:t>
      </w:r>
    </w:p>
    <w:p>
      <w:pPr>
        <w:spacing w:after="0" w:line="157"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The First Amendment also contains warrant coverage of 2.95% of each advance amount funded. A warrant was issued by the Company to Hercules to purchase 50,172 shares of common stock with an exercise price of $14.70 for the amount funded pertaining to the Tranche 3A Advance (the First Amendment Warrant). The First Amendment Warrant shall be exercisable for seven years from the date of issuance. Hercules may exercise the First Amendment Warrant either by (a) cash or check or (b) through a net issuance conversion.</w:t>
      </w:r>
    </w:p>
    <w:p>
      <w:pPr>
        <w:spacing w:after="0" w:line="156"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In addition, the Company is required to pay a final payment fee equal to 5.95% of the aggregate principal amount of the Term Loan Advances (as defined in the Loan Agreement) plus 4.95% of the aggregate principal amount of all other advances.</w:t>
      </w:r>
    </w:p>
    <w:p>
      <w:pPr>
        <w:spacing w:after="0" w:line="135" w:lineRule="exact"/>
        <w:rPr>
          <w:sz w:val="20"/>
          <w:szCs w:val="20"/>
          <w:color w:val="auto"/>
        </w:rPr>
      </w:pPr>
    </w:p>
    <w:p>
      <w:pPr>
        <w:jc w:val="both"/>
        <w:ind w:left="60" w:right="79" w:firstLine="492"/>
        <w:spacing w:after="0" w:line="261" w:lineRule="auto"/>
        <w:rPr>
          <w:sz w:val="20"/>
          <w:szCs w:val="20"/>
          <w:color w:val="auto"/>
        </w:rPr>
      </w:pPr>
      <w:r>
        <w:rPr>
          <w:rFonts w:ascii="Times New Roman" w:cs="Times New Roman" w:eastAsia="Times New Roman" w:hAnsi="Times New Roman"/>
          <w:sz w:val="18"/>
          <w:szCs w:val="18"/>
          <w:color w:val="auto"/>
        </w:rPr>
        <w:t>The Company may, at its option, prepay the Amended Term Loan in full or in part, subject to a prepayment penalty equal to (i) 1.5% of the principal amount prepaid if the prepayment occurs prior to the first anniversary of the First Amendment Effective Date, and (ii) 1.0% of the principal amount prepaid if the prepayment occurs on or after the first anniversary of the First Amendment Effective Date.</w:t>
      </w:r>
    </w:p>
    <w:p>
      <w:pPr>
        <w:spacing w:after="0" w:line="139"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The Company evaluated whether the First Amendment represented a debt modification or extinguishment of the Term Loan in accordance with ASC 470-50, Debt – Modifications and Extinguishments. As a result of the modification of terms and no repayment or retirement of the Term Loan, the Term Loan was accounted for by the Company under the modification accounting model. The Company capitalized the facility charge from the First Amendment advance to debt issuance costs and expensed third party fees in the Company’s statement of operations for the three months ended March 31, 2023.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First Amendment Warrant using the Black-Scholes model based on the following key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139700</wp:posOffset>
            </wp:positionV>
            <wp:extent cx="564896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05"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7"/>
          <w:szCs w:val="17"/>
          <w:b w:val="1"/>
          <w:bCs w:val="1"/>
          <w:color w:val="auto"/>
        </w:rPr>
        <w:t>Amended Term Loan</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38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20" w:type="dxa"/>
            <w:vAlign w:val="bottom"/>
            <w:tcBorders>
              <w:top w:val="single" w:sz="8" w:color="auto"/>
            </w:tcBorders>
          </w:tcPr>
          <w:p>
            <w:pPr>
              <w:spacing w:after="0"/>
              <w:rPr>
                <w:sz w:val="18"/>
                <w:szCs w:val="18"/>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 price on date of issuance</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220" w:type="dxa"/>
            <w:vAlign w:val="bottom"/>
            <w:shd w:val="clear" w:color="auto" w:fill="CCEEFF"/>
          </w:tcPr>
          <w:p>
            <w:pPr>
              <w:spacing w:after="0"/>
              <w:rPr>
                <w:sz w:val="18"/>
                <w:szCs w:val="18"/>
                <w:color w:val="auto"/>
              </w:rPr>
            </w:pPr>
          </w:p>
        </w:tc>
      </w:tr>
      <w:tr>
        <w:trPr>
          <w:trHeight w:val="21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term (in years)</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years</w:t>
            </w:r>
          </w:p>
        </w:tc>
        <w:tc>
          <w:tcPr>
            <w:tcW w:w="2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The Company incurred financing expenses of $2.0 million (including the fair value of the First Amendment Warrant) related to the First Amendment which are recorded as debt issuance costs and as an offset to loan payable on the Company’s consolidated balance sheet. The debt issuance costs are being amortized over the term of the debt using the straight-line method, which approximates the effective interest method, and will be included in interest expense in the Company’s consolidated statements of operations. Amortization of debt issuance costs was $0.5 million for each of the three months ended March 31, 2023, and 2022, respectively. At March 31, 2023, the remaining unamortized balance of debt issuance costs was $7.0 million.</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loan payable as of March 31, 2023 and December 31, 2022, is as follows: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9"/>
        </w:trPr>
        <w:tc>
          <w:tcPr>
            <w:tcW w:w="668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3"/>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r>
      <w:tr>
        <w:trPr>
          <w:trHeight w:val="216"/>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Accreted Liability of final payment fee</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6,667</w:t>
            </w:r>
          </w:p>
        </w:tc>
      </w:tr>
      <w:tr>
        <w:trPr>
          <w:trHeight w:val="210"/>
        </w:trPr>
        <w:tc>
          <w:tcPr>
            <w:tcW w:w="6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103,532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76,667</w:t>
            </w: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(7,029)</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w:t>
            </w:r>
          </w:p>
        </w:tc>
      </w:tr>
      <w:tr>
        <w:trPr>
          <w:trHeight w:val="209"/>
        </w:trPr>
        <w:tc>
          <w:tcPr>
            <w:tcW w:w="6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71,135</w:t>
            </w: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principal payments</w:t>
            </w: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 payable</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71,135</w:t>
            </w: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payable non-current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71,135</w:t>
            </w:r>
          </w:p>
        </w:tc>
      </w:tr>
      <w:tr>
        <w:trPr>
          <w:trHeight w:val="20"/>
        </w:trPr>
        <w:tc>
          <w:tcPr>
            <w:tcW w:w="6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202"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$1.8 million under the Office Agreement. We began to occupy this space in April 2016, with rental payments beginning in the third quarter of 2016. Also in connection with this Office Agreement, we have pledged $1.3 million to secure a line of credit as a security deposit for the Office Agreement, which has been recorded as restricted cash in the accompanying condensed consolidated balance sheets.</w:t>
      </w:r>
    </w:p>
    <w:p>
      <w:pPr>
        <w:spacing w:after="0" w:line="148"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In October 2019, we finalized a five-year lease for office space in New Jersey (the NJ Lease). We approximate an average annual rental obligation of $0.3 million under the NJ Lease. We took possession of this space in October 2019, with rental payments beginning in November 2019. We incurred rental expense of $0.1 million for the three months ended March 31, 2023.</w:t>
      </w:r>
    </w:p>
    <w:p>
      <w:pPr>
        <w:spacing w:after="0" w:line="139"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In October 2021, we finalized a five-year lease for office space in North Carolina (the NC Lease). We approximate an average annual rental obligation of $0.2 million under the NC Lease. We took possession of this space in February 2022, with rental payments beginning in April 2022. We incurred rental expense of less than $0.1 million for the three months ended March 31, 2023.</w:t>
      </w:r>
    </w:p>
    <w:p>
      <w:pPr>
        <w:spacing w:after="0" w:line="153"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At January 1, 2019, we recognized a lease liability and corresponding Right-of-Use (ROU) asset of $9.5 million and $8.1 million, respectively, based on the present value of the remaining lease payments for all of our leased office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60"/>
        <w:spacing w:after="0" w:line="258" w:lineRule="auto"/>
        <w:rPr>
          <w:sz w:val="20"/>
          <w:szCs w:val="20"/>
          <w:color w:val="auto"/>
        </w:rPr>
      </w:pPr>
      <w:r>
        <w:rPr>
          <w:rFonts w:ascii="Times New Roman" w:cs="Times New Roman" w:eastAsia="Times New Roman" w:hAnsi="Times New Roman"/>
          <w:sz w:val="18"/>
          <w:szCs w:val="18"/>
          <w:color w:val="auto"/>
        </w:rPr>
        <w:t>spaces, the majority of which is comprised of our New York City office space. The present values of our lease liability and corresponding ROU asset are $11.6 million and $8.7 million, respectively, as of March 31, 2023. Our leases have remaining lease terms of 2 years to 10 years. One lease has a renewal option to extend the lease for an additional term of two years. The following components of lease expense are included in the Company’s condensed consolidated statements of operations for the three months ended March 31, 2023 and 2022:</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60" w:type="dxa"/>
            <w:vAlign w:val="bottom"/>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6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1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lease cost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60" w:firstLine="492"/>
        <w:spacing w:after="0" w:line="260" w:lineRule="auto"/>
        <w:rPr>
          <w:sz w:val="20"/>
          <w:szCs w:val="20"/>
          <w:color w:val="auto"/>
        </w:rPr>
      </w:pPr>
      <w:r>
        <w:rPr>
          <w:rFonts w:ascii="Times New Roman" w:cs="Times New Roman" w:eastAsia="Times New Roman" w:hAnsi="Times New Roman"/>
          <w:sz w:val="18"/>
          <w:szCs w:val="18"/>
          <w:color w:val="auto"/>
        </w:rPr>
        <w:t>As of March 31, 2023, the weighted-average remaining operating lease term was 6.3 years and the weighted-average discount rate for operating leases was 9.98%. Cash paid for amounts included in the measurement of operating lease liabilities during the three months ended March 31, 2023 was $0.6 million. The balance sheet classification of lease liabilities was as follows:</w:t>
      </w:r>
    </w:p>
    <w:tbl>
      <w:tblPr>
        <w:tblLayout w:type="fixed"/>
        <w:tblInd w:w="40" w:type="dxa"/>
        <w:tblCellMar>
          <w:top w:w="0" w:type="dxa"/>
          <w:left w:w="0" w:type="dxa"/>
          <w:bottom w:w="0" w:type="dxa"/>
          <w:right w:w="0" w:type="dxa"/>
        </w:tblCellMar>
      </w:tblPr>
      <w:tr>
        <w:trPr>
          <w:trHeight w:val="150"/>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3"/>
                <w:szCs w:val="13"/>
                <w:color w:val="auto"/>
              </w:rPr>
            </w:pPr>
          </w:p>
        </w:tc>
        <w:tc>
          <w:tcPr>
            <w:tcW w:w="820" w:type="dxa"/>
            <w:vAlign w:val="bottom"/>
          </w:tcPr>
          <w:p>
            <w:pPr>
              <w:jc w:val="right"/>
              <w:ind w:right="77"/>
              <w:spacing w:after="0" w:line="150"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820" w:type="dxa"/>
            <w:vAlign w:val="bottom"/>
            <w:tcBorders>
              <w:bottom w:val="single" w:sz="8" w:color="CCEEFF"/>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0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10,344</w:t>
            </w:r>
          </w:p>
        </w:tc>
        <w:tc>
          <w:tcPr>
            <w:tcW w:w="0" w:type="dxa"/>
            <w:vAlign w:val="bottom"/>
          </w:tcPr>
          <w:p>
            <w:pPr>
              <w:spacing w:after="0"/>
              <w:rPr>
                <w:sz w:val="1"/>
                <w:szCs w:val="1"/>
                <w:color w:val="auto"/>
              </w:rPr>
            </w:pPr>
          </w:p>
        </w:tc>
      </w:tr>
      <w:tr>
        <w:trPr>
          <w:trHeight w:val="209"/>
        </w:trPr>
        <w:tc>
          <w:tcPr>
            <w:tcW w:w="68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lease liability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11,925</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As of March 31, 2023, the maturities of lease liabilities were as follows:</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w w:val="97"/>
              </w:rPr>
              <w:t>Operating</w:t>
            </w:r>
          </w:p>
        </w:tc>
        <w:tc>
          <w:tcPr>
            <w:tcW w:w="0" w:type="dxa"/>
            <w:vAlign w:val="bottom"/>
          </w:tcPr>
          <w:p>
            <w:pPr>
              <w:spacing w:after="0"/>
              <w:rPr>
                <w:sz w:val="1"/>
                <w:szCs w:val="1"/>
                <w:color w:val="auto"/>
              </w:rPr>
            </w:pPr>
          </w:p>
        </w:tc>
      </w:tr>
      <w:tr>
        <w:trPr>
          <w:trHeight w:val="173"/>
        </w:trPr>
        <w:tc>
          <w:tcPr>
            <w:tcW w:w="6820" w:type="dxa"/>
            <w:vAlign w:val="bottom"/>
            <w:tcBorders>
              <w:bottom w:val="single" w:sz="8" w:color="CCEEFF"/>
            </w:tcBorders>
            <w:gridSpan w:val="2"/>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After 2028</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0" w:type="dxa"/>
            <w:vAlign w:val="bottom"/>
          </w:tcPr>
          <w:p>
            <w:pPr>
              <w:spacing w:after="0"/>
              <w:rPr>
                <w:sz w:val="1"/>
                <w:szCs w:val="1"/>
                <w:color w:val="auto"/>
              </w:rPr>
            </w:pPr>
          </w:p>
        </w:tc>
      </w:tr>
      <w:tr>
        <w:trPr>
          <w:trHeight w:val="21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16,805</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340" w:hanging="330"/>
        <w:spacing w:after="0" w:line="258"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our leases do not provide an implicit rate, we use our incremental borrowing rate based on the information available at commencement date and considering the term of the lease to determine the present value of lease payments. We used the incremental borrowing rate of 10.25% on February 28, 2019, for operating leases that commenced prior to that date through December 31, 2021. We used an incremental borrowing rate of 5.65% for the NC lease.</w:t>
      </w: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LICENSE AGREEMENTS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BRIUMVI (Ublituximab)</w:t>
      </w:r>
    </w:p>
    <w:p>
      <w:pPr>
        <w:spacing w:after="0" w:line="189"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In January 2012, we entered into an exclusive license agreement with LFB Biotechnologies, GTC Biotherapeutics and LFB/GTC LLC, all wholly-owned subsidiaries of LFB Group, relating to the development of ublituximab (the LFB License Agreement). Under the terms of the LFB License Agreement, we have acquired the exclusive worldwide rights (exclusive of France/Belgium) for the development and commercialization of ublituximab. As of March 31, 2023, we have incurred approximately $25.0 million in expense related to the achievement of certain milestones of the LFB License Agreement.</w:t>
      </w:r>
    </w:p>
    <w:p>
      <w:pPr>
        <w:spacing w:after="0" w:line="187"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LFB Group is eligible to receive future payments of up to an aggregate of approximately $18.0 million upon our successful achievement of certain regulatory milestones, in addition to royalty payments on net sales of ublituximab at a royalty rate that escalates from mid-single digits to high-single digits. The license will terminate on a country-by-country basis upon the expiration of the last licensed patent right or 15 years after the first commercial sale of a product in such country, unless the agreement is earlier terminated (i) by LFB if the Company challenges any of the licensed patent rights,</w:t>
      </w:r>
    </w:p>
    <w:p>
      <w:pPr>
        <w:spacing w:after="0" w:line="3" w:lineRule="exact"/>
        <w:rPr>
          <w:sz w:val="20"/>
          <w:szCs w:val="20"/>
          <w:color w:val="auto"/>
        </w:rPr>
      </w:pPr>
    </w:p>
    <w:p>
      <w:pPr>
        <w:jc w:val="both"/>
        <w:ind w:left="60" w:right="59" w:hanging="10"/>
        <w:spacing w:after="0" w:line="253" w:lineRule="auto"/>
        <w:tabs>
          <w:tab w:leader="none" w:pos="3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due to a breach of the agreement, or (iii) by either party in the event of the insolvency of the other party. During the three months ended March 31, 2023, the Company recorded $0.8 million related to the worldwide royalty due under the LFB License Agreement in cost of product revenue based on U.S. sales of BRIUMVI and as of March 31, 2023, $0.8 million in royalties were payable under the LFB License Agreement.</w:t>
      </w:r>
    </w:p>
    <w:p>
      <w:pPr>
        <w:spacing w:after="0" w:line="189"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In November 2012, we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w:t>
      </w:r>
    </w:p>
    <w:p>
      <w:pPr>
        <w:spacing w:after="0" w:line="143"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March 31, 2023 and 2022, and at March 31, 2023 and December 31, 2022, have deferred revenue of approximately $0.4 million and $0.5 million, respectively, associated with this $2 million payment (approximately $0.2 million of which has been classified in current liabilities at March 31, 2023 and December 31, 2022).</w:t>
      </w:r>
    </w:p>
    <w:p>
      <w:pPr>
        <w:spacing w:after="0" w:line="165"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We may receive up to an additional $5.0 million in payments upon the achievement of pre-specified milestones. In addition, upon commercialization, Ildong will make royalty payments to us on net sales of ublituximab in the sublicense territory.</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UKONIQ (umbralisib)</w:t>
      </w:r>
    </w:p>
    <w:p>
      <w:pPr>
        <w:spacing w:after="0" w:line="189"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In September 2014, we exercised our option to license the global rights to umbralisib, thereby entering into an exclusive licensing agreement (the Umbralisib License) with Rhizen Pharmaceuticals, SA (Rhizen) for the development and commercialization of umbralisib. Prior to this, we had been jointly developing umbralisib in a 50:50 joint venture with Rhizen. As of March 31, 2023, we have incurred approximately $24.0 million in expense related to the achievement of certain milestones of the Umbralisib License.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Under the terms of the Umbralisib License, Rhizen is eligible to receive approval and sales-based milestone payments in the aggregate of approximately $175 million payable. Additionally, Rhizen receives tiered royalties that escalate from high single digits to low double digits on any net sales of umbralisib. During the year ended December 31, 2022, the Company recorded $0.2 million related to the worldwide royalty due under the Umbralisib License in cost of product revenue based on U.S. sales of UKONIQ and as of December 31, 2022, approximately $3,000 in royalties were payable under the Umbralisib License. As of March 31, 2023, no royalties were payable under the Umbralisib License and as a result of the withdrawal of UKONIQ from the U.S. market and discontinuation of all commercialization activities, we do not expect to incur any additional costs related to this license agreement.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RELATED PARTY TRANSACTIONS</w:t>
      </w:r>
    </w:p>
    <w:p>
      <w:pPr>
        <w:spacing w:after="0" w:line="20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July 2015, we entered into a Shared Services Agreement (the Shared Services Agreement) with FBIO to share the cost of certain services such as facilities use, personnel costs and other overhead and administrative costs. The Shared Services Agreement requires us to pay our respective share of services utilized. In connection with the Shared Services Agreement, we incurred expenses of approximately $0.2 million for each of the three months ended March 31, 2023 and 2022, primarily related to shared personnel. Mr. Weiss, our Chairman and Chief Executive Officer, also serves as a director and Executive Vice Chairman, Strategic Development of FBIO.</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Please refer to Note 8 – Leases for details regarding the Office Agreement with FBIO.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discussion and analysis contain forward-looking statements about our plans and expectations of what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may happen in the future. Forward-looking statements are based on a number of assumptions and estimates that are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inherently subject to significant risks and uncertainties, and our results could differ materially from the results anticipated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our forward-looking statements as a result of many known or unknown factors, including, but not limited to, those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factors discussed in Risk Factors. See also the Special Cautionary Notice Regarding Forward-Looking Statements set forth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the beginning of this report.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You should read the following discussion and analysis in conjunction with the unaudited, condensed, consolidated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financial statements and the related footnotes thereto appearing elsewhere in this report, and in conjunction with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management’s discussion and analysis and the audited consolidated financial statements included in our Annual Report 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Form 10-K for the year ended December 31, 2022.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TG Therapeutics is a fully-integrated, commercial stage, biopharmaceutical company focused on the acquisition, development and commercialization of novel treatments for B-cell diseases. In addition to a research pipeline including several investigational medicines, TG has received approval from the United States Food and Drug Administration (FDA) for BRIUMVI (ublituximab-xiiy) for the treatment of adult patients with relapsing forms of multiple sclerosis (RMS), to include clinically isolated syndrome, relapsing-remitting disease, and active secondary progressive disease, in adults. We also actively evaluate complementary products, technologies and companies for in-licensing, partnership, acquisition and/or investment opportunities.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Updates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FDA Approval and U.S. Launch of BRIUMVI</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December 28, 2022, we announced that the FDA granted approval of ublituximab, now referred to as BRIUMVI, for the treatment of RMS, to include clinically isolated syndrome, relapsing-remitting disease, and active secondary progressive disease, in adults. BRIUMVI is an anti-CD20 monoclonal antibody approved for patients with RMS that can be administered in a one-hour infusion following the starting dose. Approval was granted for this indication based on data from the ULTIMATE I &amp; II Phase 3 trials, which demonstrated superiority over teriflunomide in significantly reducing the annualized relapse rate (ARR, the primary endpoint), the number of T1 Gd-enhancing lesions and the number of new or enlarging T2 lesions. On January 26, 2023, we announced the U.S. commercial launch of BRIUMVI, making it available to physicians and patients.</w:t>
      </w:r>
    </w:p>
    <w:p>
      <w:pPr>
        <w:spacing w:after="0" w:line="192"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For more information, please refer to our Annual Report on Form 10-K for the quarter and year ended December 31, 2022.</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currently license worldwide development and commercial rights, subject to certain limited geographical restrictions, for all of our products under development. The following table summarizes the current clinical trial status for our lead drug candidates as of April 2023.</w:t>
      </w:r>
    </w:p>
    <w:p>
      <w:pPr>
        <w:spacing w:after="0" w:line="188" w:lineRule="exact"/>
        <w:rPr>
          <w:sz w:val="20"/>
          <w:szCs w:val="20"/>
          <w:color w:val="auto"/>
        </w:rPr>
      </w:pPr>
    </w:p>
    <w:tbl>
      <w:tblPr>
        <w:tblLayout w:type="fixed"/>
        <w:tblInd w:w="50" w:type="dxa"/>
        <w:tblCellMar>
          <w:top w:w="0" w:type="dxa"/>
          <w:left w:w="0" w:type="dxa"/>
          <w:bottom w:w="0" w:type="dxa"/>
          <w:right w:w="0" w:type="dxa"/>
        </w:tblCellMar>
      </w:tblPr>
      <w:tr>
        <w:trPr>
          <w:trHeight w:val="207"/>
        </w:trPr>
        <w:tc>
          <w:tcPr>
            <w:tcW w:w="314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Clinical Drug Candidate:</w:t>
            </w:r>
          </w:p>
        </w:tc>
        <w:tc>
          <w:tcPr>
            <w:tcW w:w="35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Initial Target Disease</w:t>
            </w:r>
          </w:p>
        </w:tc>
        <w:tc>
          <w:tcPr>
            <w:tcW w:w="19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Stage of Development</w:t>
            </w:r>
          </w:p>
        </w:tc>
      </w:tr>
      <w:tr>
        <w:trPr>
          <w:trHeight w:val="238"/>
        </w:trPr>
        <w:tc>
          <w:tcPr>
            <w:tcW w:w="31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(molecular target)</w:t>
            </w:r>
          </w:p>
        </w:tc>
        <w:tc>
          <w:tcPr>
            <w:tcW w:w="350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(trial name)</w:t>
            </w:r>
          </w:p>
        </w:tc>
      </w:tr>
      <w:tr>
        <w:trPr>
          <w:trHeight w:val="228"/>
        </w:trPr>
        <w:tc>
          <w:tcPr>
            <w:tcW w:w="314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Ublituximab (anti-CD20 mAb) </w:t>
            </w: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Relapsing Forms of Multiple Sclerosis (RMS) </w:t>
            </w:r>
          </w:p>
        </w:tc>
        <w:tc>
          <w:tcPr>
            <w:tcW w:w="1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APPROVED</w:t>
            </w:r>
          </w:p>
        </w:tc>
      </w:tr>
      <w:tr>
        <w:trPr>
          <w:trHeight w:val="22"/>
        </w:trPr>
        <w:tc>
          <w:tcPr>
            <w:tcW w:w="700" w:type="dxa"/>
            <w:vAlign w:val="bottom"/>
            <w:tcBorders>
              <w:left w:val="single" w:sz="8" w:color="auto"/>
              <w:bottom w:val="single" w:sz="8" w:color="auto"/>
            </w:tcBorders>
          </w:tcPr>
          <w:p>
            <w:pPr>
              <w:spacing w:after="0" w:line="20" w:lineRule="exact"/>
              <w:rPr>
                <w:sz w:val="1"/>
                <w:szCs w:val="1"/>
                <w:color w:val="auto"/>
              </w:rPr>
            </w:pPr>
          </w:p>
        </w:tc>
        <w:tc>
          <w:tcPr>
            <w:tcW w:w="2440" w:type="dxa"/>
            <w:vAlign w:val="bottom"/>
            <w:tcBorders>
              <w:bottom w:val="single" w:sz="8" w:color="auto"/>
              <w:right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7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TG-1701</w:t>
            </w:r>
          </w:p>
        </w:tc>
        <w:tc>
          <w:tcPr>
            <w:tcW w:w="24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(BTK inhibitor)</w:t>
            </w: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B-cell disorders</w:t>
            </w:r>
          </w:p>
        </w:tc>
        <w:tc>
          <w:tcPr>
            <w:tcW w:w="1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1 trial</w:t>
            </w:r>
          </w:p>
        </w:tc>
      </w:tr>
      <w:tr>
        <w:trPr>
          <w:trHeight w:val="22"/>
        </w:trPr>
        <w:tc>
          <w:tcPr>
            <w:tcW w:w="700" w:type="dxa"/>
            <w:vAlign w:val="bottom"/>
            <w:tcBorders>
              <w:left w:val="single" w:sz="8" w:color="auto"/>
              <w:bottom w:val="single" w:sz="8" w:color="auto"/>
            </w:tcBorders>
          </w:tcPr>
          <w:p>
            <w:pPr>
              <w:spacing w:after="0" w:line="20" w:lineRule="exact"/>
              <w:rPr>
                <w:sz w:val="1"/>
                <w:szCs w:val="1"/>
                <w:color w:val="auto"/>
              </w:rPr>
            </w:pPr>
          </w:p>
        </w:tc>
        <w:tc>
          <w:tcPr>
            <w:tcW w:w="2440" w:type="dxa"/>
            <w:vAlign w:val="bottom"/>
            <w:tcBorders>
              <w:bottom w:val="single" w:sz="8" w:color="auto"/>
              <w:right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700" w:type="dxa"/>
            <w:vAlign w:val="bottom"/>
            <w:tcBorders>
              <w:lef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w w:val="99"/>
              </w:rPr>
              <w:t>TG-1801</w:t>
            </w:r>
          </w:p>
        </w:tc>
        <w:tc>
          <w:tcPr>
            <w:tcW w:w="244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(anti-CD47/CD19 bispecific</w:t>
            </w:r>
          </w:p>
        </w:tc>
        <w:tc>
          <w:tcPr>
            <w:tcW w:w="35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B-cell disorders</w:t>
            </w:r>
          </w:p>
        </w:tc>
        <w:tc>
          <w:tcPr>
            <w:tcW w:w="19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Phase 1 trial</w:t>
            </w:r>
          </w:p>
        </w:tc>
      </w:tr>
      <w:tr>
        <w:trPr>
          <w:trHeight w:val="234"/>
        </w:trPr>
        <w:tc>
          <w:tcPr>
            <w:tcW w:w="7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mAb)</w:t>
            </w:r>
          </w:p>
        </w:tc>
        <w:tc>
          <w:tcPr>
            <w:tcW w:w="244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BRIUMVI (ublituximab-xiiy) Overview</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BRIUMVI is the first and only anti-CD20 monoclonal antibody approved for the treatment of RMS, to include clinically isolated syndrome, relapsing-remitting disease, and active secondary progressive disease, in adults, that can be administered in a twice yearly, one-hour infusion following the starting dose.</w:t>
      </w:r>
    </w:p>
    <w:p>
      <w:pPr>
        <w:spacing w:after="0" w:line="21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BRIUMVI approval was primarily based on the ULTIMATE I and ULTIMATE II Phase 3 trials. Each trial was an independent global, randomized, multi-center, double-blinded, double-dummy, active-controlled study comparing the efficacy and safety/tolerability of ublituximab (450mg dose administered by one-hour intravenous infusion every 6 months, following a day 1 infusion of 150mg over four hours and a day 15 infusion of 450mg over one hour) versus teriflunomide (14mg oral tablets taken once daily) in subjects with RMS. These trials were conducted under a special protocol assessment (SPA) with the FDA. The ULTIMATE I and II trials were led by Lawrence Steinman, MD, Zimmermann Professor of Neurology and Neurological Sciences,Pediatrics, and Genetics at Stanford University. Full enrollment was completed in October 2018, with approximately 1,100 subjects enrolled in both studies combined.</w:t>
      </w:r>
    </w:p>
    <w:p>
      <w:pPr>
        <w:spacing w:after="0" w:line="232" w:lineRule="exact"/>
        <w:rPr>
          <w:sz w:val="20"/>
          <w:szCs w:val="20"/>
          <w:color w:val="auto"/>
        </w:rPr>
      </w:pPr>
    </w:p>
    <w:p>
      <w:pPr>
        <w:ind w:left="1040" w:right="79" w:hanging="315"/>
        <w:spacing w:after="0" w:line="254"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2020, we announced positive topline results from the ULTIMATE I &amp; II trials. Both studies met their primary endpoint of significantly reducing ARR over a 96-week period (p&lt;0.005 in each study) with BRIUMVI demonstrating an ARR of &lt;0.10 in each of the studies. Relative reductions of approximately 60% and 50% in ARR over teriflunomide were observed in ULTIMATE I &amp; II, respectively. Key secondary MRI endpoints were also met.</w:t>
      </w:r>
    </w:p>
    <w:p>
      <w:pPr>
        <w:spacing w:after="0" w:line="3" w:lineRule="exact"/>
        <w:rPr>
          <w:rFonts w:ascii="Times New Roman" w:cs="Times New Roman" w:eastAsia="Times New Roman" w:hAnsi="Times New Roman"/>
          <w:sz w:val="18"/>
          <w:szCs w:val="18"/>
          <w:color w:val="auto"/>
        </w:rPr>
      </w:pPr>
    </w:p>
    <w:p>
      <w:pPr>
        <w:ind w:left="1040" w:right="319" w:hanging="315"/>
        <w:spacing w:after="0" w:line="260"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22, 2022, the full results from the ULTIMATE I &amp; II trials were published in the New England Journal of Medicine.</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of BRIUMVI</w:t>
      </w:r>
    </w:p>
    <w:p>
      <w:pPr>
        <w:spacing w:after="0" w:line="229" w:lineRule="exact"/>
        <w:rPr>
          <w:sz w:val="20"/>
          <w:szCs w:val="20"/>
          <w:color w:val="auto"/>
        </w:rPr>
      </w:pPr>
    </w:p>
    <w:p>
      <w:pPr>
        <w:ind w:left="60" w:right="399" w:firstLine="648"/>
        <w:spacing w:after="0" w:line="261" w:lineRule="auto"/>
        <w:rPr>
          <w:sz w:val="20"/>
          <w:szCs w:val="20"/>
          <w:color w:val="auto"/>
        </w:rPr>
      </w:pPr>
      <w:r>
        <w:rPr>
          <w:rFonts w:ascii="Times New Roman" w:cs="Times New Roman" w:eastAsia="Times New Roman" w:hAnsi="Times New Roman"/>
          <w:sz w:val="18"/>
          <w:szCs w:val="18"/>
          <w:color w:val="auto"/>
        </w:rPr>
        <w:t>On December 28, 2022, we announced the FDA approval of BRIUMVI for the treatment of RMS, to include clinically isolated syndrome, relapsing-remitting disease, and active secondary progressive disease, in adults, primarily based on results from the ULTIMATE I &amp; II Phase 3 trials. On January 26, 2023, we announced the U.S. commercial launch of BRIUMVI, making it available to physicians and patients.</w:t>
      </w:r>
    </w:p>
    <w:p>
      <w:pPr>
        <w:spacing w:after="0" w:line="180" w:lineRule="exact"/>
        <w:rPr>
          <w:sz w:val="20"/>
          <w:szCs w:val="20"/>
          <w:color w:val="auto"/>
        </w:rPr>
      </w:pPr>
    </w:p>
    <w:p>
      <w:pPr>
        <w:jc w:val="both"/>
        <w:ind w:left="1040" w:right="79" w:hanging="315"/>
        <w:spacing w:after="0" w:line="261"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efforts focused on engaging targeted neurology accounts with multi-channel promotional programming, sales engagements, infusion training and education. We also worked closely with payers to begin to secure insurance coverage for BRIUMVI. The first patient received a BRIUMVI infusion on February 1, 2023.</w:t>
      </w:r>
    </w:p>
    <w:p>
      <w:pPr>
        <w:spacing w:after="0" w:line="179" w:lineRule="exact"/>
        <w:rPr>
          <w:rFonts w:ascii="Times New Roman" w:cs="Times New Roman" w:eastAsia="Times New Roman" w:hAnsi="Times New Roman"/>
          <w:sz w:val="18"/>
          <w:szCs w:val="18"/>
          <w:color w:val="auto"/>
        </w:rPr>
      </w:pPr>
    </w:p>
    <w:p>
      <w:pPr>
        <w:jc w:val="both"/>
        <w:ind w:left="1040" w:right="79" w:hanging="315"/>
        <w:spacing w:after="0" w:line="256"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2023, we announced that the Committee for Medicinal Products for Human Use (CHMP) of the European Medicines Agency (EMA) issued a positive opinion recommending the approval of BRIUMVI for the treatment of adult RMS patients with active disease defined by clinical or imaging features. Based on the CHMP recommendation, a decision by the European Commission is expected by early June 2023. If granted by the European Commission, the centralized marketing authorization is valid in all European Union (EU) Member States, Iceland, Norway and Liechtenstein.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three months ended March 31, 2023 and 2022:</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gridSpan w:val="6"/>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5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60" w:type="dxa"/>
            <w:vAlign w:val="bottom"/>
            <w:gridSpan w:val="4"/>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8"/>
              </w:rPr>
              <w:t>March 31, 2023</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 net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7,765</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License Revenue</w:t>
            </w: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revenue</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compensation</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14,286</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15,870</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compensation</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28,068</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44,795</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4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(39,232)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Product revenue,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revenue, net was approximately $7.8 million for the three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compared to $2.0 million for the three months ended March 31, 2022. Product revenue, net for the three months ended March 31, 2023, consisted of net product sales of BRIUMVI in the United States. In January 2023, we began commercial sales of BRIUMVI within the U.S. following FDA approval. Product revenue, net for the three months ended March 31, 2022, consisted of net product sales of UKONIQ, which was officially withdrawn from the market in May of 2022.</w:t>
      </w:r>
    </w:p>
    <w:p>
      <w:pPr>
        <w:spacing w:after="0" w:line="182" w:lineRule="exact"/>
        <w:rPr>
          <w:sz w:val="20"/>
          <w:szCs w:val="20"/>
          <w:color w:val="auto"/>
        </w:rPr>
      </w:pPr>
    </w:p>
    <w:p>
      <w:pPr>
        <w:jc w:val="both"/>
        <w:ind w:left="60" w:right="7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License revenue</w:t>
      </w:r>
      <w:r>
        <w:rPr>
          <w:rFonts w:ascii="Times New Roman" w:cs="Times New Roman" w:eastAsia="Times New Roman" w:hAnsi="Times New Roman"/>
          <w:sz w:val="18"/>
          <w:szCs w:val="18"/>
          <w:color w:val="auto"/>
        </w:rPr>
        <w:t>. License revenue was less than $0.1 million for both the three months ended March 31, 2023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2022. License revenue for both the three months ended March 31, 2023 and March 31, 2022 is comprised of recognition of a portion of the upfront payment from the ublituximab sublicense agreement with Ildong.</w:t>
      </w:r>
    </w:p>
    <w:p>
      <w:pPr>
        <w:spacing w:after="0" w:line="171"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Cost of Product Revenue</w:t>
      </w:r>
      <w:r>
        <w:rPr>
          <w:rFonts w:ascii="Times New Roman" w:cs="Times New Roman" w:eastAsia="Times New Roman" w:hAnsi="Times New Roman"/>
          <w:sz w:val="18"/>
          <w:szCs w:val="18"/>
          <w:color w:val="auto"/>
        </w:rPr>
        <w:t>. Cost of product revenue for the three months ended March 31, 2023 was $0.9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approximately $0.2 million for the three months ended March 31, 2022. Cost of product revenue for the three months ended March 31, 2023 consists primarily of third-party manufacturing, distribution, overhead costs and royalties owed to our licensing partner for BRIUMVI sales. A portion of the costs of producing BRIUMVI sold to date was expensed as research and development prior to the FDA approval of BRIUMVI and therefore it is not reflected in the cost of product revenue. We expect the cost of product revenue for BRIUMVI to increase in relation to product revenues as we deplete these inventories and we expect to use the remaining pre-commercialization inventory for product sales through the end of 2024. Cost of product revenue for the three months ended March 31, 2022 primarily relates to freight and royalties owed to our licensing partner for UKONIQ sales. Based on our policy to expense costs associated with the manufacture of our products prior to regulatory approval, the manufacturing costs of UKONIQ units recognized as revenue during the three months ended March 31, 2022 were expensed prior to FDA approval, and therefore are not included in costs of product revenue during the prior period.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firstLine="64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Noncash Compensation Expense (Research and Development)</w:t>
      </w:r>
      <w:r>
        <w:rPr>
          <w:rFonts w:ascii="Times New Roman" w:cs="Times New Roman" w:eastAsia="Times New Roman" w:hAnsi="Times New Roman"/>
          <w:sz w:val="18"/>
          <w:szCs w:val="18"/>
          <w:color w:val="auto"/>
        </w:rPr>
        <w:t>. Noncash compensation expense (research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related to equity incentive grants totaled $1.6 million for the three months ended March 31, 2023, as compared to $1.9 million during the comparable period ended March 31, 2022. The decrease in noncash compensation expense was primarily due to an overall decreased headcount during the three months ended March 31, 2023 compared to the three months ended March 31, 2022.</w:t>
      </w:r>
    </w:p>
    <w:p>
      <w:pPr>
        <w:spacing w:after="0" w:line="175" w:lineRule="exact"/>
        <w:rPr>
          <w:sz w:val="20"/>
          <w:szCs w:val="20"/>
          <w:color w:val="auto"/>
        </w:rPr>
      </w:pPr>
    </w:p>
    <w:p>
      <w:pPr>
        <w:jc w:val="both"/>
        <w:ind w:left="60" w:right="5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Other Research and Development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research and development expense decreased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March 31, 2023, by approximately $31.9 million to $14.3 million as compared to the comparable period ended March 31, 2022. The decrease in research and development expense is primarily attributable to manufacturing expense being capitalized to inventory, reduced clinical trial related expenses, decreased headcount and lower fees paid to consultants and outside service providers during the three months ended March 31, 2023.</w:t>
      </w:r>
    </w:p>
    <w:p>
      <w:pPr>
        <w:spacing w:after="0" w:line="17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Noncash Compensation Expense (Selling, General and Administrative)</w:t>
      </w:r>
      <w:r>
        <w:rPr>
          <w:rFonts w:ascii="Times New Roman" w:cs="Times New Roman" w:eastAsia="Times New Roman" w:hAnsi="Times New Roman"/>
          <w:sz w:val="17"/>
          <w:szCs w:val="17"/>
          <w:color w:val="auto"/>
        </w:rPr>
        <w:t>. Noncash compensation expense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(selling, general and administrative) related to equity incentive grants totaled $5.2 million for the three months ended March 31, 2023, as compared to $0.2 million during the comparable period ended March 31, 2022. The increase in noncash compensation expense was primarily due to forfeitures of restricted stock during the three months ended March 31, 2022.</w:t>
      </w:r>
    </w:p>
    <w:p>
      <w:pPr>
        <w:spacing w:after="0" w:line="161" w:lineRule="exact"/>
        <w:rPr>
          <w:sz w:val="20"/>
          <w:szCs w:val="20"/>
          <w:color w:val="auto"/>
        </w:rPr>
      </w:pPr>
    </w:p>
    <w:p>
      <w:pPr>
        <w:jc w:val="both"/>
        <w:ind w:left="60" w:right="5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Other Selling, General and Administrative</w:t>
      </w:r>
      <w:r>
        <w:rPr>
          <w:rFonts w:ascii="Times New Roman" w:cs="Times New Roman" w:eastAsia="Times New Roman" w:hAnsi="Times New Roman"/>
          <w:sz w:val="18"/>
          <w:szCs w:val="18"/>
          <w:color w:val="auto"/>
        </w:rPr>
        <w:t>. Other selling, general and administrative expenses totaled $22.8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three months ended March 31, 2023, as compared to $20.4 million during the comparable period ended March 31, 2022. The increase was due primarily to other selling, general and administrative costs, including personnel, associated with the approval of BRUIMVI during the three months ended March, 31, 2023.</w:t>
      </w:r>
    </w:p>
    <w:p>
      <w:pPr>
        <w:spacing w:after="0" w:line="176"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 Interest expense increased by $0.1 million to $2.8 million for the three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as compared to $2.7 million for the three months ended March 31, 2022.</w:t>
      </w:r>
    </w:p>
    <w:p>
      <w:pPr>
        <w:spacing w:after="0" w:line="1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r>
        <w:rPr>
          <w:rFonts w:ascii="Times New Roman" w:cs="Times New Roman" w:eastAsia="Times New Roman" w:hAnsi="Times New Roman"/>
          <w:sz w:val="18"/>
          <w:szCs w:val="18"/>
          <w:color w:val="auto"/>
        </w:rPr>
        <w:t>. Other income decreased by $0.1 million to $0.6 million for the three months ended March 31,</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2023.</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89" w:lineRule="exact"/>
        <w:rPr>
          <w:sz w:val="20"/>
          <w:szCs w:val="20"/>
          <w:color w:val="auto"/>
        </w:rPr>
      </w:pPr>
    </w:p>
    <w:p>
      <w:pPr>
        <w:jc w:val="both"/>
        <w:ind w:left="60" w:right="59" w:firstLine="492"/>
        <w:spacing w:after="0" w:line="253" w:lineRule="auto"/>
        <w:rPr>
          <w:sz w:val="20"/>
          <w:szCs w:val="20"/>
          <w:color w:val="auto"/>
        </w:rPr>
      </w:pPr>
      <w:r>
        <w:rPr>
          <w:rFonts w:ascii="Times New Roman" w:cs="Times New Roman" w:eastAsia="Times New Roman" w:hAnsi="Times New Roman"/>
          <w:sz w:val="18"/>
          <w:szCs w:val="18"/>
          <w:color w:val="auto"/>
        </w:rPr>
        <w:t>Our major sources of cash have been proceeds from private placement and public offering of equity securities, and from our loan and security agreements executed with Hercules Capital, Inc. (Hercules) (see Note 7 for more information). Since inception, we have incurred significant operating losses. Substantially all our operating losses have resulted from costs incurred in connection with our research and development programs and from selling, general and administrative costs associated with our operations, including our commercialization activities. As of March 31, 2023, we had generated $7.8 million in revenue from drug sales of BRIUMVI. BRIUMVI first became commercially available in the United States in January of 2023. Even with the commercialization of BRIUMVI and the possible future commercialization of our other drug candidates, we may not become profitable. Our ability to achieve profitability depends on our ability to generate revenue and many other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49"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We evaluated whether there are any conditions and events, considered in the aggregate, that raise substantial doubt about our ability to continue as a going concern within one year beyond the filing of this Quarterly Report on Form 10-Q. As of March 31, 2023, we had $139.7 million in cash and cash equivalents, and investment securities. We anticipate that our cash, cash equivalents, and investment securities as of March 31, 2023, capital contractually available under our existing loan and security agreement, and forecasted revenue, will provide sufficient liquidity for more than a twelve-month period from the date of filing of this Quarterly Report on Form 10-Q.</w:t>
      </w:r>
    </w:p>
    <w:p>
      <w:pPr>
        <w:spacing w:after="0" w:line="160" w:lineRule="exact"/>
        <w:rPr>
          <w:sz w:val="20"/>
          <w:szCs w:val="20"/>
          <w:color w:val="auto"/>
        </w:rPr>
      </w:pPr>
    </w:p>
    <w:p>
      <w:pPr>
        <w:jc w:val="both"/>
        <w:ind w:left="60" w:right="59" w:firstLine="537"/>
        <w:spacing w:after="0" w:line="266" w:lineRule="auto"/>
        <w:rPr>
          <w:sz w:val="20"/>
          <w:szCs w:val="20"/>
          <w:color w:val="auto"/>
        </w:rPr>
      </w:pPr>
      <w:r>
        <w:rPr>
          <w:rFonts w:ascii="Times New Roman" w:cs="Times New Roman" w:eastAsia="Times New Roman" w:hAnsi="Times New Roman"/>
          <w:sz w:val="18"/>
          <w:szCs w:val="18"/>
          <w:color w:val="auto"/>
        </w:rPr>
        <w:t>The actual amount of cash that we will need to operate is subject to many factors, including, but not limited to, our commercialization efforts for BRIUMVI, preparations for the potential commercialization of our other drug candidates, and the timing, design and conduct of clinical trials for our drug candidates. We are dependent upon significant future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financing to provide the cash necessary to execute our ongoing and future operations, including the commercialization of any of our drug candidates.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Discussion of Cash Flows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2023 and 2022:</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8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2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8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620" w:type="dxa"/>
            <w:vAlign w:val="bottom"/>
          </w:tcPr>
          <w:p>
            <w:pPr>
              <w:spacing w:after="0"/>
              <w:rPr>
                <w:sz w:val="18"/>
                <w:szCs w:val="18"/>
                <w:color w:val="auto"/>
              </w:rPr>
            </w:pPr>
          </w:p>
        </w:tc>
      </w:tr>
      <w:tr>
        <w:trPr>
          <w:trHeight w:val="238"/>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bottom w:val="single" w:sz="8" w:color="auto"/>
            </w:tcBorders>
          </w:tcPr>
          <w:p>
            <w:pPr>
              <w:spacing w:after="0"/>
              <w:rPr>
                <w:sz w:val="20"/>
                <w:szCs w:val="20"/>
                <w:color w:val="auto"/>
              </w:rPr>
            </w:pPr>
          </w:p>
        </w:tc>
      </w:tr>
      <w:tr>
        <w:trPr>
          <w:trHeight w:val="20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(59,902)</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(68,689)</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(6,168)</w:t>
            </w:r>
          </w:p>
        </w:tc>
        <w:tc>
          <w:tcPr>
            <w:tcW w:w="10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(43,671)</w:t>
            </w: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1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25,238</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bl>
    <w:p>
      <w:pPr>
        <w:spacing w:after="0" w:line="198"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for the three months ended March 31, 2023 was $59.9 million as compared to $68.7 million for the three months ended March 31, 2022. The decrease in net cash used in operating activities was due primarily to less expenditures associated with our manufacturing and clinical trial expenses during the three months ended March 31, 2023.</w:t>
      </w:r>
    </w:p>
    <w:p>
      <w:pPr>
        <w:spacing w:after="0" w:line="139"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2023, was $6.2 million as compared to cash used in investing activities of $43.7 million for the three months ended March 31, 2022. The decrease in net cash used in investing activities was primarily due to decreased investment in short-term and long-term securities during the three months ended March 31, 2023.</w:t>
      </w:r>
    </w:p>
    <w:p>
      <w:pPr>
        <w:spacing w:after="0" w:line="153"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2023, was $25.2 million as compared to net cash used in financing activities of $0.9 million for the three months ended March 31, 2022. The increase in net cash provided by financing activities was primarily due to the advance of $25.0 million drawn as part of the First Amendment entered into with Hercules on March 31, 2023.</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ACCOUNTING ESTIMATES</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 critical accounting policy is one that is both important to the portrayal of our financial condition and results of operation and requires management’s most difficult, subjective or complex judgments, often as a result of the need to make estimates about the effect of matters that are inherently uncertain. For a description of our significant accounting policies, refer to “Part II, Item 8. Financial Statements and Supplementary Data, Note 1 – Organization and Summary of Significant Accounting Policies” in our 2022 Annual Report on Form 10-K. Of these policies, the following are considered critical to an understanding of our Unaudited Condensed Consolidated Financial Statements as they require the application of the most difficult, subjective and complex judgments: stock-based compensation expenses, and fair value measurement of financial liabilities. Refer to “Note 2 – Net Product Revenue”, “Note 5 - Fair Value Measurements” and “Note 6 – Stockholders’ Equity” respectively, for more information.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Our exposure to market risk has not changed materially since our disclosure in Item 7A, “Quantitative and Qualitative Disclosures About Market Risk” in our Annual Report on Form 10-K for the year ended December 31,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As of March 31, 2023,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March 31, 2023, our disclosure controls and procedures were effective.</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21"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During the quarter ended March 31, 2023, we implemented processes and internal controls to record inventory and cost of product revenues as a result of the FDA approval and the U.S. commercial launch of BRIUMVI. The implementation of these processes resulted in material changes to our internal controls over financial reporting. There were no other changes in our internal control over financial reporting (as defined in Rules 13a-15(f) and 15d-15(f) under the Exchange Act), identified in connection with the evaluation of such internal control that occurred during the quarter ended March 31, 2023 that have materially affected, or are reasonably likely to materially affect, our internal control over financial reporting.</w:t>
      </w: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 xml:space="preserve">In July 2022, a putative securities class action (the Class Action Lawsuit) complaint was filed in the US District Court for the Southern District of New York against the Company and two of its officers, purportedly on behalf of all shareholders who purchased or otherwise acquired TG Therapeutics common stock between January 15, 2020 and May 31, 2022 (the Class Period). The case was captioned </w:t>
      </w:r>
      <w:r>
        <w:rPr>
          <w:rFonts w:ascii="Times New Roman" w:cs="Times New Roman" w:eastAsia="Times New Roman" w:hAnsi="Times New Roman"/>
          <w:sz w:val="18"/>
          <w:szCs w:val="18"/>
          <w:i w:val="1"/>
          <w:iCs w:val="1"/>
          <w:color w:val="auto"/>
        </w:rPr>
        <w:t>Shapiro v. TG Therapeutics, Inc., et al., Case No. 1:22-cv-06106</w:t>
      </w:r>
      <w:r>
        <w:rPr>
          <w:rFonts w:ascii="Times New Roman" w:cs="Times New Roman" w:eastAsia="Times New Roman" w:hAnsi="Times New Roman"/>
          <w:sz w:val="18"/>
          <w:szCs w:val="18"/>
          <w:color w:val="auto"/>
        </w:rPr>
        <w:t>. The complaint alleged that the Company and the named officers violated the federal securities laws by allegedly making materially false and misleading statements throughout the Class Period concerning the Company’s business and operations relating to ublituximab and umbralisib and sought monetary damages. In January 2023, the Court dismissed the action in full, with prejudice.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and the other information contained elsewhere in this Annual Report before making an investment in our securities. If any of the following risks occur,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The risks described below are not the only ones that our business faces. Additional risks not currently known to us or that we currently deem to be immaterial may adversely impact our business in the future.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Commercialization</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obtain FDA approval for a product candidate and do not achieve broad market acceptance among physicians, patients, healthcare payors, and the medical community, the revenues that we generate from product sales will be limited.</w:t>
      </w:r>
    </w:p>
    <w:p>
      <w:pPr>
        <w:spacing w:after="0" w:line="148" w:lineRule="exact"/>
        <w:rPr>
          <w:sz w:val="20"/>
          <w:szCs w:val="20"/>
          <w:color w:val="auto"/>
        </w:rPr>
      </w:pPr>
    </w:p>
    <w:p>
      <w:pPr>
        <w:jc w:val="both"/>
        <w:ind w:left="60" w:right="79" w:firstLine="492"/>
        <w:spacing w:after="0" w:line="266" w:lineRule="auto"/>
        <w:rPr>
          <w:sz w:val="20"/>
          <w:szCs w:val="20"/>
          <w:color w:val="auto"/>
        </w:rPr>
      </w:pPr>
      <w:r>
        <w:rPr>
          <w:rFonts w:ascii="Times New Roman" w:cs="Times New Roman" w:eastAsia="Times New Roman" w:hAnsi="Times New Roman"/>
          <w:sz w:val="18"/>
          <w:szCs w:val="18"/>
          <w:color w:val="auto"/>
        </w:rPr>
        <w:t>We currently have one marketed product, BRIUMVI, which received approval from the U.S. FDA on December 28, 2022, for the treatment of relapsing forms of multiple sclerosis (RMS), to include clinically isolated syndrome, relapsing-remitting disease, and active secondary progressive disease, in adults.</w:t>
      </w:r>
    </w:p>
    <w:p>
      <w:pPr>
        <w:spacing w:after="0" w:line="135"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While we have initiated the commercial launch of BRIUMVI in the U.S., we have limited experience as a commercial company, and our ability to successfully overcome the risks associated with commercializing drugs in the biopharmaceutical industry, including the risk that our products do not achieve an adequate level of acceptance, remains uncertain. BRIUMVI, as well as other drugs that we may bring to the market in the future, may not gain market acceptance by physicians, patients, third-party payors and others in the healthcare community. As a result, we may not generate significant revenues or meet our revenue projections or guidance and may not become profitable. The degree of market acceptance of BRIUMVI, as well as any future product candidates for which we may receive marketing approval, will depend on a number of factors, including:</w:t>
      </w:r>
    </w:p>
    <w:p>
      <w:pPr>
        <w:spacing w:after="0" w:line="151" w:lineRule="exact"/>
        <w:rPr>
          <w:sz w:val="20"/>
          <w:szCs w:val="20"/>
          <w:color w:val="auto"/>
        </w:rPr>
      </w:pPr>
    </w:p>
    <w:p>
      <w:pPr>
        <w:ind w:left="1040" w:right="79" w:hanging="315"/>
        <w:spacing w:after="0" w:line="261"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marketing approvals, the terms of such approvals, and the countries in which such approvals are obtained;</w:t>
      </w:r>
    </w:p>
    <w:p>
      <w:pPr>
        <w:ind w:left="1040" w:right="79" w:hanging="315"/>
        <w:spacing w:after="0" w:line="250"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tolerability as demonstrated in clinical trials and as compared to alternative treatments;</w:t>
      </w:r>
    </w:p>
    <w:p>
      <w:pPr>
        <w:ind w:left="1040" w:right="79" w:hanging="315"/>
        <w:spacing w:after="0" w:line="250"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BRIUMVI and any of our product candidates, as well as competitive products;</w:t>
      </w:r>
    </w:p>
    <w:p>
      <w:pPr>
        <w:ind w:left="1040" w:right="79" w:hanging="315"/>
        <w:spacing w:after="0" w:line="250"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indications for which our products are approved, and other aspects of the approved labeling for such products;</w:t>
      </w:r>
    </w:p>
    <w:p>
      <w:pPr>
        <w:ind w:left="1040" w:right="79" w:hanging="315"/>
        <w:spacing w:after="0" w:line="250"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advanced practitioners, major operators of neurology clinics, and patients of our products as safe, tolerable and effective treatments;</w:t>
      </w: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or disadvantages of our products compared to alternative treatments;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reimbursement by third-party payors and government authorities;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patient cost-sharing obligations, including copays and deductibles;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by government authorities for our products;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side effects and adverse events;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reliable supply of our products that meets market demand;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or unfavorable publicity relating to our products or relating to the Company.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the COVID-19 pandemic could impact commercialization of BRIUMVI. Patients and healthcare providers have raised concerns that immunosuppressive products like anti-CD20 antibodies and other B-cell targeted agents may increase the risk of acquiring COVID-19 or lead to more severe complications or outcomes upon infection, including death. These concerns may impact the commercial potential for BRIUMVI and other immunosuppressive products that we have in development. The length of time and full extent to which the COVID-19 pandemic directly or indirectly impacts our commercialization efforts depends on future developments that are highly uncertain, subject to change and are difficult to predict. For a discussion of additional pandemic-related risks to our business, see below under the heading “</w:t>
      </w:r>
      <w:r>
        <w:rPr>
          <w:rFonts w:ascii="Times New Roman" w:cs="Times New Roman" w:eastAsia="Times New Roman" w:hAnsi="Times New Roman"/>
          <w:sz w:val="18"/>
          <w:szCs w:val="18"/>
          <w:b w:val="1"/>
          <w:bCs w:val="1"/>
          <w:u w:val="single" w:color="auto"/>
          <w:color w:val="auto"/>
        </w:rPr>
        <w:t>Risks Related to the COVID-19 Pandemic.</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If BRIUMVI, or any future product candidates for which we receive regulatory approval, do not achieve an adequate level of acceptance by physicians, hospitals, healthcare payors and patients, we may not generate sufficient revenue from these products and we may not become or remain profitable, which would have a material adverse effect on our business.</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limitations on the indicated uses or requirements to fulfill certain post-marketing requirements to the satisfaction of regulatory authorities or may be unable to maintain marketing approval for BRIUMVI or future products that we may bring to market.</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Regulatory approvals for our product or any of our product candidates may be subject to limitations on the approved indicated uses for which the product may be marketed or contain requirements for potentially costly post-marketing testing, including Phase IV clinical trials, and surveillance to monitor the safety and efficacy of the approved product candidate. For example, with respect to the FDA’s approval of BRIUMVI for RMS, maintenance of this approval is subject to certain post-marketing requirements and commitments, including long-term safety studies, as well as studies to evaluate the effects of BRIUMVI in pregnant women and pediatric populations, among others. Similar post-approval studies are expected to be required by other regulatory authorities outside of the U.S., including but not limited to, the EMA in the European Union (EU) and the MHRA in the United Kingdom (UK). These studies are highly specialized in their design and conduct and are associated with considerable expenses, and based on the outcome, could result in further labeling restrictions that could impair or restrict the way in which we are able to market BRIUMVI, or negatively impact its overall clinical profile.</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with respect to BRIUMVI and any product candidate that the FDA or a comparable foreign regulatory authority approves, the manufacturing processes, testing,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current Good Manufacturing Practices (cGMPs), with Good Clinical Practices (GCPs), for any clinical trials that we conduct post-approval, and with Good Laboratory Practices (GLPs), for any nonclinical studies. Later discovery of previously unknown problems with a product or with our third-party manufacturers or manufacturing processes, or failure to comply with regulatory requirements, may result in, among other things, restrictions on the marketing or manufacturing of the product, withdrawal of the product from the market, mandatory safety labeling changes or product recalls, suspension or revocation of product approvals, product seizure or detention, refusal to permit the import or export of products, and injunctions or the imposition of civil or criminal penalties, all of which would adversely affect our business, prospects and ability to achieve or sustain profitability.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BRIUMVI, and any of our product candidates for which we in the future obtain approval, may, after approval, be found to cause undesirable side effects that could result in significant negative consequences following commercialization.</w:t>
      </w:r>
    </w:p>
    <w:p>
      <w:pPr>
        <w:spacing w:after="0" w:line="13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As BRIUMVI or any future approved products are used more widely or for a longer duration after being brought to market, data may emerge from clinical studies, including confirmatory or other post-marketing studies, or from adverse event reporting, that may affect the commercial potential of our products. For example, as additional patients are exposed for longer durations to a product in the commercial and clinical settings, it is unknown whether greater frequency and/or severity of adverse events are likely to occur or whether an acceptable safety and tolerability profile will continue to be demonstrated. If we or others identify unexpected side effects, caused by BRIUMVI or our product candidates following introduction into the market, a number of potentially significant negative consequences could result, including:</w:t>
      </w:r>
    </w:p>
    <w:p>
      <w:pPr>
        <w:spacing w:after="0" w:line="189" w:lineRule="exact"/>
        <w:rPr>
          <w:sz w:val="20"/>
          <w:szCs w:val="20"/>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 use (indication) of such products;</w:t>
      </w:r>
    </w:p>
    <w:p>
      <w:pPr>
        <w:spacing w:after="0" w:line="27"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including warnings or boxed warnings, precautions, or contraindications that could diminish the usage of the product or otherwise limit the commercial success of the affected product;</w:t>
      </w:r>
    </w:p>
    <w:p>
      <w:pPr>
        <w:spacing w:after="0" w:line="1"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drug candidates are distributed or administered, or to conduct additional clinical trials;</w:t>
      </w:r>
    </w:p>
    <w:p>
      <w:pPr>
        <w:jc w:val="both"/>
        <w:ind w:left="1040" w:right="79" w:hanging="315"/>
        <w:spacing w:after="0" w:line="250"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Risk Evaluation and Mitigation Strategy (REMS), a plan to mitigate risks, which could include a Medication Guide, physician communication plans, or elements to assure safe use, such as restricted distribution methods, patient registries and other risk minimization tools;</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drug candidates from the marketplace;</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enter into collaboration agreements on acceptable terms and execute on our business model;</w:t>
      </w: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products;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0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Any one or a combination of these events could prevent us from maintaining regulatory approval and achieving or maintaining market acceptance of the affected product or could substantially increase the costs and expenses of commercializing the affected product, which in turn could significantly impact our ability to successfully commercialize our drug candidates and generate revenues.</w:t>
      </w:r>
    </w:p>
    <w:p>
      <w:pPr>
        <w:spacing w:after="0" w:line="176"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BRIUMVI and our product candidates, including TG-1701 and TG-1801 in B-cell disorders, have not been established with precision. If the market opportunities for BRIUMVI and our product candidates are smaller than we estimate or if any approval that we obtain is based on a narrower definition of the patient population, our revenue and ability to achieve profitability will be adversely affected.</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precise incidence and/or prevalence of RMS are unknown. Our projections of BRIUMVI in RMS, are based on estimates and our current knowledge and understanding of the disease. These estimates are typically based on one-on-one and group interactions with target physicians and other sources available at the time we make the estimates, including the scientific literature, healthcare utilization databases and market research. Although we believe our estimates are reasonable many factors may limit their accuracy. For example, the sources we use to make the estimates may prove to be incorrect. Further, new studies may change the estimated incidence or prevalence of these diseases and the number of patients may turn out to be lower than expected.</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total addressable market opportunity for BRIUMVI and our product candidates, if approved, ultimately depends upon, among other things, the approved prescribing information, acceptance by the medical community, patient access, and drug pricing and reimbursement. The number of patients in major markets, including the number of addressable patients in those markets, may turn out to be lower than expected, patients may not be otherwise amenable to treatment with our drugs, new patients may become increasingly difficult to identify or gain access to, patients and physicians may choose to utilize competitive products, or reimbursement may be unfavorable, all of which would adversely affect our results of operations and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commercializing drugs before or more successfully than we do resulting in the reduction or elimination of our commercial opportunity.</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commercialization resources. Large pharmaceutical companies have extensive experience commercializing products and may have significant existing relationships with customers and more resources available to them to promote their products. Many are active in the same diseases that we are, including neurology and immunology, some in direct competition with us. We may also compete with these organizations to recruit commercial and other key personnel. Smaller or early-stage companies may also prove to be significant competitors, particularly through collaborative arrangements with large and established companies.</w:t>
      </w:r>
    </w:p>
    <w:p>
      <w:pPr>
        <w:spacing w:after="0" w:line="18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more effective, have fewer or less severe side effects, are more convenient or are priced or contracted differently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In a competitive environment, a company’s communications may also be subject to heightened scrutiny from regulators and competitors, under laws, regulations, and guidance about promotional communications (advertising and promotional labeling) and non-promotional communications (e.g., certain educational and scientific exchange); and with regard to potential competitor actions under federal law (the Lanham Act) and congruous state law, which protect businesses against the unfair competition of misleading advertising or labeling.</w:t>
      </w:r>
    </w:p>
    <w:p>
      <w:pPr>
        <w:spacing w:after="0" w:line="19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key competitive factors affecting the success of all of our drug candidates, if approved, are likely to be their efficacy, safety, convenience, price, the level of generic competition and the availability of reimbursement from government and other third-party payors.</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New developments, including the development of other pharmaceutical technologies and methods of treating disease, occur in the pharmaceutical and life sciences industries at a rapid pace. These developments may render our product or product candidates obsolete or noncompetitive. Compared to us, many of our potential competitors have substantially greater:</w:t>
      </w:r>
    </w:p>
    <w:p>
      <w:pPr>
        <w:spacing w:after="0" w:line="180" w:lineRule="exact"/>
        <w:rPr>
          <w:sz w:val="20"/>
          <w:szCs w:val="20"/>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resources, including personnel and technology;</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experience;</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development, clinical trial and pharmaceutical commercialization experience;</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and expertise in exploitation of intellectual property rights;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resources.</w:t>
      </w:r>
    </w:p>
    <w:p>
      <w:pPr>
        <w:spacing w:after="0" w:line="20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will also face competition from these third parties in recruiting and retaining qualified personnel, establishing clinical trial sites, patient registration for clinical trials, and in identifying and in-licensing new products and product candidates.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BRIUMVI, as well as any products that we are able to commercialize in the future, may become subject to unfavorable pricing regulations or third-party payor coverage and reimbursement policies, which would harm our business.</w:t>
      </w:r>
    </w:p>
    <w:p>
      <w:pPr>
        <w:spacing w:after="0" w:line="159" w:lineRule="exact"/>
        <w:rPr>
          <w:sz w:val="20"/>
          <w:szCs w:val="20"/>
          <w:color w:val="auto"/>
        </w:rPr>
      </w:pPr>
    </w:p>
    <w:p>
      <w:pPr>
        <w:jc w:val="both"/>
        <w:ind w:left="60" w:right="59" w:firstLine="648"/>
        <w:spacing w:after="0" w:line="269" w:lineRule="auto"/>
        <w:rPr>
          <w:sz w:val="20"/>
          <w:szCs w:val="20"/>
          <w:color w:val="auto"/>
        </w:rPr>
      </w:pPr>
      <w:r>
        <w:rPr>
          <w:rFonts w:ascii="Times New Roman" w:cs="Times New Roman" w:eastAsia="Times New Roman" w:hAnsi="Times New Roman"/>
          <w:sz w:val="17"/>
          <w:szCs w:val="17"/>
          <w:color w:val="auto"/>
        </w:rPr>
        <w:t>The regulations that govern regulatory approvals, pricing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approval is granted. In some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products, even if more of our product candidates obtain marketing approval.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costs and may not be made permanent.</w:t>
      </w:r>
    </w:p>
    <w:p>
      <w:pPr>
        <w:spacing w:after="0" w:line="17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ability to commercialize any product successfully also will depend in part on the extent to which coverage and reimbursement for our products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and co-payment levels. A primary trend in the U.S. healthcare industry and elsewhere is cost containment. Government authorities and third-party payors have attempted to control costs by restricting coverage and limiting the amount of reimbursement for particular drugs. Increasingly, third-party payors are requiring that drug companies provide them with predetermined discounts from list prices and are challenging the prices charged for drugs, examining the cost effectiveness of drugs in addition to their safety and efficacy. Third-party commercial payors often rely upon Medicare coverage policy and payment limitations in setting their own reimbursement policies. Payors may restrict coverage of some products by using formularies under which only selected drugs are covered, variable co-payments that make drugs that are not preferred by the payor more expensive for patients, and utilization management controls, such as requirements for prior authorization or failure first on another type of treatment. Payors may target higher-priced drugs for imposition of these obstacles to coverage, and consequently our products may be subject to payor-driven restrictions. Additionally, in countries where patients have access to insurance, as in the U.S., insurance co-payment amounts, or other benefit limits may represent a barrier to obtaining or continuing use of our products that receive regulatory approval. If we are unable to obtain or maintain coverage, or coverage is reduced in one or more countries, our product sales may be lower than anticipated and our financial condition could be harmed.</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In the United States, for example, we must offer discounted pricing or rebates on purchases of pharmaceutical products under various federal and state healthcare programs, such as the Medicaid Drug Rebate Program, the 340B drug pricing program and the Medicare Part D Program. We must also report specific prices to government agencies under healthcare programs, such as the Medicaid Drug Rebate Program and Medicare Part B. The calculations necessary to determine the prices reported are complex and the failure to report prices accurately may expose us to penalties.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expand our commercialization operations, we may not be successful in commercializing BRIUMVI or any product candidate, if and when such product candidates are approved, and we may not be able to generate any revenue.</w:t>
      </w:r>
    </w:p>
    <w:p>
      <w:pPr>
        <w:spacing w:after="0" w:line="175" w:lineRule="exact"/>
        <w:rPr>
          <w:sz w:val="20"/>
          <w:szCs w:val="20"/>
          <w:color w:val="auto"/>
        </w:rPr>
      </w:pPr>
    </w:p>
    <w:p>
      <w:pPr>
        <w:jc w:val="both"/>
        <w:ind w:left="60" w:right="59" w:firstLine="648"/>
        <w:spacing w:after="0" w:line="281" w:lineRule="auto"/>
        <w:rPr>
          <w:sz w:val="20"/>
          <w:szCs w:val="20"/>
          <w:color w:val="auto"/>
        </w:rPr>
      </w:pPr>
      <w:r>
        <w:rPr>
          <w:rFonts w:ascii="Times New Roman" w:cs="Times New Roman" w:eastAsia="Times New Roman" w:hAnsi="Times New Roman"/>
          <w:sz w:val="18"/>
          <w:szCs w:val="18"/>
          <w:color w:val="auto"/>
        </w:rPr>
        <w:t>Commercialization of pharmaceutical products is an extremely complex and highly capital- and resource-intensive process. Even for established companies with existing infrastructure and significantly greater resources than we have, challenges have occurred.</w:t>
      </w:r>
    </w:p>
    <w:p>
      <w:pPr>
        <w:spacing w:after="0" w:line="17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have made and continue to make significant investments in our commercial organization and infrastructure. We built processes and systems to support the commercialization of UKONIQ in the U.S. Although we withdrew UKONIQ from sale, we are using and expanding upon many of those systems and processes to market BRIUMVI following its commercial launch on January 26, 2023. There are risks involved with establishing our own commercialization capabilities. For example, if we are unable to recruit and retain adequate numbers of effective personnel to support the ongoing commercialization of BRIUMVI, we may not be successful in marketing and selling the product.</w:t>
      </w:r>
    </w:p>
    <w:p>
      <w:pPr>
        <w:spacing w:after="0" w:line="18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Additional factors that may inhibit our efforts to commercialize BRIUMVI and our other product candidates on our own and generate product revenues include:</w:t>
      </w:r>
    </w:p>
    <w:p>
      <w:pPr>
        <w:spacing w:after="0" w:line="162" w:lineRule="exact"/>
        <w:rPr>
          <w:sz w:val="20"/>
          <w:szCs w:val="20"/>
          <w:color w:val="auto"/>
        </w:rPr>
      </w:pPr>
    </w:p>
    <w:p>
      <w:pPr>
        <w:ind w:left="1040" w:right="79" w:hanging="315"/>
        <w:spacing w:after="0" w:line="261"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time associated with the initial and ongoing training of commercialization personnel on the applicable disease states, products, competitors, and legal and regulatory compliance matters;</w:t>
      </w:r>
    </w:p>
    <w:p>
      <w:pPr>
        <w:ind w:left="1040" w:right="79" w:hanging="315"/>
        <w:spacing w:after="0" w:line="250"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commercialization personnel to obtain access to physicians or to effectively promote or provide education about BRIUMVI and any future approved products;</w:t>
      </w:r>
    </w:p>
    <w:p>
      <w:pPr>
        <w:ind w:left="1040" w:right="79" w:hanging="315"/>
        <w:spacing w:after="0" w:line="250"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the Company, which may put us at a competitive disadvantage relative to companies with more extensive product lines;</w:t>
      </w:r>
    </w:p>
    <w:p>
      <w:pPr>
        <w:ind w:left="1040" w:right="79" w:hanging="315"/>
        <w:spacing w:after="0" w:line="250"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third-party payors to deny reimbursement of or delay coverage decisions regarding BRIUMVI or following approval of any product candidates;</w:t>
      </w:r>
    </w:p>
    <w:p>
      <w:pPr>
        <w:ind w:left="1040" w:right="79" w:hanging="315"/>
        <w:spacing w:after="0" w:line="250"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healthcare compliance program including effective mechanisms for compliance monitoring;</w:t>
      </w: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product availability for commercial sale following approval and continued product supply;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 commercialization organization.</w:t>
      </w:r>
    </w:p>
    <w:p>
      <w:pPr>
        <w:spacing w:after="0" w:line="20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future, we may choose to participate in sales activities with collaborators for our product and for our product candidates if and when they are approved, particularly for regions outside the U.S. However, there are also risks with entering into these types of arrangements with third parties to perform sales, marketing and distribution services. For example, we may not be able to enter into such arrangements on terms that are favorable to us. Our drug revenues or the profitability of these drug revenues to us are likely to be lower than if we were to market and sell any products or product candidates that we develop ourselves. In addition, we likely will have little control over such third parties, and any of them may fail to devote the necessary resources and attention to sell and market our product or product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94"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may expand into certain European markets. Building and maintaining an infrastructure outside the United States is expensive, complex, resource intensive and time consuming. We have not undertaken significant commercialization activities outside of the U.S., including in the EU, where the potential market opportunity for BRIUMVI, if approved, is smaller than the U.S. If we were to do so, we would expect to incur significant expenses in establishing an infrastructure to commercialize outside the U.S. If this were to occur, depending on the expenses incurred, it could have a negative impact on our cash resources.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5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an even greater risk in connection with the commercialization of BRIUMVI and any other products for which we may receive marketing authorization in the future. If we cannot successfully defend ourselves against claims that BRIUMVI or any of our product candidates caused injuries, we could incur substantial liabilities. Regardless of merit or eventual outcome, liability claims may result in:</w:t>
      </w:r>
    </w:p>
    <w:p>
      <w:pPr>
        <w:spacing w:after="0" w:line="183" w:lineRule="exact"/>
        <w:rPr>
          <w:sz w:val="20"/>
          <w:szCs w:val="20"/>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products that we may commercialize;</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including the risk that any individuals who may face such related litigation may in turn seek to recover from us;</w:t>
      </w: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or product candidates that we may develop.</w:t>
      </w:r>
    </w:p>
    <w:p>
      <w:pPr>
        <w:spacing w:after="0" w:line="20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Position and Need for Additional Capital</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anticipate that we will incur continued losses for the foreseeable future.</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Biopharmaceutical drug development is a highly speculative undertaking and involves a substantial degree of risk. We commenced operations in January 2012. To date, our operations have been limited primarily to organizing and staffing our company, business planning, raising capital, developing our technology, identifying potential drug candidates, undertaking pre-clinical studies and clinical trials, commercializing UKONIQ (which we withdrew from sale), and launching BRIUMVI. We are transitioning from a company with a research and development focus and commercialization capabilities in oncology to a company capable of supporting commercial activities in neurology and immunology in the U.S. and outside the U.S. This transition involves a wide variety of risks, and we may not be successful in such transition.</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Since inception, we have focused our efforts and financial resources on clinical trials, manufacturing of our product and product candidates, and preparing to support a commercial product. To date, we have financed our operations primarily through public offerings of our common stock and debt financing. Since inception, we have incurred significant operating losses. Substantially all our operating losses have resulted from costs incurred in connection with our research and development programs and from selling, general and administrative costs associated with our operations, including our commercialization activities. We expect to continue to incur significant expenses and operating losses for the foreseeable future. Our prior losses, combined with expected future losses, have had, and will continue to have an adverse effect on our stockholders’ deficit and working capital. BRIUMVI is currently our only marketed product. We expect to continue to incur significant research and development expenses and we expect to continue to incur significant commercialization and outsourced-manufacturing expenses as we commercialize BRIUMVI.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have not generated any significant revenue from the sale of our product. It is uncertain when and if we will generate any significant revenue from the sale of our product or any product candidates, if approved, in the future. Furthermore, no assurance can be given that we will meet revenue projections or guidance with respect to BRIUMVI or our product candidates, if approved. To obtain significant and sustained revenues and meet our revenue projections or guidance, we must succeed, either alone or with others, in (i) obtaining and maintaining regulatory approval for our product and product candidates; and (ii) manufacturing and marketing our product and product candidates. Our ability to generate sustained revenue depends on a number of factors, including, but not limited to, our ability to:</w:t>
      </w:r>
    </w:p>
    <w:p>
      <w:pPr>
        <w:spacing w:after="0" w:line="189" w:lineRule="exact"/>
        <w:rPr>
          <w:sz w:val="20"/>
          <w:szCs w:val="20"/>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clinical trials that meet their clinical endpoints;</w:t>
      </w:r>
    </w:p>
    <w:p>
      <w:pPr>
        <w:spacing w:after="0" w:line="27"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pharmacokinetic, biodistribution, and non-clinical studies required to obtain U.S. and foreign marketing approval for our product and product candidates;</w:t>
      </w:r>
    </w:p>
    <w:p>
      <w:pPr>
        <w:ind w:left="1040" w:right="79" w:hanging="315"/>
        <w:spacing w:after="0" w:line="250"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from the FDA and foreign equivalents to market and sell our product and product candidates, and maintain FDA approval of BRIUMVI for RMS;</w:t>
      </w:r>
    </w:p>
    <w:p>
      <w:pPr>
        <w:jc w:val="both"/>
        <w:ind w:left="1040" w:right="79" w:hanging="315"/>
        <w:spacing w:after="0" w:line="250"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commercial manufacturing capabilities with third parties that are satisfactory to the regulatory authorities, cost effective, and that are capable of providing commercial supply of our product and product candidates;</w:t>
      </w:r>
    </w:p>
    <w:p>
      <w:pPr>
        <w:spacing w:after="0" w:line="1"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on our commercialization infrastructure to commercialize BRIUMVI, and/or entering into collaborations with third parties; and</w:t>
      </w:r>
    </w:p>
    <w:p>
      <w:pPr>
        <w:ind w:left="1040" w:right="79" w:hanging="315"/>
        <w:spacing w:after="0" w:line="260"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BRIUMVI and any other products for which we may receive regulatory approval in the medical community and with third-party payors.</w:t>
      </w:r>
    </w:p>
    <w:p>
      <w:pPr>
        <w:spacing w:after="0" w:line="181"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generate significant and sustained revenues, we will not become profitable and we will be unable to continue our operations without continued funding.</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substantial additional funding. If we are unable to raise capital when needed, we may be required to delay, limit, reduce or eliminate some of our drug development programs or commercialization efforts.</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development of pharmaceuticals is capital-intensive. We are currently advancing our early-stage drug candidates, TG-1701 and TG-1801 in ongoing Phase 1 studies to identify tolerable and efficacious doses. We are also advancing BRIUMVI for long-term tolerability in an Open-Label Extension of the Phase 3 ULTIMATE I and II trials and anticipate conducting additional clinical studies in the near future including those necessary to satisfy post-approval commitments for regulatory authorities. Moreover, now that we have launched BRIUMVI, we will need to expend substantial resources on maintaining approvals, continuing commercialization, manufacturing and distribution over the next 6 to 12 months.</w:t>
      </w:r>
    </w:p>
    <w:p>
      <w:pPr>
        <w:spacing w:after="0" w:line="18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but not limited to, the following:</w:t>
      </w:r>
    </w:p>
    <w:p>
      <w:pPr>
        <w:spacing w:after="0" w:line="162" w:lineRule="exact"/>
        <w:rPr>
          <w:sz w:val="20"/>
          <w:szCs w:val="20"/>
          <w:color w:val="auto"/>
        </w:rPr>
      </w:pPr>
    </w:p>
    <w:p>
      <w:pPr>
        <w:ind w:left="720" w:right="599" w:hanging="319"/>
        <w:spacing w:after="0" w:line="261"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commercialization of BRIUMVI and any other products for which we receive regulatory approval;</w:t>
      </w:r>
    </w:p>
    <w:p>
      <w:pPr>
        <w:ind w:left="720" w:right="119" w:hanging="319"/>
        <w:spacing w:after="0" w:line="250"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clinical and commercial manufacturing supply arrangements for each product and product candidate;</w:t>
      </w: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our sales, distribution, and other commercialization capabilities;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regulatory approvals;</w:t>
      </w:r>
    </w:p>
    <w:p>
      <w:pPr>
        <w:spacing w:after="0" w:line="9" w:lineRule="exact"/>
        <w:rPr>
          <w:rFonts w:ascii="Times New Roman" w:cs="Times New Roman" w:eastAsia="Times New Roman" w:hAnsi="Times New Roman"/>
          <w:sz w:val="18"/>
          <w:szCs w:val="18"/>
          <w:color w:val="auto"/>
        </w:rPr>
      </w:pPr>
    </w:p>
    <w:p>
      <w:pPr>
        <w:ind w:left="720" w:right="599" w:hanging="319"/>
        <w:spacing w:after="0" w:line="250"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clinical trials, including expenses to support the trials and milestone payments that may become payable under our license agreements;</w:t>
      </w: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including licensing and other arrangements;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enforcing or defending patent claims or other intellectual property rights;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invest in other indications or product candidates.</w:t>
      </w:r>
    </w:p>
    <w:p>
      <w:pPr>
        <w:spacing w:after="0" w:line="20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a result, significant additional funding will be required. Additional sources of financing to continue our operations in the future might not be available on favorable terms, if at all. If we do not succeed in raising additional funds on acceptable terms, we could be forced to discontinue product development, reduce or forego commercialization efforts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that are required for successful commercialization of BRIUMVI or any of our product candidates and otherwise forego attractive business opportunities. Any additional sources of financing may involve the issuance of our equity securities, which would have a dilutive effect to stockholders. Currently, other than BRIUMVI, our products are investigational and have not been approved by the FDA or any foreign regulatory authority for sale. For the foreseeable future, we will have to fund all our operations and capital expenditures from sales of BRIUMVI in the U.S., cash on hand, and amounts raised in future offerings or financings. Accordingly, our prospects must be considered in light of the uncertainties, risks, expenses and difficulties frequently encountered by companies in the early stages of commercial operations and the competitive environment in which we operate.</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drug candidates and occupy valuable management time and resources.</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revenues, we expect to finance our cash needs through a combination of public and private equity offerings, debt financings, collaborations, strategic alliances and licensing arrangements. We do not have any committed external source of funds, other than funds already borrowed under the loan and security agreement that we entered into with Hercules in February 2019, expanded in December 2021, and amended on March 31, 2023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7 to our consolidated financial statements for more information).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We may also seek funds through collaborations, strategic alliances or licensing arrangements with third parties at a time that is not desirable to us and we may be required to relinquish valuable rights to some intellectual property, future revenue streams, research programs or products and product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We cannot guarantee that future financing will be available in sufficient amounts or on terms acceptable to us, if at all, which could limit our ability to expand our business operations and could harm our overall business prospects.</w:t>
      </w:r>
    </w:p>
    <w:p>
      <w:pPr>
        <w:spacing w:after="0" w:line="19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Moreover, the issuance of additional securities, whether equity or debt, by us, or the possibility of such issuance, may cause the market price of our shares to decline.</w:t>
      </w:r>
    </w:p>
    <w:p>
      <w:pPr>
        <w:spacing w:after="0" w:line="17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Long-term commercialization and product candidate development timelines and projections in this report are based on the assumption of further financing.</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timelines and projections in this report are predicated upon the assumption that we will raise additional financing in the future to continue our long-term commercialization efforts and the development of our product and product candidates. In the event we do not successfully raise subsequent financing, such commercialization and product development activities may be curtailed commensurate with the magnitude of the shortfall. If our commercialization or product development activities are slowed or stopped, we would be unable to meet the timelines and projections outlined in this filing. Failure to progress our commercialization activities or the development of our product and product candidates as anticipated will have a negative effect on our business, future prospects, and ability to obtain further financing on acceptable terms, if at all, and the value of the enterprise.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limited resources, we may fail to capitalize on programs or product candidates that may present a greater commercial opportunity or for which there is a greater likelihood of success.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8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any of these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February 2019, we entered into a Loan and Security Agreement, with Hercules Capital, Inc., a Maryland corporation (Hercules) and on December 30, 2021 (the Amendment Closing Date), the Company entered into an Amended and Restated Loan and Security Agreement (the Amended Loan Agreement) with Hercules. Under the Amended Loan Agreement, Hercules increased the aggregate principal amount of the loan, available at the Company’s option, from $60.0 million to $200.0 million. On March 31, 2023 (the First Amendment Effective Date), the Company entered into a First Amendment to the Amended and Restated Loan and Security Agreement (the First Amendment) with Hercules. An advance of $25.0 million was drawn at the First Amendment Effective Date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7 to our consolidated financial statements for more information). We have the option to request an additional $20.0 million under the First Amendment, such option will lapse if not elected by September 15, 2023. We have the option to request additional loan advances, in an aggregate principal amount of up to $85.0 million under the First Amendment.</w:t>
      </w:r>
    </w:p>
    <w:p>
      <w:pPr>
        <w:spacing w:after="0" w:line="194"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All obligations under the First Amendment are secured by substantially all our existing property and assets, excluding intellectual property.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w:t>
      </w:r>
    </w:p>
    <w:p>
      <w:pPr>
        <w:spacing w:after="0" w:line="180" w:lineRule="exact"/>
        <w:rPr>
          <w:sz w:val="20"/>
          <w:szCs w:val="20"/>
          <w:color w:val="auto"/>
        </w:rPr>
      </w:pPr>
    </w:p>
    <w:p>
      <w:pPr>
        <w:jc w:val="both"/>
        <w:ind w:left="1040" w:right="79" w:hanging="315"/>
        <w:spacing w:after="0" w:line="257"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repay the indebtedness by making payments of interest and principal, which will reduce the amount of money available to finance our operations, our research and development efforts and other general corporate activities; and</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55"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restrictive covenants in the First Amendment could result in an event of default that, if not cured or waived, would accelerate our obligation to repay this indebtedness, and Hercules could seek to enforce its security interest in the assets securing such indebtedness.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To the extent additional debt is added to our current debt levels, the risks described above could increase.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cash available in an amount sufficient to enable us to make interest or principal payments on our indebtedness when due.</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Failure to satisfy our current and future debt obligations under the First Amendment, or the breach of any of its covenants, subject to specified cure periods with respect to certain breaches, could result in an event of default and, as a result, Hercules could accelerate all the amounts due. In the event of an acceleration of amounts due under the First Amendment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ourselves. Hercules could also exercise its rights as collateral agent to take possession and dispose of the collateral securing the term loan for its benefit, which collateral includes substantially all our property other than intellectual property. Our business, financial condition and results of operations could be materially adversely affected as a result of any of these events.</w:t>
      </w:r>
    </w:p>
    <w:p>
      <w:pPr>
        <w:spacing w:after="0" w:line="194"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First Amendment imposes operating and other restrictions on the Company. Such restrictions will affect, and in many respects limit or prohibit, our ability and the ability of any future subsidiary to, among other things:</w:t>
      </w:r>
    </w:p>
    <w:p>
      <w:pPr>
        <w:spacing w:after="0" w:line="162" w:lineRule="exact"/>
        <w:rPr>
          <w:sz w:val="20"/>
          <w:szCs w:val="20"/>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certain assets;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lines of business;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acquisitions or consolidations;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assets;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contributions or repurchase our capital stock;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w:t>
      </w:r>
    </w:p>
    <w:p>
      <w:pPr>
        <w:spacing w:after="0" w:line="193"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breach of any of these restrictive covenants could have a material adverse effect on our business and prospects.</w:t>
      </w:r>
    </w:p>
    <w:p>
      <w:pPr>
        <w:spacing w:after="0" w:line="131" w:lineRule="exact"/>
        <w:rPr>
          <w:sz w:val="20"/>
          <w:szCs w:val="20"/>
          <w:color w:val="auto"/>
        </w:rPr>
      </w:pPr>
    </w:p>
    <w:p>
      <w:pPr>
        <w:jc w:val="both"/>
        <w:ind w:left="60" w:right="79"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cash and cash equivalents could be adversely affected if the financial institutions in which we hold our cash and cash equivalents fail.</w:t>
      </w:r>
    </w:p>
    <w:p>
      <w:pPr>
        <w:spacing w:after="0" w:line="131" w:lineRule="exact"/>
        <w:rPr>
          <w:sz w:val="20"/>
          <w:szCs w:val="20"/>
          <w:color w:val="auto"/>
        </w:rPr>
      </w:pPr>
    </w:p>
    <w:p>
      <w:pPr>
        <w:jc w:val="both"/>
        <w:ind w:left="60" w:right="59" w:firstLine="648"/>
        <w:spacing w:after="0" w:line="235" w:lineRule="auto"/>
        <w:rPr>
          <w:sz w:val="20"/>
          <w:szCs w:val="20"/>
          <w:color w:val="auto"/>
        </w:rPr>
      </w:pPr>
      <w:r>
        <w:rPr>
          <w:rFonts w:ascii="Times New Roman" w:cs="Times New Roman" w:eastAsia="Times New Roman" w:hAnsi="Times New Roman"/>
          <w:sz w:val="18"/>
          <w:szCs w:val="18"/>
          <w:color w:val="auto"/>
        </w:rPr>
        <w:t>On March 10, 2023, the Federal Deposit Insurance Corporation (FDIC) announced that Silicon Valley Bank had been closed by the California Department of Financial Protection and Innovation, and on March 12, 2023, Signature Bank was closed by the New York State Department of Financial Services and the FDIC was named receiver. Although we do not maintain any bank accounts with Silicon Valley Bank or Signature Bank, we regularly maintain cash balances at third-party financial institutions in excess of the FDIC insurance limit. Any failure of a depository institution to return any of our deposits, or any other adverse conditions in the financial or credit markets affecting depository institutions, could impact access to our invested cash or cash equivalents and could adversely impact our operating liquidity and financial performance.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Drug Development and Regulatory Approval</w:t>
      </w:r>
    </w:p>
    <w:p>
      <w:pPr>
        <w:spacing w:after="0" w:line="198" w:lineRule="exact"/>
        <w:rPr>
          <w:sz w:val="20"/>
          <w:szCs w:val="20"/>
          <w:color w:val="auto"/>
        </w:rPr>
      </w:pPr>
    </w:p>
    <w:p>
      <w:pPr>
        <w:jc w:val="both"/>
        <w:ind w:left="60" w:right="59"/>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regulatory approval for our product and product candidates and ultimately cannot successfully commercialize our product or product candidates, or experience significant delays in doing so, our business will be materially harmed.</w:t>
      </w:r>
    </w:p>
    <w:p>
      <w:pPr>
        <w:spacing w:after="0" w:line="16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ability to generate revenues from product sales will depend largely on the successful commercialization of BRIUMVI. Each of our product candidates will require additional non-clinical or clinical development, regulatory approval, and sufficient clinical and commercial supply. The success of our development programs and achievement of regulatory approval of our product candidates will depend on several factors, including, among others, the following:</w:t>
      </w:r>
    </w:p>
    <w:p>
      <w:pPr>
        <w:spacing w:after="0" w:line="180" w:lineRule="exact"/>
        <w:rPr>
          <w:sz w:val="20"/>
          <w:szCs w:val="20"/>
          <w:color w:val="auto"/>
        </w:rPr>
      </w:pPr>
    </w:p>
    <w:p>
      <w:pPr>
        <w:jc w:val="both"/>
        <w:ind w:left="1040" w:right="79" w:hanging="315"/>
        <w:spacing w:after="0" w:line="257"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our clinical programs with positive results that support a finding of effectiveness and an acceptable safety profile of our product candidates in the intended populations within the timeframes we have projected;</w:t>
      </w:r>
    </w:p>
    <w:p>
      <w:pPr>
        <w:spacing w:after="0" w:line="1"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INDs and clinical trial applications (CTAs), being cleared/approved such that our product candidates can commence clinical trials;</w:t>
      </w:r>
    </w:p>
    <w:p>
      <w:pPr>
        <w:ind w:left="1040" w:right="79" w:hanging="315"/>
        <w:spacing w:after="0" w:line="250"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and completion of preclinical studies and successful initiation of, enrollment in, and completion of clinical trials;</w:t>
      </w:r>
    </w:p>
    <w:p>
      <w:pPr>
        <w:ind w:left="1040" w:right="79" w:hanging="315"/>
        <w:spacing w:after="0" w:line="250"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for our product candidates;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commercially viable arrangements with third-party manufacturers for clinical supply and commercial manufacturing; and</w:t>
      </w:r>
    </w:p>
    <w:p>
      <w:pPr>
        <w:ind w:left="1040" w:right="79" w:hanging="315"/>
        <w:spacing w:after="0" w:line="260"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product candidates.</w:t>
      </w:r>
    </w:p>
    <w:p>
      <w:pPr>
        <w:spacing w:after="0" w:line="154" w:lineRule="exact"/>
        <w:rPr>
          <w:sz w:val="20"/>
          <w:szCs w:val="20"/>
          <w:color w:val="auto"/>
        </w:rPr>
      </w:pPr>
    </w:p>
    <w:p>
      <w:pPr>
        <w:jc w:val="both"/>
        <w:ind w:left="60" w:right="59" w:firstLine="648"/>
        <w:spacing w:after="0" w:line="24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in our clinical programs and regulatory submission timelines and may not be able to obtain regulatory approval for our product candidates.</w:t>
      </w:r>
    </w:p>
    <w:p>
      <w:pPr>
        <w:spacing w:after="0" w:line="193"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Because results of preclinical studies and early clinical trials are not necessarily predictive of future results, any product candidate we advance may not have favorable results in later clinical trials or receive regulatory approval. Moreover, interim, “top-line,” and preliminary data from our clinical trials that we announce or publish may change, or the perceived product profile may be negatively impacted, as more patient data or additional endpoints (including efficacy and safety) are analyzed.</w:t>
      </w:r>
    </w:p>
    <w:p>
      <w:pPr>
        <w:spacing w:after="0" w:line="183"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have believed their product candidates performed satisfactorily in preclinical studies and clinical trials have nonetheless failed to obtain marketing approval. Once a product candidate has displayed sufficient preclinical data to warrant clinical investigation, we will be required to demonstrate, through adequate and well-controlled clinical trials, that our product candidates are effective with a favorable benefit-risk profile for use in populations for their target indications before we can seek regulatory approvals for their commercial sale. Many drug candidates fail in the early stages of clinical development for safety and tolerability issues or for insufficient clinical activity, despite promising pre-clinical results. Accordingly, no assurance can be made that a safe and efficacious dose can be found for these compounds or that they will ever enter into advanced clinical trials alone or in combination with other product candidates. Moreover,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experience significant setbacks in advanced clinical trials, even after earlier clinical trials have shown promising results. There is an extremely high rate of failure of pharmaceutical candidates proceeding through clinical trials.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Individually reported outcomes of patients treated in clinical trials may not be representative of the entire population of treated patients in such studies. In addition,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outcome of the study or the opinion of the validity of the study results by applicable regulatory agencies.</w:t>
      </w:r>
    </w:p>
    <w:p>
      <w:pPr>
        <w:spacing w:after="0" w:line="156" w:lineRule="exact"/>
        <w:rPr>
          <w:sz w:val="20"/>
          <w:szCs w:val="20"/>
          <w:color w:val="auto"/>
        </w:rPr>
      </w:pPr>
    </w:p>
    <w:p>
      <w:pPr>
        <w:jc w:val="both"/>
        <w:ind w:left="60" w:right="59" w:firstLine="648"/>
        <w:spacing w:after="0" w:line="232" w:lineRule="auto"/>
        <w:rPr>
          <w:sz w:val="20"/>
          <w:szCs w:val="20"/>
          <w:color w:val="auto"/>
        </w:rPr>
      </w:pPr>
      <w:r>
        <w:rPr>
          <w:rFonts w:ascii="Times New Roman" w:cs="Times New Roman" w:eastAsia="Times New Roman" w:hAnsi="Times New Roman"/>
          <w:sz w:val="18"/>
          <w:szCs w:val="18"/>
          <w:color w:val="auto"/>
        </w:rPr>
        <w:t>From time to time, we may publicly disclose top-line or preliminary data from our clinical trials, which is based on a preliminary analysis of available data, and the results and related findings and conclusions are subject to change following a more comprehensive review of the data related to the particular study or trial. We also make assumptions, estimations, calculations and conclusions as part of our analyses of such data, and we may not have received or had the opportunity to fully and carefully evaluate all data from the particular study or trial, including all endpoints and safety data. As a result,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interim, or preliminary data we previously published. When providing top-line results, we may disclose the primary endpoint of a study before all secondary endpoints have been fully analyzed. A positive primary endpoint does not translate to all, or any, secondary endpoints being met. As a result, top-line and preliminary data should be viewed with caution until the final data are available, including data from the full safety analysis and the final analysis of all endpoints.</w:t>
      </w:r>
    </w:p>
    <w:p>
      <w:pPr>
        <w:spacing w:after="0" w:line="20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Further, 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For example, time-to-event based endpoints such as duration of response (DOR) and progression-free survival (PFS), and continuously observed data such as annualized relapse rate (ARR) have the potential to change with longer follow-up. In addition, as patients continue on therapy, there can be no assurance given that the final safety data from studies, once fully analyzed, will be consistent with prior safety data presented, will be differentiated from other similar agents in the same class, will support continued development, or will be favorable enough to support regulatory approvals for the indications studied.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The information we choose to publicly disclose regarding a particular study or clinical trial is based on what is typically extensive information, and regulators or others may not agree with what we determine is material or otherwise appropriate information to include in our disclosure. If the interim, top-line or preliminary data that we report differ from final results, or if others, including regulatory authorities, disagree with the conclusions we have reached, our ability to obtain approval for, or successfully commercialize, our product or product candidates may be harmed, which could harm our business, operating results, prospects or financial condition.</w:t>
      </w:r>
    </w:p>
    <w:p>
      <w:pPr>
        <w:spacing w:after="0" w:line="19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Many of the results reported in our early clinical trials rely on local investigator-assessed efficacy outcomes which may be subject to greater variability or subjectivity than results assessed in a blinded, independent, centrally reviewed manner, often required of later phase, adequate and well-controlled registration-directed clinical trials. If the results from our registration-directed trials are different from the results found in the earlier studies, we may need to terminate or revise our clinical development plan, which could extend the time for conducting our development program and could have a material adverse effect on our business.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75" w:lineRule="exact"/>
        <w:rPr>
          <w:sz w:val="20"/>
          <w:szCs w:val="20"/>
          <w:color w:val="auto"/>
        </w:rPr>
      </w:pPr>
    </w:p>
    <w:p>
      <w:pPr>
        <w:jc w:val="both"/>
        <w:ind w:left="60" w:right="59" w:firstLine="648"/>
        <w:spacing w:after="0" w:line="272" w:lineRule="auto"/>
        <w:rPr>
          <w:sz w:val="20"/>
          <w:szCs w:val="20"/>
          <w:color w:val="auto"/>
        </w:rPr>
      </w:pPr>
      <w:r>
        <w:rPr>
          <w:rFonts w:ascii="Times New Roman" w:cs="Times New Roman" w:eastAsia="Times New Roman" w:hAnsi="Times New Roman"/>
          <w:sz w:val="17"/>
          <w:szCs w:val="17"/>
          <w:color w:val="auto"/>
        </w:rPr>
        <w:t>Before obtaining marketing approval from regulatory authorities for the sale of any product candidate, we must complete pre-clinical studies and then conduct extensive clinical trials to demonstrate the safety and efficacy of our product candidates in humans. Clinical testing is expensive, is difficult to design and implement, can take many years to complete and is uncertain as to outcome. It is impossible to predict when or if our product candidates will prove effective and safe in humans, will receive regulatory approval or will have a differentiated safety and tolerability profile. A failure of one or more clinical trials can occur at any stage of testing. Accordingly, our ongoing trials and future clinical trials may not be successful. Even if our clinical trials produce positive results, there can be no guarantee that the positive outcomes will be replicated in future studies either within the same indication as previously evaluated or in alternate indications and settings.</w:t>
      </w:r>
    </w:p>
    <w:p>
      <w:pPr>
        <w:spacing w:after="0" w:line="172"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Successful completion of our clinical trials is a prerequisite to submitting an NDA or a BLA to the FDA and a Marketing Authorization Application (MAA) to the European Medicines Agency (EMA) for each product candidate and, consequently, the ultimate approval and commercial marketing of our product candidates. We do not know whether any of our ongoing or future clinical trials for our product candidates will be completed on schedule, if at all.</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Whether or not and how quickly we complete clinical trials depends in part upon the rate at which we are able to engage clinical research/trial sites and, thereafter, the rate of enrollment of patients, and the rate at which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unforeseen events, such as the COVID-19 pandemic, that could delay or prevent our ability to complete current clinical trials, initiate new trials, receive marketing approval or commercialize our product candidates, including:</w:t>
      </w:r>
    </w:p>
    <w:p>
      <w:pPr>
        <w:spacing w:after="0" w:line="175" w:lineRule="exact"/>
        <w:rPr>
          <w:sz w:val="20"/>
          <w:szCs w:val="20"/>
          <w:color w:val="auto"/>
        </w:rPr>
      </w:pPr>
    </w:p>
    <w:p>
      <w:pPr>
        <w:ind w:left="1040" w:right="79" w:hanging="315"/>
        <w:spacing w:after="0" w:line="238"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us to submit additional data or impose other requirements before permitting us to initiate a clinical trial;</w:t>
      </w:r>
    </w:p>
    <w:p>
      <w:pPr>
        <w:jc w:val="both"/>
        <w:ind w:left="1040" w:right="79" w:hanging="315"/>
        <w:spacing w:after="0" w:line="228"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or institutional review boards (IRBs) or ethics committees (ECs) may not authorize us or our investigators to commence a clinical trial or conduct a clinical trial at a prospective trial site or in a country; we may experience delays in reaching, or fail to reach, agreement on acceptable terms with prospective trial sites and prospective clinical research organizations (CROs), the terms of which can be subject to extensive negotiation and may vary significantly among different CROs and trial sites;</w:t>
      </w:r>
    </w:p>
    <w:p>
      <w:pPr>
        <w:spacing w:after="0" w:line="2" w:lineRule="exact"/>
        <w:rPr>
          <w:rFonts w:ascii="Times New Roman" w:cs="Times New Roman" w:eastAsia="Times New Roman" w:hAnsi="Times New Roman"/>
          <w:sz w:val="18"/>
          <w:szCs w:val="18"/>
          <w:color w:val="auto"/>
        </w:rPr>
      </w:pPr>
    </w:p>
    <w:p>
      <w:pPr>
        <w:jc w:val="both"/>
        <w:ind w:left="1040" w:right="79" w:hanging="315"/>
        <w:spacing w:after="0" w:line="229"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drug candidates may produce negative or inconclusive results, and we may decide, or regulatory authorities may require us, to conduct additional pre-clinical studies or clinical trials or we may decide to abandon drug development programs;</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29"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29"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29"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regulatory authorities or IRBs or ECs may require that we or our investigators suspend or terminate clinical research for various reasons, including noncompliance with regulatory requirements or a finding that the participants are being exposed to unacceptable health risks;</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1040" w:right="79" w:hanging="315"/>
        <w:spacing w:after="0" w:line="236"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including, without limitation, as a result of disruptions to our supply chains caused by global health crises, such as the COVID-19 pandemic, international conflicts such as the Russian invasion of Ukraine, economic instability, or natural disasters;</w:t>
      </w:r>
    </w:p>
    <w:p>
      <w:pPr>
        <w:spacing w:after="0" w:line="2" w:lineRule="exact"/>
        <w:rPr>
          <w:rFonts w:ascii="Times New Roman" w:cs="Times New Roman" w:eastAsia="Times New Roman" w:hAnsi="Times New Roman"/>
          <w:sz w:val="18"/>
          <w:szCs w:val="18"/>
          <w:color w:val="auto"/>
        </w:rPr>
      </w:pPr>
    </w:p>
    <w:p>
      <w:pPr>
        <w:ind w:left="1040" w:right="79" w:hanging="315"/>
        <w:spacing w:after="0" w:line="226"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revise the requirements for approving our product candidates, or such requirements may not be as we anticipate; and</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34"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regulatory authorities, IRBs or ECs to suspend or terminate the trials, or reports may arise from pre-clinical or clinical testing of other therapies in the same or a similar class that raise safety or efficacy concerns about our product candidates.</w:t>
      </w:r>
    </w:p>
    <w:p>
      <w:pPr>
        <w:spacing w:after="0" w:line="18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also could encounter delays if a clinical trial is suspended or terminated by us, by the IRBs of the institutions in which such trials are being conducted, by the Data and Safety Monitoring Board (DSMB) for such trial or by the FDA or other regulatory authorities. Such regulatory authorities may impose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to the FDA, the DSMB for our clinical trials may recommend modification to the study design or closure of the study entirely based on the DSMB’s interpretation of the benefit-risk of the study. While we develop charters that guide the nature of the DSMB meetings, their analysis and interpretation of study data occurs independently from us and is wholly within their control. Even if the DSMB finds no safety concerns and recommends no modifications to the ongoing study, this does not mean the safety profile reported in the study may support a marketing approval or commercial acceptance if marketing approval is granted. Many of the factors that cause, or lead to, a delay in the commencement or completion of clinical trials may also ultimately lead to the denial of regulatory approval of our product candidates.</w:t>
      </w:r>
    </w:p>
    <w:p>
      <w:pPr>
        <w:spacing w:after="0" w:line="19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Negative or inconclusive results from the clinical trials we conduct, unanticipated adverse medical events, or changes in regulatory policy could cause us to have to delay,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83" w:lineRule="exact"/>
        <w:rPr>
          <w:sz w:val="20"/>
          <w:szCs w:val="20"/>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others;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post-marketing requirements or post-marketing commitments;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increased pricing pressure; or</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drug removed from the market after obtaining marketing approval.</w:t>
      </w:r>
    </w:p>
    <w:p>
      <w:pPr>
        <w:spacing w:after="0" w:line="20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changes in regulatory policy could cause us to have to repeat or conduct additional clinical trials or change our clinical development strategy. Our drug development costs will also increase if we experience delays in testing or regulatory approvals. Certain clinical trials are designed to continue until a pre-determined number of events have occurred in the patients enrolled. Trials such as this are subject to delays stemming from patient withdrawal and from lower-than-expected event rates. Significant clinical trial delays could also shorten any periods during which we may have the exclusive right to commercialize our product candidates or allow our competitors to bring products to market before we do and impair our ability to successfully commercialize our product candidates. Any delays in our pre-clinical or future clinical development programs may harm our business, financial condition and prospects significantly. We may also incur additional costs if enrollment is increased.</w:t>
      </w:r>
    </w:p>
    <w:p>
      <w:pPr>
        <w:spacing w:after="0" w:line="188"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If these relationships and any related compensation result in perceived or actual conflicts of interest, the integrity of the data generated at the applicable clinical trial site, or the FDA’s willingness to accept such data, may be jeopardized.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or product candidates may cause undesirable side effects that could delay or prevent their regulatory approval or impact their availability and commercial potential after approval.</w:t>
      </w:r>
    </w:p>
    <w:p>
      <w:pPr>
        <w:spacing w:after="0" w:line="15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Unacceptable or undesirable adverse events caused by BRIUMVI or any of our product candidates that we take into clinical trials could cause either of, a DSMB, or regulatory authorities to interrupt, delay, modify or halt clinical trials and could result in a more restrictive label or the delay or denial of regulatory approval by the FDA or other regulatory authorities. This, in turn, could prevent us from commercializing the affected product candidate and generating revenues from its sale.</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is the case with all drugs, it is likely that there will be side effects associated with the use of our drug candidates. Results of our trials could reveal a higher than expected and unacceptable severity and prevalence of side effects. In such an event, our trials could be suspended or terminated and the FDA or comparable foreign regulatory authorities could order us to cease further development of or deny approval of our drug candidates for any or all targeted indications. The drug-related side effects could also affect patient recruitment or the ability of enrolled patients to complete the trial or result in potential product liability claims. In addition, data may emerge, from confirmatory or other post-marketing studies, or from pharmacovigilance reporting, as products are used more widely, or for a longer duration, after approval that may affect the commercial potential of our products. Any of these occurrences may harm our business, financial condition and prospects significantly.</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Many compounds that initially showed promise in early-stage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serious side effects of our drug candidates may only be uncovered when a significantly larger number of patients are exposed to the drug candidate in Phase 3 or registration-directed trials or when the drug candidate is on the market.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188" w:lineRule="exact"/>
        <w:rPr>
          <w:sz w:val="20"/>
          <w:szCs w:val="20"/>
          <w:color w:val="auto"/>
        </w:rPr>
      </w:pPr>
    </w:p>
    <w:p>
      <w:pPr>
        <w:ind w:left="60" w:right="2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Any products or product candidates we may advance through clinical development are subject to extensive regulation, which can be costly and time consuming, cause unanticipated delays or prevent the receipt of the required approvals.</w:t>
      </w:r>
    </w:p>
    <w:p>
      <w:pPr>
        <w:spacing w:after="0" w:line="13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import, export, marketing and distribution, and pharmacovigilance and adverse event reporting of our product or product candidates or any future product candidates are subject to extensive regulation by the FDA in the United States and by comparable regulatory authorities worldwide. In the United States, we are not permitted to market a product candidate until we receive approval of a BLA or NDA from the FDA. The process of obtaining a BLA or NDA approval is expensive, often takes many years, and can vary substantially based upon the type, complexity and novelty of the products involved. In addition, approval policies or regulations may change over time. If we fail to gain approval to commercialize our product candidates from the FDA and other foreign regulatory authorities in the timelines we project or at all, we may be unable to generate the revenues that we may project or generate revenues at levels sufficient to sustain our business.</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FDA and foreign regulatory authorities have substantial discretion in the pharmaceutical product approval process, including the ability to delay, limit or deny approval of a product candidate for many reasons. During the regulatory review process, the FDA or other regulatory authorities may disagree with or not accept our clinical trial design, may have questions about the potential impact of our study design on conclusions that can be drawn from the data, may interpret results differently than we do, may apply the results of our trials in one disease to the review of a regulatory application for a different disease even if the doses and therapeutic areas are distinct, and may change its view on the criteria that must be met for approval. This could happen even for a protocol that has received a Special Protocol Assessment (SPA). There is no guarantee that the FDA will not delay, limit or deny approval of our product candidates in the future.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Furthermore, some of our clinical trials may be conducted as open-label studies, meaning that trial participants, investigators, site staff, some employees of our CROs, and our field-level employees (e.g., clinical research associates and monitors), among others, have knowledge of treatment arm assignments on a patient-level, which has the potential to introduce bias into study conduct. Further, even when our clinical trials are double-blind, double-dummy studies, unblinding of treatment arm assignment may occur from time to time, for example, on the occurrence of unexpected safety events which may necessitate understanding of study treatment. While we believe we have put in place adequate firewalls to prevent inappropriate unblinding of study data consistent with standard industry practice for these types of studies, no assurance can be given that issues related to study conduct will not be raised. The FDA may raise issues of safety, study conduct, bias, deviation from the protocol, statistical power, patient completion rates, changes in scientific or medical parameters or internal inconsistencies in the study design or data prior to making its final decision. The FDA may also seek the guidance of an outside advisory committee in evaluating (among other things) clinical data and safety and effectiveness considerations prior to making its final decision. These issues could cause a delay in the FDA’s review, lead the FDA to deny approval, or lead the Company to withdraw a regulatory application.</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Other reasons that the FDA or regulatory authorities around the world may delay, limit or deny approval of a product candidate, include:</w:t>
      </w:r>
    </w:p>
    <w:p>
      <w:pPr>
        <w:spacing w:after="0" w:line="148" w:lineRule="exact"/>
        <w:rPr>
          <w:sz w:val="20"/>
          <w:szCs w:val="20"/>
          <w:color w:val="auto"/>
        </w:rPr>
      </w:pPr>
    </w:p>
    <w:p>
      <w:pPr>
        <w:ind w:left="1040" w:right="79" w:hanging="315"/>
        <w:spacing w:after="0" w:line="238"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tolerable and effective for an indication;</w:t>
      </w:r>
    </w:p>
    <w:p>
      <w:pPr>
        <w:ind w:left="1040" w:right="79" w:hanging="315"/>
        <w:spacing w:after="0" w:line="226"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accept clinical data from trials conducted by individual investigators or in countries where the standard of care is potentially different from that of the United States;</w:t>
      </w:r>
    </w:p>
    <w:p>
      <w:pPr>
        <w:spacing w:after="0" w:line="1" w:lineRule="exact"/>
        <w:rPr>
          <w:rFonts w:ascii="Times New Roman" w:cs="Times New Roman" w:eastAsia="Times New Roman" w:hAnsi="Times New Roman"/>
          <w:sz w:val="18"/>
          <w:szCs w:val="18"/>
          <w:color w:val="auto"/>
        </w:rPr>
      </w:pPr>
    </w:p>
    <w:p>
      <w:pPr>
        <w:ind w:left="1040" w:right="79" w:hanging="315"/>
        <w:spacing w:after="0" w:line="226"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 w:lineRule="exact"/>
        <w:rPr>
          <w:rFonts w:ascii="Times New Roman" w:cs="Times New Roman" w:eastAsia="Times New Roman" w:hAnsi="Times New Roman"/>
          <w:sz w:val="18"/>
          <w:szCs w:val="18"/>
          <w:color w:val="auto"/>
        </w:rPr>
      </w:pPr>
    </w:p>
    <w:p>
      <w:pPr>
        <w:ind w:left="1040" w:right="79" w:hanging="315"/>
        <w:spacing w:after="0" w:line="226"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 w:lineRule="exact"/>
        <w:rPr>
          <w:rFonts w:ascii="Times New Roman" w:cs="Times New Roman" w:eastAsia="Times New Roman" w:hAnsi="Times New Roman"/>
          <w:sz w:val="18"/>
          <w:szCs w:val="18"/>
          <w:color w:val="auto"/>
        </w:rPr>
      </w:pPr>
    </w:p>
    <w:p>
      <w:pPr>
        <w:ind w:left="1040" w:right="79" w:hanging="315"/>
        <w:spacing w:after="0" w:line="226"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and/or clinical trials;</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29"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NDA or other marketing authorization submission to obtain regulatory approval in the United States or elsewhere;</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28"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approve the manufacturing processes or facilities of third-party manufacturers with which we or our collaborators currently contract for clinical supplies and plan to contract for commercial supplies; during the course of review, the FDA or foreign regulatory authorities may raise issues and request or require additional preclinical, clinical, chemistry, manufacturing, and control (CMC), or other data and information, and the development and provision of these data and information may be time consuming. We may not be able to generate the data within the time period necessary to obtain approval within the established regulatory review timelines, such as by a PDUFA goal date or at all to satisfy the FDA or foreign regulatory authorities;</w:t>
      </w:r>
    </w:p>
    <w:p>
      <w:pPr>
        <w:spacing w:after="0" w:line="6" w:lineRule="exact"/>
        <w:rPr>
          <w:rFonts w:ascii="Times New Roman" w:cs="Times New Roman" w:eastAsia="Times New Roman" w:hAnsi="Times New Roman"/>
          <w:sz w:val="18"/>
          <w:szCs w:val="18"/>
          <w:color w:val="auto"/>
        </w:rPr>
      </w:pPr>
    </w:p>
    <w:p>
      <w:pPr>
        <w:ind w:left="1040" w:right="79" w:hanging="315"/>
        <w:spacing w:after="0" w:line="226"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 or</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39"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the operations of the FDA and foreign regulatory authorities as a result of global health or economic crises, such as the COVID-19 pandemic, international conflict, or national disasters may negatively impact review, inspection, and approval timelines.</w:t>
      </w:r>
    </w:p>
    <w:p>
      <w:pPr>
        <w:spacing w:after="0" w:line="18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Even if we succeed in obtaining regulatory approval for a product candidate, the FDA may require post-marketing studies, including additional clinical trials such as those necessary to assess drug interactions or activity of a product in specific populations, which may be costly. The outcomes of post-marketing studies may impact product labeling and therefore, there can be no guarantee that the product attributes contained in the initial prescribing information will be maintained as future studies produce data. This includes, without limitation, additional results from studies evaluating drug-drug interactions and patients with certain comorbidities that may restrict the use of an approved product in select populations or introduce dose modifications or contraindicated concomitant medications that have the potential to impact the utility of a product or its perceived product profile among prescribers. Post-marketing studies may also lead to the introduction of new warnings in the product prescribing information. The FDA may require adoption of a REMS program requiring prescriber training or a post-marketing registry or may restrict the marketing and dissemination of our products. Finally, failure to complete a post-marketing commitment by the applicable post-marketing milestone date may lead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withdrawal of the product or indication. Any requirements to conduct post-approval studies or fulfill special post-approval requirements could impact our ability to commercialize our product or product candidates and increase our costs.</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or Fast Track designation by the FDA may not actually lead to a faster development or regulatory review or approval process.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may seek Breakthrough Therapy or Fast Track designation for some of our drug candidates. If a drug is intended for the treatment of a serious or life-threatening condition, and the drug demonstrates the potential to address an unmet medical need for this condition, the Sponsor may apply for Fast Track designation or Breakthrough Therapy designation, the latter of which has more significant requirements. The FDA has broad discretion whether or not to grant these designations, so even if we believe a particular drug candidate is eligible for such a designation, we cannot be sure that the FDA would decide to grant it. Even if we receive Breakthrough Therapy or Fast Track designation for a drug candidate, we may not experience a faster development process, review or approval compared to conventional FDA procedures. A drug that receives Fast Track designation is eligible for more frequent interactions with the FDA, priority review if relevant criteria are met, and rolling submission of the BLA or NDA. Even if rolling review is allowed, there is no guarantee that the FDA will have commenced or completed review of the BLA or NDA modules submitted earlier in the rolling review process. Neither Breakthrough Therapy nor Fast Track designation guarantees Priority Review of an NDA or BLA application.</w:t>
      </w:r>
    </w:p>
    <w:p>
      <w:pPr>
        <w:spacing w:after="0" w:line="18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some of our drug candidates. However, we may be unsuccessful in obtaining or may be unable to maintain the benefits associated with orphan drug designation, including the potential for market exclusivity.</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the European Union, and the United Kingdom,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Orphan drug designations are required to be maintained through annual reporting and are subject to re-evaluation. Based on the evolving data and development plans for our product candidates and changing incidence and prevalence rates for our intended indications, there can be no guarantee that we will be able to successfully maintain orphan drug designations that we have for certain of our drug candidates or that we will be successful in obtaining orphan designation for other drug candidates in the future.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FDA or EMA from approving another marketing application for the same drug or biologic for that time period. Even if we obtain orphan drug exclusivity for a drug, that exclusivity may not effectively protect the designated drug from competition because different drugs can be approved for the same condition. Even after an orphan drug is approved, the FDA can subsequently approve another product that meets the definition of a “same drug” under 21 C.F.R. 316.3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exercises its authority to revoke orphan drug designation, which it may do on a variety of grounds, including that the request contained an untrue statement of material fact or omitted material information, or that the drug in fact was not eligible for orphan drug designation. Orphan drug designation neither shortens the development time or regulatory review time of a drug nor gives the drug any advantage in the regulatory review or approval process. While we intend to seek orphan drug designation for our other drug candidates, we may never receive such designations. Even if we receive orphan drug designation for any of our drug candidates, there is no guarantee that we will enjoy the benefits of those designations or obtain orphan drug exclusivity. In addition, the U.S. Orphan Drug Act may be subject to amendments that could reduce the period of marketing exclusivity or change the qualifications for orphan drug designation, which could adversely impact our products or product candidates that have or may be eligible for orphan drug designation.</w:t>
      </w:r>
    </w:p>
    <w:p>
      <w:pPr>
        <w:spacing w:after="0" w:line="187"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conducting clinical trials and anticipate conducting additional clinical trials for our product and product candidates at sites outside the United States, and the FDA may not accept data from trials conducted in such locations or clinical trial activities in such locations may be impacted by political conditions, including international conflict.</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Many of our Phase 3 and registration-directed clinical trials across our multiple sclerosis and oncology programs, including ULTIMATE I and II and related extension studies, utilize international clinical research sites. We work with what we believe are reputable CROs and clinical research sites in conducting our studies internationally. Nevertheless, there can be heightened challenges to monitoring and oversight of global clinical trials and sponsors are subject to the risk that fraud, misconduct, incompetence, unexpected patient variability and other issues affecting the reliability, quality, and outcome of studies. The geographic variability of the COVID-19 pandemic also introduces increased risk in the conduct of clinical research in certain countries and territories where vaccination rates and available standard of care anti-viral therapy varies significantly. Such problems, if they were to occur, could negatively impact trial results, and depending on the circumstances and scope of concerns could potentially even prevent a trial from being useful or acceptable for regulatory approval. If such events were to occur with respect to any of our trials (and in particular with respect to registration-directed studies), they would have a substantial negative impact on our business.</w:t>
      </w:r>
    </w:p>
    <w:p>
      <w:pPr>
        <w:spacing w:after="0" w:line="19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addition, our clinical studies with sites outside the United States may be adversely impacted by international conflict. For example, in February 2022, Russia initiated a full-scale military invasion of Ukraine. In one or both countries, as well as neighboring countries that may be impacted by this conflict (e.g. Poland, Slovakia, Belarus, Georgia), we have clinical trial sites for our RMS and/or oncology programs. While no clinical trials are actively enrolling patients in these territories, there are a number of trial subjects in long-term treatment and follow-up. The political and physical conditions in Russia and Ukraine have disrupted our ability to supply investigational drug product to impacted sites; impacted patients’ ability to partake in our clinical trials and our ability to gather data on those patients, including long-term follow-up data; and resulted in suspension of clinical trial activities at impacted sites. Furthermore, the United States and its European allies have imposed significant new sanctions against Russia and Belarus, including regional embargoes, full blocking sanctions, and other restrictions targeting major Russian financial institutions. Specifically, such sanctions have included, among other things, a prohibition on doing business with certain Russian companies, officials, and oligarchs; a commitment by certain countries and the European Union to remove selected Russian banks from the Society for Worldwide Interbank Financial Telecommunications (SWIFT) electronic banking network that connects banks globally; and restrictive measures to prevent the Russian Central Bank from undermining the impact of the sanctions. Our ability to conduct clinical trials in Russia, Belarus, Ukraine and elsewhere in the region may also become restricted under applicable sanctions laws. The conflict, as well as government responses, has resulted in global economic instability, which could affect our supply chain and commercialization efforts. While we do not believe this conflict will have a material impact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product development or our overall business, given the rapidly evolving situation and the potential to expand beyond Ukraine and Russia, the full impact of the conflict remains uncertain.</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Approval of one of our product candidates in the United States would not assure approval of that candidate in foreign jurisdictions.</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intend to seek product approvals in certain countries outside of the United States. The approval procedures for pharmaceuticals vary among countries and obtaining approval in one jurisdiction does not guarantee approval in another jurisdiction. For example, even if the FDA grants approval of a product candidate, comparable regulatory authorities in foreign jurisdictions may not approve the same product candidate or may require additional evidence for approval. The time required to obtain approval in other countries might differ from that required to obtain FDA approval. In many countries outside the United States, the product must be approved for reimbursement before it can be marketed. As a general matter, however, the foreign regulatory approval process involves a lengthy and challenging process with risks similar or identical to the risks associated with the FDA approval discussed above. Therefore, we cannot guarantee that we, or future collaborators, will obtain approvals of our product and product candidates in any foreign jurisdiction on a timely basis, if at all. Failure to receive approval in certain foreign markets could significantly impact the full market potential of our product and product candidates and may negatively impact the regulatory process in other countries. Furthermore, if we obtain regulatory approval for a product or product candidate in a foreign jurisdiction, we will be subject to the burden of complying with complex regulatory, legal, and other requirements that could be costly and could subject us to additional risks and uncertainties.</w:t>
      </w:r>
    </w:p>
    <w:p>
      <w:pPr>
        <w:spacing w:after="0" w:line="19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product candidates still under development and are also engaging manufacturing partners in commercial manufacturing activities, and as such clinical and commercial manufacturing site additions and process improvements implemented in the production of our product and product candidates may affect their timely delivery or quality.</w:t>
      </w:r>
    </w:p>
    <w:p>
      <w:pPr>
        <w:spacing w:after="0" w:line="17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212121"/>
        </w:rPr>
        <w:t>We have limited experience in manufacturing products for clinical or commercial purposes. We currently do not have any manufacturing capabilities of our own. We have established a contract manufacturing relationship for the commercial supply of BRIUMVI with Samsung Biologics. As with any supply program, obtaining materials of sufficient quality and quantity to meet the requirements of the market demand for BRIUMVI and our development programs cannot be guaranteed and we cannot ensure that we will be successful in these endeavors.</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212121"/>
        </w:rPr>
        <w:t>To the extent possible and commercially practicable, we plan to develop back-up strategies for raw materials, manufacturing and testing services for our commercial products. Given the long lead times and cost of establishing additional commercial manufacturing sites we expect that we will rely on single contract manufacturers to produce our commercial products under current Good Manufacturing Practice, or cGMP, regulations for many years. Our commercial manufacturing partners have a limited number of facilities in which our product candidates can be produced and will have limited experience in manufacturing our product candidates in quantities sufficient for commercialization. Our third-party manufacturers will have other clients and may have other priorities that could affect their ability to perform the work satisfactorily and/or on a timely basis. Both of these occurrences would be beyond our control.</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212121"/>
        </w:rPr>
        <w:t>We expect to similarly rely on contract manufacturing relationships for our development programs and any products that we may in-license or acquire in the future. However, there can be no assurance that we will be able to successfully contract with such manufacturers on terms acceptable to us, or at all.</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212121"/>
        </w:rPr>
        <w:t>Contract manufacturers are subject to ongoing periodic and unannounced inspections by the FDA, the Drug Enforcement Administration if applicable, and corresponding state agencies to ensure strict compliance with cGMP and other state and federal regulations. Where manufactured products are globally registered, similar regulatory inspection burdens are applicable from each and every marketed territory. If our manufacturing partners are inspected and deemed out of compliance with cGMPs, product recalls could result, inventory could be destroyed, production could be stopped, and supplies could be delayed or otherwise disrupted.</w:t>
      </w:r>
    </w:p>
    <w:p>
      <w:pPr>
        <w:spacing w:after="0" w:line="187"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212121"/>
        </w:rPr>
        <w:t>If we need to change manufacturers either before or after commercialization, the FDA and corresponding foreign regulatory agencies may need to approve these new manufacturers in advance, which will involve testing, regulatory submissions, and additional inspections to ensure compliance with FDA, and other regulations and standards, and may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212121"/>
        </w:rPr>
        <w:t>require significant lead times and delay. Furthermore, switching manufacturers may be difficult because the number of potential manufacturers is limited. It may be difficult or impossible for us to find a replacement manufacturer quickly or on terms acceptable to us, or at all.</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Some of our product and product candidates are currently manufactured in relatively small batches for use in pre-clinical and clinical studies. Process improvements implemented to date have changed, and process improvements in the future may change, the activity and/or analytical profile of the product or product candidates, which may affect the safety and efficacy of the products.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Further, no assurance can be given that the material manufactured from any future optimized processes, if any, for BRIUMVI or any of our product candidates will perform comparably to the product or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Governmental Regulation of Pharmaceutical Industry and Legal Compliance Matters</w:t>
      </w:r>
    </w:p>
    <w:p>
      <w:pPr>
        <w:spacing w:after="0" w:line="19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third-party payor initiatives that may increase our costs of compliance and adversely affect our ability to market our products, obtain collaborators and raise capital.</w:t>
      </w:r>
    </w:p>
    <w:p>
      <w:pPr>
        <w:spacing w:after="0" w:line="118" w:lineRule="exact"/>
        <w:rPr>
          <w:sz w:val="20"/>
          <w:szCs w:val="20"/>
          <w:color w:val="auto"/>
        </w:rPr>
      </w:pPr>
    </w:p>
    <w:p>
      <w:pPr>
        <w:jc w:val="both"/>
        <w:ind w:left="60" w:right="59" w:firstLine="710"/>
        <w:spacing w:after="0" w:line="258" w:lineRule="auto"/>
        <w:rPr>
          <w:sz w:val="20"/>
          <w:szCs w:val="20"/>
          <w:color w:val="auto"/>
        </w:rPr>
      </w:pPr>
      <w:r>
        <w:rPr>
          <w:rFonts w:ascii="Times New Roman" w:cs="Times New Roman" w:eastAsia="Times New Roman" w:hAnsi="Times New Roman"/>
          <w:sz w:val="18"/>
          <w:szCs w:val="18"/>
          <w:color w:val="auto"/>
        </w:rPr>
        <w:t>In both the United States and certain foreign countries, there have been a number of legislative and regulatory changes or proposed changes to the healthcare system, many of which have focused on prescription drug pricing and lowering overall healthcare costs, that could impact our ability to sell our products profitably and support future innovation. We expect prescription drug pricing and other healthcare costs to continue to be subject to intense political and social pressures on a global basis.</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the President, federal and state legislatures, health agencies and third-party payors continue to focus on containing the cost of healthcare and addressing public concern over access and affordability of prescription drugs. The Patient Protection and Affordable Care Act, as amended by the Health Care and Education Reconciliation Act of 2010 (collectively, the ACA) was enacted in 2010 and made significant changes to the U.S. healthcare system. ACA changes included expanding healthcare coverage through Medicaid expansion and implementation of the individual health insurance mandate; changing coverage and reimbursement of drug products under government healthcare programs; imposing an annual fee on manufacturers of branded drugs; and expanding government enforcement authority. Although the ACA has been the subject of a number of legislative and litigation challenges since it passed, it is expected that the Biden Administration will seek to strengthen and expand the ACA. We cannot predict what effect, if any, further changes to the ACA would have on our business.</w:t>
      </w:r>
    </w:p>
    <w:p>
      <w:pPr>
        <w:spacing w:after="0" w:line="19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Beyond the ACA, there has been increasing legislative, regulatory and enforcement interest with respect to prescription drug pricing practices. Proposals that may garner bipartisan legislative support or become legislation through reconciliation include adding a cap on out-of-pocket spending under Medicare Part D, authorizing Medicare to negotiate certain drugs covered by Medicare Parts D and B directly with manufacturers, and imposing limits on increases in drug prices. In addition, President Biden may take executive action to introduce new drug pricing models and other drug pricing initiatives. The Biden Administration also may propose substantial changes to the U.S. healthcare system, including expanding government-funded health insurance options. We are uncertain of the impact or outcome of potential Executive Orders, rescission of rules and policy statements, or new legislation, especially any relative impact on the healthcare regulatory and policy landscape, or the impact they may have on our business. We expect drug pricing will continue to be a focus of the Biden Administration. At the state level, legislatures have increasingly passed legislation and implemented regulations designed to control pharmaceutical pricing, including price or patient reimbursement constraints, discounts, restrictions on certain product access and marketing cost disclosure and transparency measures, and, in some cases, designed to encourage importation from other countries and bulk purchasing.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There have been several recent U.S. Congressional inquiries and proposed and enacted legislation designed to bring more transparency to drug pricing, reduce the cost of prescription drugs under Medicare, limit price increases, evaluate the relationship between pricing and manufacturer patient programs, and reform government health care program reimbursement methodologies for prescription drugs. For example, the Bipartisan Budget Act of 2018 (the BBA) increased manufacturer point-of-sale discounts off negotiated prices of applicable brand drugs in the Medicare Part D coverage gap from 50% to 70% effective as of January 1, 2019, ultimately increasing the liability for brand drug manufacturers. We expect that health care reform measures that may be adopted in the future, may result in more rigorous coverage criteria, increased manufactured financial liability,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There continue to be efforts to lower drug prices through increased competition, with policy proposals seeking to facilitate generic and biosimilar approval and marketing authorization. For example, in 2018, the FDA announced the Biosimilar Action Plan and sought input on how the agency can best facilitate greater availability of biosimilar products, including input on whether changes to an approved biologic (e.g., a new indication) would be protected by the remainder of the statutory 12-year exclusivity period (commonly referred to as umbrella exclusivity). In the event there is a modification to the biologic exclusivity period or other steps taken to facilitate biosimilar or generic approvals, we could experience biosimilar/generic competition of any products for which we receive FDA approval at an earlier time than currently anticipated.</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Most recently, on August 16, 2022, President Biden signed into law the Inflation Reduction Act of 2022 (the Act), which, among other provisions, included several measures intended to lower the cost of prescription drugs and related healthcare reforms. Specifically, the Act authorizes and directs the Department of Health and Human Services (the DHHS) to set drug price caps for certain high-cost Medicare Part B and Part D qualified drugs, with the initial list of drugs to be selected by September 1, 2023, and the first year of maximum price applicability to begin in 2026. The Act further authorizes the DHHS to penalize pharmaceutical manufacturers that increase the price of certain Medicare Part B and Part D drugs faster than the rate of inflation. Finally, the Act creates significant changes to the Medicare Part D benefit design by capping Part D beneficiaries’ annual out-of-pocket spending at $2,000 beginning in 2025. We cannot be sure whether additional or related legislation or rulemaking will be issued or enacted, or what impact, if any, such changes will have on the profitability of any of our drug candidates, if approved for commercial use, in the future.</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At the state level, individual states are experiencing significant economic pressure within their respective Medicaid programs and responding to public concern over the cost of healthcare. States, including California, Florida, Nevada and Maine, among others, have responded to these pressures with a range of legislative enactments and policy proposals designed to control prescription drug prices by, for example, allowing importation of pharmaceutical products from jurisdictions outside the U.S., imposing price controls on state drug purchases, consolidating state drug purchasing to a single purchaser, and imposing transparency measures around prescription drug prices and marketing costs. These measures, which vary by state, could reduce the ultimate demand for our products, if approved, or put pressure on our product pricing.</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adopted that could have an adverse effect upon, and could prevent, our products’ or product candidates’ commercial success. More broadly, the Budget Control Act of 2011, as amended, or the Budget Control Act, includes provisions intended to reduce the federal deficit, including reductions in Medicare payments to providers through 2030 (except May 1, 2020 to December 31, 2020). Any significant spending reductions affecting Medicare, Medicaid or other publicly funded or subsidized health programs, or any significant taxes or fees imposed as part of any broader deficit reduction effort or legislative replacement to the Budget Control Act, or otherwise, could have an adverse impact on our anticipated product revenues.</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Furthermore, legislative and regulatory proposals have been made to expand post-approval requirements, make changes the Orphan Drug Act and related guidance,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many international markets, including the European Union, the government regulates prescription drug prices, patient access, and/or reimbursement levels to control the biopharmaceutical budget of their government-sponsored healthcare system. The European Union and some individual countries have announced or implemented measures and may in the future implement new or additional measures, to reduce biopharmaceutical costs to contain the overall level of healthcare expenditures. These measures vary by country and may include, among other things, non-coverage decisions, patient access restrictions, international price referencing, mandatory discounts or rebates, and cross-border sales of prescription drugs. These measures may adversely affect our ability to generate revenues or commercialize our product or product candidates in certain international markets.</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There likely will continue to be pressure on prescription drug prices globally and legislative and regulatory proposals, including at the federal and state levels in the U.S., directed at broadening the availability of health care and containing or lowering the cost of health care products and services. We cannot predict the initiatives that may be adopted in the future. The continuing efforts of the government, health insurance companies, managed care organizations and other payors of health care services to contain or reduce costs of health care may adversely affect, among other things:</w:t>
      </w:r>
    </w:p>
    <w:p>
      <w:pPr>
        <w:spacing w:after="0" w:line="183" w:lineRule="exact"/>
        <w:rPr>
          <w:sz w:val="20"/>
          <w:szCs w:val="20"/>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products for which we may obtain regulatory approval;</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addition, governments may impose price controls, which may adversely affect our future profitability.</w:t>
      </w:r>
    </w:p>
    <w:p>
      <w:pPr>
        <w:spacing w:after="0" w:line="221"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are subject to applicable fraud and abuse laws, false claims laws, transparency and disclosure laws, health information and security laws, and other healthcare laws and regulations, which could expose us to criminal sanctions, civil penalties, exclusion from government healthcare programs, contractual damages, reputational harm and diminished profits and future earnings.</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With the FDA approval of BRIUMVI in December 2022, we are subject to additional extensive healthcare statutory and regulatory requirements and oversight by the federal government and the states and foreign governments in which we conduct our business. Healthcare providers and third-party payors play a primary role in the recommendation and prescription of any drug candidates for which we obtain marketing approval. Our past, current and future relationships, arrangements and interactions with these professionals and entities, as well as with patients and patient advocacy organizations expose us to broadly applicable fraud and abuse and other healthcare laws and regulations that may constrain the business or financial arrangements and relationships through which we market, sell and distribute our product and product candidates for which we obtain marketing approval. Restrictions under applicable federal and state healthcare laws and regulations include the following:</w:t>
      </w:r>
    </w:p>
    <w:p>
      <w:pPr>
        <w:spacing w:after="0" w:line="188" w:lineRule="exact"/>
        <w:rPr>
          <w:sz w:val="20"/>
          <w:szCs w:val="20"/>
          <w:color w:val="auto"/>
        </w:rPr>
      </w:pPr>
    </w:p>
    <w:p>
      <w:pPr>
        <w:jc w:val="both"/>
        <w:ind w:left="1040" w:right="79" w:hanging="315"/>
        <w:spacing w:after="0" w:line="253"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5"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or the Federal Food, Drug, and Cosmetic Act constitutes a false or fraudulent claim for purposes of the False Claims Act;</w:t>
      </w:r>
    </w:p>
    <w:p>
      <w:pPr>
        <w:spacing w:after="0" w:line="2" w:lineRule="exact"/>
        <w:rPr>
          <w:rFonts w:ascii="Times New Roman" w:cs="Times New Roman" w:eastAsia="Times New Roman" w:hAnsi="Times New Roman"/>
          <w:sz w:val="18"/>
          <w:szCs w:val="18"/>
          <w:color w:val="auto"/>
        </w:rPr>
      </w:pPr>
    </w:p>
    <w:p>
      <w:pPr>
        <w:jc w:val="both"/>
        <w:ind w:left="1040" w:right="79" w:hanging="315"/>
        <w:spacing w:after="0" w:line="255"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imposes criminal and civil liability for executing a scheme to defraud any healthcare benefit program, or knowingly and willfully falsifying, concealing or covering up a material fact or making any materially false statement in connection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spacing w:after="0" w:line="257" w:lineRule="auto"/>
        <w:rPr>
          <w:sz w:val="20"/>
          <w:szCs w:val="20"/>
          <w:color w:val="auto"/>
        </w:rPr>
      </w:pPr>
      <w:r>
        <w:rPr>
          <w:rFonts w:ascii="Times New Roman" w:cs="Times New Roman" w:eastAsia="Times New Roman" w:hAnsi="Times New Roman"/>
          <w:sz w:val="18"/>
          <w:szCs w:val="18"/>
          <w:color w:val="auto"/>
        </w:rPr>
        <w:t>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 w:lineRule="exact"/>
        <w:rPr>
          <w:sz w:val="20"/>
          <w:szCs w:val="20"/>
          <w:color w:val="auto"/>
        </w:rPr>
      </w:pPr>
    </w:p>
    <w:p>
      <w:pPr>
        <w:jc w:val="both"/>
        <w:ind w:left="1040" w:right="79" w:hanging="315"/>
        <w:spacing w:after="0" w:line="250" w:lineRule="auto"/>
        <w:tabs>
          <w:tab w:leader="none" w:pos="104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so-called federal “Sunshine Act” under the Affordable Care Act requires manufacturers of drugs, devices, biologics and medical supplies that are reimbursable under Medicare, Medicaid, or the Children’s Health Insurance Program to monitor and report certain information related to payments and other transfers of value to and the ownership and investment interests of physicians and certain other healthcare providers as well as teaching hospitals to the federal government for redisclosure to the public;</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2"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wide range of federal and state consumer protection and unfair competition laws, which broadly regulate marketplace activities and activities that potentially harm consumers including those related to privacy;</w:t>
      </w:r>
    </w:p>
    <w:p>
      <w:pPr>
        <w:jc w:val="both"/>
        <w:ind w:left="1020" w:right="79" w:hanging="313"/>
        <w:spacing w:after="0" w:line="260"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and its implementing regulations, which among other things, strictly regulate drug product marketing and prohibit manufacturers from promotion and marketing of products prior to approval or for uses inconsistent with the FDA-required labeling;</w:t>
      </w:r>
    </w:p>
    <w:p>
      <w:pPr>
        <w:spacing w:after="0" w:line="2" w:lineRule="exact"/>
        <w:rPr>
          <w:rFonts w:ascii="Times New Roman" w:cs="Times New Roman" w:eastAsia="Times New Roman" w:hAnsi="Times New Roman"/>
          <w:sz w:val="18"/>
          <w:szCs w:val="18"/>
          <w:color w:val="auto"/>
        </w:rPr>
      </w:pPr>
    </w:p>
    <w:p>
      <w:pPr>
        <w:jc w:val="both"/>
        <w:ind w:left="1020" w:right="79" w:hanging="326"/>
        <w:spacing w:after="0" w:line="258"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including the Medicaid Drug Rebate Program,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jc w:val="both"/>
        <w:ind w:left="1020" w:right="79" w:hanging="326"/>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Supply Chain Security Act (DSCSA), which imposes obligations on entities in the commercial product supply chain, including manufacturers, to identify and track prescription drugs as they are distributed in the U.S.; and</w:t>
      </w:r>
    </w:p>
    <w:p>
      <w:pPr>
        <w:jc w:val="both"/>
        <w:ind w:left="1040" w:right="79" w:hanging="315"/>
        <w:spacing w:after="0" w:line="252" w:lineRule="auto"/>
        <w:tabs>
          <w:tab w:leader="none" w:pos="104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some of the above federal laws, such as anti-kickback and false claims laws that may apply to items or services reimbursed by any third-party payor, including commercial insurers, state transparency laws, state laws limiting interactions between pharmaceutical manufacturers and members of the healthcare industry, and state laws governing the privacy and security of health information in certain circumstances, many of which differ from each other in significant ways and often are not preempted by federal laws, thus complicating compliance efforts.</w:t>
      </w:r>
    </w:p>
    <w:p>
      <w:pPr>
        <w:spacing w:after="0" w:line="19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we continue commercialization of BRIUMVI, we are taking steps to provide patient support services to help patients access the product. Our patient support programs are administered in conjunction with a patient support program vendor and other third parties. There has been heightened governmental scrutiny over the scope of patient support programs and the manner in which drug manufacturers and their vendors operate such programs. We cannot ensure that our compliance controls, policies, and procedures will be sufficient to protect against acts of our employees, business partners or vendors that may violate the laws, regulations, or evolving government guidance on patient support programs. A government investigation, regardless of its outcome, could impact our business practices, harm our reputation, divert attention of management, increase our expenses and reduce availability of assistance to patients. If we or our vendors are deemed to fail to comply with relevant laws, regulations or government guidance in the operation of these programs, we could be subject to damages, fines, penalties or other criminal, civil or administrative sanctions or enforcement actions.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Ensuring that our business arrangements with third parties comply with applicable healthcare laws and regulations involves substantial costs. It is possible that governmental authorities will conclude that our business practices do not comply with current or future statutes, regulations or case law involving applicable fraud and abuse or other healthcare laws and regulations. The compliance and enforcement landscape, and related risk, is informed by government enforcement precedent and settlement history, Advisory Opinions, and Special Fraud Alerts. Our approach to compliance may evolve over time in light of these types of developments. Additionally, the potential safe harbors available under the Federal Anti-Kickback Statute are subject to change through legislative and regulatory action, and we may decide to adjust our business practices or be subject to heightened scrutiny as a result. If our operations, including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qui tam actions brought by individual whistleblowers in the name of the government, and the curtailment or restructuring of our operations.</w:t>
      </w:r>
    </w:p>
    <w:p>
      <w:pPr>
        <w:spacing w:after="0" w:line="186" w:lineRule="exact"/>
        <w:rPr>
          <w:sz w:val="20"/>
          <w:szCs w:val="20"/>
          <w:color w:val="auto"/>
        </w:rPr>
      </w:pPr>
    </w:p>
    <w:p>
      <w:pPr>
        <w:jc w:val="both"/>
        <w:ind w:left="60" w:right="59" w:firstLine="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violate applicable data privacy and security laws, we may be subject to penalties, including civil and criminal penalties, damages, fines, reputation harm and the curtailment or restructuring of our operations.</w:t>
      </w:r>
    </w:p>
    <w:p>
      <w:pPr>
        <w:spacing w:after="0" w:line="15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may be subject to privacy and security laws in the various jurisdictions in which we operate, obtain or store personal information. The legislative and regulatory landscape for privacy and data protection continues to evolve, and there has been an increasing focus on privacy and data protection issues with the potential to affect our business.</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Within the United States, various federal and state laws regulate the privacy and security of personal information and so may affect our business operations. For example, at the federal level, our operations may be affected by the data privacy and security provisions of HIPAA, as amended by the Health Information Technology for Economic and Clinical Health Act and its implementing regulations. HIPAA affects the ability of healthcare providers and other entities with which we may interact, including clinical trial sites, to disclose patient health information to us. Under Section 5(a) of the Federal Trade Commission Act (the FTCA),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States may also impose requirements. For example, the California Consumer Privacy Act (the CCPA), went into effect in January 2020 creating data privacy obligations for covered companies and providing privacy rights to California residents, including the right to opt out of certain disclosures of their information. Colorado, Connecticut, Utah, Virginia and Iowa have also enacted data privacy statutes, and both California and Colorado are also undergoing or have undergone rulemaking procedures to finalize regulatory regimes to supplement their privacy statutes.</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Numerous other jurisdictions regulate the privacy and security of personally identifiable data. For example, the processing of personal data in the European Economic Area (the EEA), is subject to the General Data Protection Regulation (GDPR), which took effect in May 2018. The GDPR increases obligations with respect to clinical trials conducted in the EEA, such as in relation to the provision of fair processing notices, exercising data subject rights and reporting certain data breaches to regulators and affected individuals, as well as how we document our relationships with third parties that process GDPR-covered personal data on our behalf. The GDPR also increases the scrutiny applied to transfers of personal data from the EEA (including from clinical trial sites in the EEA) to countries that are considered by the European Commission to lack an adequate level of data protection, such as the United States. In July 2020, the Court of Justice of the European Union invalidated the EU-U.S. Privacy Shield framework, one of the mechanisms used to legitimize the transfer of personal data from the EEA to the U.S., which decision may lead to increased scrutiny on data transfers from the EEA to the U.S. generally and increase our costs of compliance with data privacy legislation.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If our operations are found to be in violation of any data privacy and security laws, rules or regulations that apply to us, we may be subject to penalties, including civil and criminal penalties, damages, fines and the curtailment or restructuring of our operations, which could adversely affect our ability to operate our business and our financial results. Although compliance programs can mitigate the risk of investigation and prosecution for violations of these laws, rules or regulations, we cannot be certain that our program will address all areas of potential exposure and the risks in this area cannot be entirely eliminated, particularly because the requirements and government interpretations of the requirements in this space are constantly evolving. Any action against us for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and state privacy, security, fraud and reporting laws may prove costly.</w:t>
      </w:r>
    </w:p>
    <w:p>
      <w:pPr>
        <w:spacing w:after="0" w:line="190"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expect to operate a portion of our business in certain countries through subsidiaries or through supply, marketing, and distributor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and other government agencies, we are exposed to liability risks under the Foreign Corrupt Practices Act or similar anti-bribery laws.</w:t>
      </w:r>
    </w:p>
    <w:p>
      <w:pPr>
        <w:spacing w:after="0" w:line="18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for which we obtain marketing approval, including BRIUMVI, could be subject to restrictions or withdrawal from the market and we may be subject to penalties if we fail to comply with regulatory requirements or if we experience unanticipated problems with products.</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Any regulatory approvals that we receive for our drug candidates may be subject to limitations on the indicated uses for which the drug may be marketed or to conditions of approval that may require potentially costly post-marketing clinical trials or surveillance to monitor safety and efficacy of the drug candidate. In addition, any product for which we obtain marketing approval, along with the manufacturing processes and facilities, post-approval clinical data, labeling, advertising and promotional activities for such product, will be subject to continual requirements of, and review by, the FDA and comparable regulatory authorities. These requirements include submissions of safety and other post-marketing information and reports, registration requirements, cGMP requirements relating to quality control, quality assurance and corresponding maintenance of records and documents, and requirements regarding promotional interactions with healthcare professionals.</w:t>
      </w:r>
    </w:p>
    <w:p>
      <w:pPr>
        <w:spacing w:after="0" w:line="18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Failure to comply with these regulatory requirements or later discovery of previously unknown problems with products, manufacturers, or manufacturing processes, may result in actions such as:</w:t>
      </w:r>
    </w:p>
    <w:p>
      <w:pPr>
        <w:spacing w:after="0" w:line="148" w:lineRule="exact"/>
        <w:rPr>
          <w:sz w:val="20"/>
          <w:szCs w:val="20"/>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manufacturing, distribution or use;</w:t>
      </w:r>
    </w:p>
    <w:p>
      <w:pPr>
        <w:spacing w:after="0" w:line="15" w:lineRule="exact"/>
        <w:rPr>
          <w:rFonts w:ascii="Times New Roman" w:cs="Times New Roman" w:eastAsia="Times New Roman" w:hAnsi="Times New Roman"/>
          <w:sz w:val="18"/>
          <w:szCs w:val="18"/>
          <w:color w:val="auto"/>
        </w:rPr>
      </w:pPr>
    </w:p>
    <w:p>
      <w:pPr>
        <w:ind w:left="1040" w:hanging="315"/>
        <w:spacing w:after="0" w:line="234"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ind w:left="1040" w:hanging="315"/>
        <w:spacing w:after="0" w:line="234"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ind w:left="1040" w:hanging="315"/>
        <w:spacing w:after="0" w:line="234"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ind w:left="1040" w:hanging="315"/>
        <w:spacing w:after="0" w:line="234"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ind w:left="1040" w:right="79" w:hanging="315"/>
        <w:spacing w:after="0" w:line="226"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or our subsidiaries submit;</w:t>
      </w:r>
    </w:p>
    <w:p>
      <w:pPr>
        <w:spacing w:after="0" w:line="1" w:lineRule="exact"/>
        <w:rPr>
          <w:rFonts w:ascii="Times New Roman" w:cs="Times New Roman" w:eastAsia="Times New Roman" w:hAnsi="Times New Roman"/>
          <w:sz w:val="18"/>
          <w:szCs w:val="18"/>
          <w:color w:val="auto"/>
        </w:rPr>
      </w:pPr>
    </w:p>
    <w:p>
      <w:pPr>
        <w:ind w:left="1040" w:hanging="315"/>
        <w:spacing w:after="0" w:line="234"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w:t>
      </w:r>
    </w:p>
    <w:p>
      <w:pPr>
        <w:ind w:left="1040" w:hanging="315"/>
        <w:spacing w:after="0" w:line="234"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ongoing clinical trials;</w:t>
      </w:r>
    </w:p>
    <w:p>
      <w:pPr>
        <w:ind w:left="1040" w:hanging="315"/>
        <w:spacing w:after="0" w:line="234"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restitutions, or disgorgement of profits or revenues;</w:t>
      </w: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products;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detentions;</w:t>
      </w:r>
    </w:p>
    <w:p>
      <w:pPr>
        <w:spacing w:after="0" w:line="15" w:lineRule="exact"/>
        <w:rPr>
          <w:rFonts w:ascii="Times New Roman" w:cs="Times New Roman" w:eastAsia="Times New Roman" w:hAnsi="Times New Roman"/>
          <w:sz w:val="18"/>
          <w:szCs w:val="18"/>
          <w:color w:val="auto"/>
        </w:rPr>
      </w:pPr>
    </w:p>
    <w:p>
      <w:pPr>
        <w:ind w:left="1040" w:hanging="315"/>
        <w:spacing w:after="0" w:line="234"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w:t>
      </w:r>
    </w:p>
    <w:p>
      <w:pPr>
        <w:spacing w:after="0" w:line="20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In addition, the FDA’s regulations, policies or guidance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of our contract manufacturers and suppliers fail to comply with environmental, health and safety laws and regulations, we could become subject to fines or penalties or incur costs that could seriously harm our business.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third-party manufacturers, suppliers, and we are subject to federal, state, and local laws and regulations governing the use, manufacture, storage, handling, release, disposal of, and exposure to, hazardous and regulated materials. Violation of these laws and regulations could lead to substantial fines and penalties. Although we believe that our safety procedures, and those of our third-party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Dependence on Third Parties</w:t>
      </w:r>
    </w:p>
    <w:p>
      <w:pPr>
        <w:spacing w:after="0" w:line="22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generate clinical, preclinical and other data necessary to support the regulatory applications needed to conduct clinical trials and submit for marketing approval. We rely on third parties to help conduct our planned clinical trials. If these third parties do not perform their services as required, we may not be able to obtain regulatory approval for or commercialize our product or product candidates when expected or at all.</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order to submit an IND, BLA, or NDA to the FDA and maintain these applications, it is necessary to submit all information on the clinical, non-clinical, chemistry, manufacturing, controls and quality aspects of the product candidate. Clinical trial applications and marketing authorization applications for foreign regulatory bodies have substantially similar requirements. We rely on our third-party contractors and our licensing partners to provide portions of this data. If we are unable to obtain this data, or the data is not sufficient to meet the regulatory requirements, we may experience significant delays in our development programs and commercialization efforts.</w:t>
      </w:r>
    </w:p>
    <w:p>
      <w:pPr>
        <w:spacing w:after="0" w:line="187" w:lineRule="exact"/>
        <w:rPr>
          <w:sz w:val="20"/>
          <w:szCs w:val="20"/>
          <w:color w:val="auto"/>
        </w:rPr>
      </w:pPr>
    </w:p>
    <w:p>
      <w:pPr>
        <w:jc w:val="both"/>
        <w:ind w:left="60" w:right="59" w:firstLine="648"/>
        <w:spacing w:after="0" w:line="269" w:lineRule="auto"/>
        <w:rPr>
          <w:sz w:val="20"/>
          <w:szCs w:val="20"/>
          <w:color w:val="auto"/>
        </w:rPr>
      </w:pPr>
      <w:r>
        <w:rPr>
          <w:rFonts w:ascii="Times New Roman" w:cs="Times New Roman" w:eastAsia="Times New Roman" w:hAnsi="Times New Roman"/>
          <w:sz w:val="17"/>
          <w:szCs w:val="17"/>
          <w:color w:val="auto"/>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or product candidates. In addition to the third parties identified above, we are also heavily reliant on the conduct of our patients enrolled to our studies by our third-party investigators. We rely on our clinical trial sites and investigators to properly identify and screen eligible candidates for our clinical trials, and for them to ensure participants adhere to our clinical protocol requirements. The majority of our clinical trial conduct occurs in the outpatient</w:t>
      </w:r>
    </w:p>
    <w:p>
      <w:pPr>
        <w:sectPr>
          <w:pgSz w:w="11900" w:h="16838" w:orient="portrait"/>
          <w:cols w:equalWidth="0" w:num="1">
            <w:col w:w="9019"/>
          </w:cols>
          <w:pgMar w:left="1440" w:top="513"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setting, where patients are expected to continue 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 the care of those patients to another qualified clinical trial site. If any of our clinical trial sites is required by the FDA or IRB to close down due to data management or patient management or any other issues, we may lose clinical trial subjects.</w:t>
      </w:r>
    </w:p>
    <w:p>
      <w:pPr>
        <w:spacing w:after="0" w:line="194"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Whether conducted through a CRO or through our internal staff, we are solely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other enforcement actions that may include civil penalties or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 candidates in clinical development. The FDA enforces GCP regulations through periodic inspections of clinical trial sponsors, clinical investigators, CROs, institutional review boards, and non-clinical laboratories. If we, our CROs, our investigators or other third parties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 regulations. Our failure or the failure of our CROs or CMOs to comply with these regulations may require us to repeat clinical trials, which would delay the regulatory approval process and could also subject us to enforcement action. We also are required to register most ongoing clinical trials and post the results of completed clinical trials on government-sponsored databases, e.g., ClinicalTrials.gov, within certain timeframes. Failure to do so can result in fines, adverse publicity and civil and criminal sanctions.</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87" w:lineRule="exact"/>
        <w:rPr>
          <w:sz w:val="20"/>
          <w:szCs w:val="20"/>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0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product or product candidates. As a result, we believe that our financial results and the commercial prospects for our product or product candidates in the subject indication would be harmed, our costs could increase and our ability to generate revenue could be delayed.</w:t>
      </w:r>
    </w:p>
    <w:p>
      <w:pPr>
        <w:spacing w:after="0" w:line="188" w:lineRule="exact"/>
        <w:rPr>
          <w:sz w:val="20"/>
          <w:szCs w:val="20"/>
          <w:color w:val="auto"/>
        </w:rPr>
      </w:pPr>
    </w:p>
    <w:p>
      <w:pPr>
        <w:jc w:val="both"/>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BRIUMVI for commercial supply, as well as all of our clinical product supply, and we expect to continue to do so. This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We rely, and expect to continue to rely, on third parties for the manufacture, testing, packaging and labeling of any products that we commercialize and our product candidates for pre-clinical development and clinical testing. For example, we currently rely on Samsung Biologics for clinical and commercial supply of BRIUMVI. In addition, we utilize multiple vendors who provide testing services. Our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89" w:lineRule="exact"/>
        <w:rPr>
          <w:sz w:val="20"/>
          <w:szCs w:val="20"/>
          <w:color w:val="auto"/>
        </w:rPr>
      </w:pPr>
    </w:p>
    <w:p>
      <w:pPr>
        <w:jc w:val="both"/>
        <w:ind w:left="60" w:right="59" w:firstLine="486"/>
        <w:spacing w:after="0" w:line="252" w:lineRule="auto"/>
        <w:rPr>
          <w:sz w:val="20"/>
          <w:szCs w:val="20"/>
          <w:color w:val="auto"/>
        </w:rPr>
      </w:pPr>
      <w:r>
        <w:rPr>
          <w:rFonts w:ascii="Times New Roman" w:cs="Times New Roman" w:eastAsia="Times New Roman" w:hAnsi="Times New Roman"/>
          <w:sz w:val="18"/>
          <w:szCs w:val="18"/>
          <w:color w:val="auto"/>
        </w:rPr>
        <w:t>The facilities used by contract manufacturers to manufacture, test, package, and label our product and product candidates typically undergo periodic inspections by the FDA or a comparable foreign regulatory authority to verify compliance with applicable cGMP regulations. Additional inspections may be conducted after we submit our marketing applications to or receive marketing approval from the FDA or a comparable foreign regulatory authority. Although the FDA and other regulators impose requirements regarding our selection, qualification, oversight, and monitoring of our contract manufacturers and hold us responsible for the ultimate compliance of our products, we do not directly control the manufacturing process of our third-party contract manufacturers and are subject to risks associated with their ability to comply with cGMPs in connection with the manufacture of our products and product candidates. If our contract manufacturers cannot successfully manufacture material that conforms to our specifications and the strict regulatory requirements of the FDA or others and the compliance concerns cannot be resolved, remediated, or otherwise addressed to the FDA’s or others’ satisfaction in a timely manner during the review of any marketing applications that we submit, it may negatively impact our ability to obtain regulatory approval for our drug candidates or obtain approval within projected timelines. We cannot guarantee the ability of our third-party manufacturers to maintain compliance with cGMP regulations, including having adequate quality control, quality assurance and qualified personnel.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products or product candidates, operating restrictions and criminal prosecutions, any of which could significantly and adversely affect our business and supplies of our products or product candidates.</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reliance on third-party manufacturers entails additional risks, including:</w:t>
      </w:r>
    </w:p>
    <w:p>
      <w:pPr>
        <w:spacing w:after="0" w:line="225" w:lineRule="exact"/>
        <w:rPr>
          <w:sz w:val="20"/>
          <w:szCs w:val="20"/>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supply or quality agreement by the third party;</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9"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Moreover, our current long-term supply agreement for BRIUMVI contains certain minimum purchases in what are commonly referred to as a “take or pay” provision, and it is possible that future supply agreements could contain such provisions. To the extent our demand does not meet the minimum supply required amounts, we would be forced to pay more than desired. This could create a situation where we are spending more than required and could impact our on-going operations and entail curtailing other important research and development or commercialization efforts, all of which could have a material adverse effect on the Company. In negotiating our supply agreement for BRIUMVI, there is no guarantee that we have foreseen all eventualities or that our third-party manufacturer will be able to accommodate unforeseen changes in business direction in a timely fashion or at all. Scheduling of manufacturing at our third-party manufacturer is governed by contractual terms that require us to make investments in inventory of materials, with limited shelf-life, in advance of regulatory approval and based on preliminary commercial forecasting, and such inventory may not be used if timelines and supply needs shift.</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 Any third-party manufacturer with which we contract will have other clients, and our relative importance as a customer may adversely impact contractual terms or the performance of services in a satisfactory manner or on a timely basis.</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or interrupt commercial distribution. If our current contract manufacturers cannot perform as agreed, we may be required to replace such manufacturers causing additional costs and delays in identifying and qualifying any such replacement. If a new contract manufacturer is not successful in replicating the product or experiences delays, or if regulatory authorities impose unforeseen requirements with respect to product comparability from multiple manufacturing sources, we may experience delays in clinical development or an interruption in our commercial supply. No assurance can be given that any new manufacturer will be successful or that material manufactured by a new manufacturer will perform comparably to product manufactured by the previous manufacturer or that the relevant regulatory agencies will agree with our interpretation of comparability. Any significant delays or gaps in supply of commercial or clinical products may adversely affect our clinical development program, our ability to commercialize any drugs that receive marketing approval on a timely and competitive basis, and our future profit margins.</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also rely on other third parties to store and distribute drug supplies for our clinical trials and for commercial demand for BRIUMVI and expect to continue to do so for any other potential commercial products.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79"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could significantly harm our business.</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starting materials, intermediates, API/drug substance, and drug product used in many of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starting materials, intermediates, API/drug substance, and drug product for these drugs in accordance with regulatory requirements and in sufficient quantities for clinical testing and commercialization. It is expected that many of our manufacturing partners will be sole source suppliers from single site locations for the foreseeable future. Various raw materials, components, and testing services required for our product and product candidates may also be single sourced. We are not certain that our single-source suppliers will be able to supply sufficient quantities of their products or on the timelines necessary to meet our needs, either because of the nature of our agreements with those suppliers, our limited experience with those suppliers, our relative importance as a customer to those suppliers, international political conflicts that may impact trade or the supply chain within a particular region, public health emergencies such as the COVID-19 pandemic or natural disasters that may cause those suppliers to stop work for a period of time or lead to a sudden increase in demand for selected materials resulting in short-term unavailability of such materials. If any of our suppliers ceases its operations for any reason or is unable or unwilling to supply starting materials,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intermediates, API/drug substance, and drug product in sufficient quantities or on the timelines necessary to meet our needs, it could significantly and adversely affect our business, the supply of our drug candidates and our financial condition. In addition, if our current or future supply of any of our products or product candidates should fail to meet specifications during its stability program there could be a voluntary or mandatory product recall if the product is approved and, even in the absence of a recall, there could be significant interruption of our supply of drug, which would adversely affect the clinical development and commercialization of the product.</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COVID-19 pandemic has caused strain on the global supply chain. Although the pandemic has not had a material adverse effect on our supply chain to date, no assurance can be given that it will not in the future if the situation persists or worsens. In addition to potential disruptions at our contract manufacturers, there may be unfavorable changes in the availability or cost of raw materials, intermediates or other materials that we need for clinical and commercial production, which may result in higher costs or supply chain interruptions.</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continually evaluate our supply chains to identify potential risks and needs for additional manufacturers and other suppliers for the production of our products and product candidates. Establishing additional or replacement suppliers for the API/drug substance, drug product, and certain raw materials, if required, may not be accomplished quickly, or at all, and may involve significant expense. If we are able to find a replacement supplier, we would need to evaluate and qualify such replacement supplier and its ability to meet quality and compliance standards. Any change in suppliers or the manufacturing process could require additional regulatory approval and result in operational delays. While we seek to maintain adequate inventory of materials necessary for the production of our products and product candidates, any supply interruption or delay, or our inability to identify alternate sources at acceptable prices in a timely manner could impede, delay, limit or prevent our commercialization and development efforts, which could harm our business, results of operations, financial condition and prospects.</w:t>
      </w:r>
    </w:p>
    <w:p>
      <w:pPr>
        <w:spacing w:after="0" w:line="17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Because we have in-licensed BRIUMVI and our product candidates from third parties, any dispute with or non-performance by our licensors will adversely affect our ability to develop and commercialize the applicable product or product candidate.</w:t>
      </w:r>
    </w:p>
    <w:p>
      <w:pPr>
        <w:spacing w:after="0" w:line="148" w:lineRule="exact"/>
        <w:rPr>
          <w:sz w:val="20"/>
          <w:szCs w:val="20"/>
          <w:color w:val="auto"/>
        </w:rPr>
      </w:pPr>
    </w:p>
    <w:p>
      <w:pPr>
        <w:jc w:val="both"/>
        <w:ind w:left="60" w:right="59" w:firstLine="648"/>
        <w:spacing w:after="0" w:line="239" w:lineRule="auto"/>
        <w:rPr>
          <w:sz w:val="20"/>
          <w:szCs w:val="20"/>
          <w:color w:val="auto"/>
        </w:rPr>
      </w:pPr>
      <w:r>
        <w:rPr>
          <w:rFonts w:ascii="Times New Roman" w:cs="Times New Roman" w:eastAsia="Times New Roman" w:hAnsi="Times New Roman"/>
          <w:sz w:val="18"/>
          <w:szCs w:val="18"/>
          <w:color w:val="auto"/>
        </w:rPr>
        <w:t>Because we license BRIUMVI and our product candidates from third parties and we expect to continue to in-license additional product candidates, if there is any dispute between us and our licensor regarding our rights under a license agreement, our ability to develop and commercialize the applicable product or product candidate may be adversely affected. Disputes may arise with the third parties from whom we license our products and product candidates for a variety of reasons, including:</w:t>
      </w:r>
    </w:p>
    <w:p>
      <w:pPr>
        <w:spacing w:after="0" w:line="157" w:lineRule="exact"/>
        <w:rPr>
          <w:sz w:val="20"/>
          <w:szCs w:val="20"/>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5" w:lineRule="exact"/>
        <w:rPr>
          <w:rFonts w:ascii="Times New Roman" w:cs="Times New Roman" w:eastAsia="Times New Roman" w:hAnsi="Times New Roman"/>
          <w:sz w:val="18"/>
          <w:szCs w:val="18"/>
          <w:color w:val="auto"/>
        </w:rPr>
      </w:pPr>
    </w:p>
    <w:p>
      <w:pPr>
        <w:ind w:left="1040" w:right="79" w:hanging="315"/>
        <w:spacing w:after="0" w:line="226"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license agreement;</w:t>
      </w:r>
    </w:p>
    <w:p>
      <w:pPr>
        <w:spacing w:after="0" w:line="1" w:lineRule="exact"/>
        <w:rPr>
          <w:rFonts w:ascii="Times New Roman" w:cs="Times New Roman" w:eastAsia="Times New Roman" w:hAnsi="Times New Roman"/>
          <w:sz w:val="18"/>
          <w:szCs w:val="18"/>
          <w:color w:val="auto"/>
        </w:rPr>
      </w:pPr>
    </w:p>
    <w:p>
      <w:pPr>
        <w:ind w:left="1040" w:right="79" w:hanging="315"/>
        <w:spacing w:after="0" w:line="226"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 and obligations associated with sublicensing;</w:t>
      </w:r>
    </w:p>
    <w:p>
      <w:pPr>
        <w:spacing w:after="0" w:line="1" w:lineRule="exact"/>
        <w:rPr>
          <w:rFonts w:ascii="Times New Roman" w:cs="Times New Roman" w:eastAsia="Times New Roman" w:hAnsi="Times New Roman"/>
          <w:sz w:val="18"/>
          <w:szCs w:val="18"/>
          <w:color w:val="auto"/>
        </w:rPr>
      </w:pPr>
    </w:p>
    <w:p>
      <w:pPr>
        <w:ind w:left="1040" w:hanging="315"/>
        <w:spacing w:after="0" w:line="234"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ind w:left="1040" w:right="79" w:hanging="315"/>
        <w:spacing w:after="0" w:line="226"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 and</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92" w:lineRule="exact"/>
        <w:rPr>
          <w:sz w:val="20"/>
          <w:szCs w:val="20"/>
          <w:color w:val="auto"/>
        </w:rPr>
      </w:pPr>
    </w:p>
    <w:p>
      <w:pPr>
        <w:jc w:val="both"/>
        <w:ind w:left="60" w:right="59" w:firstLine="648"/>
        <w:spacing w:after="0" w:line="233"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BRIUMVI and our product candidates from third parties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 which could have a material adverse effect on our business, financial conditions, results of operations, and prospects.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60" w:right="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131" w:lineRule="exact"/>
        <w:rPr>
          <w:sz w:val="20"/>
          <w:szCs w:val="20"/>
          <w:color w:val="auto"/>
        </w:rPr>
      </w:pPr>
    </w:p>
    <w:p>
      <w:pPr>
        <w:jc w:val="both"/>
        <w:ind w:left="60" w:right="59" w:firstLine="648"/>
        <w:spacing w:after="0" w:line="235" w:lineRule="auto"/>
        <w:rPr>
          <w:sz w:val="20"/>
          <w:szCs w:val="20"/>
          <w:color w:val="auto"/>
        </w:rPr>
      </w:pPr>
      <w:r>
        <w:rPr>
          <w:rFonts w:ascii="Times New Roman" w:cs="Times New Roman" w:eastAsia="Times New Roman" w:hAnsi="Times New Roman"/>
          <w:sz w:val="18"/>
          <w:szCs w:val="18"/>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156" w:lineRule="exact"/>
        <w:rPr>
          <w:sz w:val="20"/>
          <w:szCs w:val="20"/>
          <w:color w:val="auto"/>
        </w:rPr>
      </w:pPr>
    </w:p>
    <w:p>
      <w:pPr>
        <w:jc w:val="both"/>
        <w:ind w:left="60" w:right="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31" w:lineRule="exact"/>
        <w:rPr>
          <w:sz w:val="20"/>
          <w:szCs w:val="20"/>
          <w:color w:val="auto"/>
        </w:rPr>
      </w:pPr>
    </w:p>
    <w:p>
      <w:pPr>
        <w:jc w:val="both"/>
        <w:ind w:left="60" w:right="59" w:firstLine="648"/>
        <w:spacing w:after="0"/>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58" w:lineRule="exact"/>
        <w:rPr>
          <w:sz w:val="20"/>
          <w:szCs w:val="20"/>
          <w:color w:val="auto"/>
        </w:rPr>
      </w:pPr>
    </w:p>
    <w:p>
      <w:pPr>
        <w:jc w:val="both"/>
        <w:ind w:left="60" w:right="59" w:firstLine="486"/>
        <w:spacing w:after="0" w:line="23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66" w:lineRule="exact"/>
        <w:rPr>
          <w:sz w:val="20"/>
          <w:szCs w:val="20"/>
          <w:color w:val="auto"/>
        </w:rPr>
      </w:pPr>
    </w:p>
    <w:p>
      <w:pPr>
        <w:jc w:val="both"/>
        <w:ind w:left="60" w:right="59" w:firstLine="486"/>
        <w:spacing w:after="0"/>
        <w:rPr>
          <w:sz w:val="20"/>
          <w:szCs w:val="20"/>
          <w:color w:val="auto"/>
        </w:rPr>
      </w:pPr>
      <w:r>
        <w:rPr>
          <w:rFonts w:ascii="Times New Roman" w:cs="Times New Roman" w:eastAsia="Times New Roman" w:hAnsi="Times New Roman"/>
          <w:sz w:val="18"/>
          <w:szCs w:val="18"/>
          <w:color w:val="auto"/>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8" w:lineRule="exact"/>
        <w:rPr>
          <w:sz w:val="20"/>
          <w:szCs w:val="20"/>
          <w:color w:val="auto"/>
        </w:rPr>
      </w:pPr>
    </w:p>
    <w:p>
      <w:pPr>
        <w:jc w:val="both"/>
        <w:ind w:left="60" w:right="59" w:firstLine="486"/>
        <w:spacing w:after="0" w:line="254"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their sales.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termination or expiration of any future collaboration agreement could adversely affect us financially or harm our business reputation.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Intellectual Property</w:t>
      </w:r>
    </w:p>
    <w:p>
      <w:pPr>
        <w:spacing w:after="0" w:line="22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obtain and protect our intellectual property and proprietary technologies. If the scope of our patent protection obtained is not sufficiently broad, our competitors could develop and commercialize technology and drugs similar or identical to ours, and our ability to successfully commercialize our technology and drugs may be impaired.</w:t>
      </w:r>
    </w:p>
    <w:p>
      <w:pPr>
        <w:spacing w:after="0" w:line="153" w:lineRule="exact"/>
        <w:rPr>
          <w:sz w:val="20"/>
          <w:szCs w:val="20"/>
          <w:color w:val="auto"/>
        </w:rPr>
      </w:pPr>
    </w:p>
    <w:p>
      <w:pPr>
        <w:jc w:val="both"/>
        <w:ind w:left="60" w:right="59" w:firstLine="648"/>
        <w:spacing w:after="0" w:line="235" w:lineRule="auto"/>
        <w:rPr>
          <w:sz w:val="20"/>
          <w:szCs w:val="20"/>
          <w:color w:val="auto"/>
        </w:rPr>
      </w:pPr>
      <w:r>
        <w:rPr>
          <w:rFonts w:ascii="Times New Roman" w:cs="Times New Roman" w:eastAsia="Times New Roman" w:hAnsi="Times New Roman"/>
          <w:sz w:val="18"/>
          <w:szCs w:val="18"/>
          <w:color w:val="auto"/>
        </w:rPr>
        <w:t>Our commercial success in part depends on obtaining and maintaining patent protection and trade secret protection in the United States and other countries with respect to any product we commercialize, including BRIUMVI, our product candidates,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 by maintenance of our trade secrets through proper procedures. Because we in-license our products and product candidates, we also rely on our licensors to protect the patent and other intellectual property rights necessary for commercialization.</w:t>
      </w:r>
    </w:p>
    <w:p>
      <w:pPr>
        <w:spacing w:after="0" w:line="161" w:lineRule="exact"/>
        <w:rPr>
          <w:sz w:val="20"/>
          <w:szCs w:val="20"/>
          <w:color w:val="auto"/>
        </w:rPr>
      </w:pPr>
    </w:p>
    <w:p>
      <w:pPr>
        <w:jc w:val="both"/>
        <w:ind w:left="60" w:right="59" w:firstLine="648"/>
        <w:spacing w:after="0" w:line="235" w:lineRule="auto"/>
        <w:rPr>
          <w:sz w:val="20"/>
          <w:szCs w:val="20"/>
          <w:color w:val="auto"/>
        </w:rPr>
      </w:pPr>
      <w:r>
        <w:rPr>
          <w:rFonts w:ascii="Times New Roman" w:cs="Times New Roman" w:eastAsia="Times New Roman" w:hAnsi="Times New Roman"/>
          <w:sz w:val="18"/>
          <w:szCs w:val="18"/>
          <w:color w:val="auto"/>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products and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products. In addition, the laws of foreign countries may not protect our patent rights to the same extent as the patent laws of the United States.</w:t>
      </w:r>
    </w:p>
    <w:p>
      <w:pPr>
        <w:spacing w:after="0" w:line="174" w:lineRule="exact"/>
        <w:rPr>
          <w:sz w:val="20"/>
          <w:szCs w:val="20"/>
          <w:color w:val="auto"/>
        </w:rPr>
      </w:pPr>
    </w:p>
    <w:p>
      <w:pPr>
        <w:jc w:val="both"/>
        <w:ind w:left="60" w:right="59" w:firstLine="648"/>
        <w:spacing w:after="0" w:line="235" w:lineRule="auto"/>
        <w:rPr>
          <w:sz w:val="20"/>
          <w:szCs w:val="20"/>
          <w:color w:val="auto"/>
        </w:rPr>
      </w:pPr>
      <w:r>
        <w:rPr>
          <w:rFonts w:ascii="Times New Roman" w:cs="Times New Roman" w:eastAsia="Times New Roman" w:hAnsi="Times New Roman"/>
          <w:sz w:val="18"/>
          <w:szCs w:val="18"/>
          <w:color w:val="auto"/>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patent portfolio may not provide us with adequate and continuing patent protection sufficient to exclude others from commercializing drugs similar or identical to our product or product candidates, including generic versions of such drugs.</w:t>
      </w:r>
    </w:p>
    <w:p>
      <w:pPr>
        <w:spacing w:after="0" w:line="161" w:lineRule="exact"/>
        <w:rPr>
          <w:sz w:val="20"/>
          <w:szCs w:val="20"/>
          <w:color w:val="auto"/>
        </w:rPr>
      </w:pPr>
    </w:p>
    <w:p>
      <w:pPr>
        <w:jc w:val="both"/>
        <w:ind w:left="60" w:right="59" w:firstLine="648"/>
        <w:spacing w:after="0" w:line="233" w:lineRule="auto"/>
        <w:rPr>
          <w:sz w:val="20"/>
          <w:szCs w:val="20"/>
          <w:color w:val="auto"/>
        </w:rPr>
      </w:pPr>
      <w:r>
        <w:rPr>
          <w:rFonts w:ascii="Times New Roman" w:cs="Times New Roman" w:eastAsia="Times New Roman" w:hAnsi="Times New Roman"/>
          <w:sz w:val="18"/>
          <w:szCs w:val="18"/>
          <w:color w:val="auto"/>
        </w:rPr>
        <w:t>Currently, we have several granted patents in the United States and EU, among other countries, and several pending patent applications that have not yet been issued or have been issued in certain jurisdictions but not all jurisdictions in which such applications have been filed. There can be no guarantee that any pending patent applications, nor any patent applications filed in the future will be granted in any or all jurisdictions in which they were filed, or that all patent claims initially submitted for examination in such patent applications will be allowed in the patent that is eventually granted, if at all. The patent prosecution process is subject to numerous risks and uncertainties, and there can be no assurance of the scope of patent claims that will ultimately be allowed, if at all, and no assurance that we or our partners will be successful in protecting our product and product candidates by obtaining and defending patents.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These risks and uncertainties include the following:</w:t>
      </w:r>
    </w:p>
    <w:p>
      <w:pPr>
        <w:spacing w:after="0" w:line="212" w:lineRule="exact"/>
        <w:rPr>
          <w:sz w:val="20"/>
          <w:szCs w:val="20"/>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 applications that we or our licensors file may not issue as patent;</w:t>
      </w:r>
    </w:p>
    <w:p>
      <w:pPr>
        <w:spacing w:after="0" w:line="27"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may be issued or in-licensed may be challenged, invalidated, modified, revoked or circumvented, or otherwise may not provide any competitive advantage;</w:t>
      </w:r>
    </w:p>
    <w:p>
      <w:pPr>
        <w:ind w:left="1040" w:right="79" w:hanging="315"/>
        <w:spacing w:after="0" w:line="250"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16, 2013, the United States converted from a first-to-invent to a first-to-file system. If we do not win the filing race, we will not be entitled to inventive priority;</w:t>
      </w:r>
    </w:p>
    <w:p>
      <w:pPr>
        <w:jc w:val="both"/>
        <w:ind w:left="1040" w:right="79" w:hanging="315"/>
        <w:spacing w:after="0" w:line="250"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already have obtained, patents that will limit, interfere with, or eliminate our ability to file new patent applications covering our products, or make, use, and/or sell our products either in the United States or in international markets;</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which could limit our ability to fully monetize our intellectual property rights; and</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55"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less restrictive patent laws than those of the United States, allowing foreign competitors to exploit such less restrictive patent laws to make, use, and/or sell competing products in their respective jurisdictions.</w:t>
      </w:r>
    </w:p>
    <w:p>
      <w:pPr>
        <w:spacing w:after="0" w:line="18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If we are not able to obtain patents that protect our product and product candidates, it could have a material adverse effect on our financial condition and results of operations.</w:t>
      </w:r>
    </w:p>
    <w:p>
      <w:pPr>
        <w:spacing w:after="0" w:line="162"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USPTO can be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our patent applications may change or be modified throughout the patent prosecution process, leaving our product(s) or process(es) without patent protection. Moreover, in some circumstances, we do not have the right to control the preparation, filing and prosecution of patent applications, or to maintain the patents, that cover technology licensed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products or product candidates, our ability to develop and commercialize such drugs may be adversely affected and we may not be able to prevent competitors from making, using and selling competing products. This failure to properly protect the intellectual property rights relating to our product and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joint development projects, or other partnerships, we may be required to consult with or cede control to collaborators regarding the prosecution, maintenance and enforcement of patents licensed or developed under such collaborations. Therefore, such patents and patent applications may not be prosecuted and enforced in a manner consistent with the best interests of our business.</w:t>
      </w:r>
    </w:p>
    <w:p>
      <w:pPr>
        <w:spacing w:after="0" w:line="20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patent laws of foreign countries may not protect our patent rights to the same extent as the laws of the United States, and we may fail to seek or obtain patent protection in all major markets. For example, European patent law restricts the patentability of methods of treatment of the human body more than United States patent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patent laws in the U.S.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third-party.</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U.S. patent laws may change, which could prevent or limit us, our subsidiaries, or our licensors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the transition from a first-to-invent system to a first-to-file system and changes to the way issued patents are challenged. The formation of the Patent Trial and Appeal Board now provides a quicker and less expensive process for challenging issued patents.</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patents or patent applications owned or filed by us, or by our licensors or other collaborators, may be affected by third-party pre-issuance submissions of prior art to the USPTO, or by opposition, derivation, reexamination, inter parties review, post-grant review or interference proceedings. The costs of these proceedings could be substantial, and it is possible that our efforts to establish priority of invention would be unsuccessful, resulting in a material adverse effect on our U.S.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patents and patent applications for our drug candidates is threatened, it could dissuade companies from collaborating with us to license, develop or commercialize current or future products or product candidates.</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issuance of a patent does not foreclose challenges to its inventorship, scope, validity or enforceability. Therefore, our owned and licensed patents may be challenged in the courts or patent offices in the U.S.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enough rights to exclude others from commercializing products similar or identical to ours.</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Even if our patent applications issue as patents, and they are unchallenged, our issued patents and pending patent applications,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products or product candidates but that has a different composition that falls outside the scope of our patent protection. If the patent protection provided by the patents and patent applications we hold or pursue with respect to our products or product candidates is not sufficiently broad to impede such competition, our ability to successfully commercialize our products or product candidates could be negatively affected, which would harm our business.</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have entered into agreements with many of our employees, consultants and advisors and any other third parties who have access to our proprietary know-how, information or technology for the purpose of assigning or granting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products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8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5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products or product candidates, which would have a material adverse effect on our business.</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extensions under the Hatch-Waxman Act and similar foreign legislation extending the terms of our licensed patents and any future patents we may own, our business may be materially harmed.</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Depending on the timing, duration, and specifics of any FDA regulatory approval for our drug candidates, one or more of our licensed U.S. patents or future U.S. patents that we may license or own may be eligible for limited patent term restoration under the Hatch-Waxman Act. The Hatch-Waxman Act permit a patent term extension of up to five years as compensation for patent term lost during the FDA regulatory review process. A patent term extension cannot extend the remaining term of a patent beyond 14 years from the date of product approval by the FDA, and only one patent covering the approved product may be extended.</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application for a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the patent protection afforded could be less than what we request. If we are unable to obtain patent term extension or any term of such extension is less than we request, the period during which we will have the right to exclusively market our product will be shortened and our competitors may obtain earlier approval of competing products, and our ability to generate revenues could be materially adversely affected.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Filing, prosecuting and defending patents on drug candidates throughout the world would be prohibitively expensive. Competitors may use our licensed and owned technologies in jurisdictions where we have not licensed or obtained patent protection to develop their own products and, further, may export otherwise infringing products to territories where we may obtain or license patent protection, but where patent enforcement is not as strong as that in the United States. These products may compete with our products in jurisdictions where we do not have any issued or licensed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patents and any future patent claims or other intellectual property rights may not be effective or sufficient to prevent them from so competing.</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Proceedings to enforce our future patent rights, if any, in foreign jurisdictions could result in substantial cost and divert our resources and attention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typically are very expensive, time-consuming and disruptive to our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asserted patents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the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8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Competing drugs may also be sold in other countries in which our patent coverage might not exist or be as strong as in the United States. If we lose a foreign patent lawsuit, alleging our infringement of a competitor’s patents, we could be prevented from marketing our drugs in one or more foreign countries. Any of these outcomes would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94"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or product candidates or proprietary technologies may infringe. Similarly, there may be issued patents relevant to our product or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87"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color w:val="auto"/>
        </w:rPr>
        <w:t>We are aware of certain patents that may pose issues for our commercialization of our product and product candidates.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present clear and convincing evidence as to the invalidity of the patent’s claims. If we are unable to do so, we may be forced to delay the launch of our product candidates or launch at the risk of litigation for patent infringement, which may have a material adverse effect on our business and results of operations.</w:t>
      </w:r>
    </w:p>
    <w:p>
      <w:pPr>
        <w:spacing w:after="0" w:line="176" w:lineRule="exact"/>
        <w:rPr>
          <w:sz w:val="20"/>
          <w:szCs w:val="20"/>
          <w:color w:val="auto"/>
        </w:rPr>
      </w:pPr>
    </w:p>
    <w:p>
      <w:pPr>
        <w:jc w:val="both"/>
        <w:ind w:left="60" w:right="59" w:firstLine="648"/>
        <w:spacing w:after="0" w:line="269" w:lineRule="auto"/>
        <w:rPr>
          <w:sz w:val="20"/>
          <w:szCs w:val="20"/>
          <w:color w:val="auto"/>
        </w:rPr>
      </w:pPr>
      <w:r>
        <w:rPr>
          <w:rFonts w:ascii="Times New Roman" w:cs="Times New Roman" w:eastAsia="Times New Roman" w:hAnsi="Times New Roman"/>
          <w:sz w:val="17"/>
          <w:szCs w:val="17"/>
          <w:color w:val="auto"/>
        </w:rPr>
        <w:t>If a third-party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82" w:lineRule="exact"/>
        <w:rPr>
          <w:sz w:val="20"/>
          <w:szCs w:val="20"/>
          <w:color w:val="auto"/>
        </w:rPr>
      </w:pPr>
    </w:p>
    <w:p>
      <w:pPr>
        <w:jc w:val="both"/>
        <w:ind w:left="60" w:right="59" w:firstLine="648"/>
        <w:spacing w:after="0" w:line="281" w:lineRule="auto"/>
        <w:rPr>
          <w:sz w:val="20"/>
          <w:szCs w:val="20"/>
          <w:color w:val="auto"/>
        </w:rPr>
      </w:pPr>
      <w:r>
        <w:rPr>
          <w:rFonts w:ascii="Times New Roman" w:cs="Times New Roman" w:eastAsia="Times New Roman" w:hAnsi="Times New Roman"/>
          <w:sz w:val="17"/>
          <w:szCs w:val="17"/>
          <w:color w:val="auto"/>
        </w:rPr>
        <w:t>No assurance can be given that patents issued to third parties do not exist, have not been filed, or could not be filed or issued, which contain claims covering their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64"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Other products or product candidates that we may in-license or acquire could be subject to similar risks and uncertainties.</w:t>
      </w:r>
    </w:p>
    <w:p>
      <w:pPr>
        <w:spacing w:after="0" w:line="15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in which case our business could be harmed, possibly materially. For example, we engage extensively with third parties, including academic institutions, to conduct non-clinical and clinical research on our product and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spacing w:after="0" w:line="191"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of confidentiality agreements and other contractual restrictions. Monitoring unauthorized uses and disclosures is difficult, and we do not know whether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steps we have taken to protect our proprietary technologies will be effective. If any of the collaborators, scientific advisors, employees and consultants who are parties to these agreements breach or violate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Organization and Governance, Strategy, Employees and Growth Management</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keep key management, commercial, and clinical development personnel, we may be unable to successfully develop or commercialize our product and product candidates.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highly dependent on the research and development, commercialization, manufacturing, quality, financial and legal expertise of our senior management team as well as the other principal members of our management. Although we have entered into an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medical affairs, and commercial personnel, particularly in MS, will be critical to our success. The loss of the services of our chief executive officer or other key employees could impede the achievement of our research, development and commercialization objectives and 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In January and April 2022, following the withdrawal of the BLA and sNDA for U2 and the withdrawal of UKONIQ from sale, we engaged in streamlining efforts across the Company, reducing headcount and external expenses, primarily related to our oncology commercialization and research and development functions. Those streamlining efforts have made and may continue to make retention of key personnel more difficult. If we are not able to attract and retain the necessary personnel to accomplish our business objectives, we may experience constraints that will significantly impede the achievement of our development and commercialization objectives, our ability to raise additional capital, and our ability to implement our business strategy.</w:t>
      </w:r>
    </w:p>
    <w:p>
      <w:pPr>
        <w:spacing w:after="0" w:line="192"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business, and we may encounter difficulties in managing this development and expansion, which could disrupt our operations.</w:t>
      </w:r>
    </w:p>
    <w:p>
      <w:pPr>
        <w:spacing w:after="0" w:line="15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may attempt to expand our business by acquiring additional businesses or drugs, forming strategic alliances or creating joint ventures with third parties. We may encounter numerous difficulties in developing, manufacturing, and marketing any new products resulting from any such arrangement or transaction that may delay or prevent us from realizing their expected benefits. If we are unable to successfully integrate such acquired businesses with our existing operations and company culture, we may never realize the benefits of such acquisitions or strategic alliances. We cannot assure you that, following any such transaction, we will achieve the expected synergies to justify the transaction.</w:t>
      </w:r>
    </w:p>
    <w:p>
      <w:pPr>
        <w:spacing w:after="0" w:line="18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As of May 1, 2023, we had 237 full-time employees. Our management and medical, commercial, and scientific personnel, systems and facilities currently in place, which were largely designed to support research and development and commercialization in oncology, may not be adequate to support our anticipated future growth, particularly in MS. To manage our anticipated future growth and focus in neurology and immunology, we must continue to implement and improve our managerial, operational and financial systems, and continue to recruit and train additional qualified personnel. Also, our management may need to divert a disproportionate amount of its attention away from its day-to-day activities and devote a substantial amount of time to managing these activities. Due to our limited resources, we may not be able to effectively manage the expansion and shift of our operations or recruit and train additional qualified personnel. This may result in weaknesses in our infrastructure, give rise to operational mistakes, loss of business opportunities, loss of employees and reduced productivity among remaining employees. If our management is unable to effectively manage our transition to a strategy primarily focused on neurology and immunology,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changes to our business.</w:t>
      </w:r>
    </w:p>
    <w:p>
      <w:pPr>
        <w:spacing w:after="0" w:line="19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Additionally, to help manage the evolving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when needed, we may be unable to successfully implement the tasks necessary to achieve our research, development and commercialization goals.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60" w:right="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Certain anti-takeover provisions in our governing documents and Delaware law could make a third-party acquisition of us difficult. This could limit the price investors might be willing to pay in the future for our common stock.</w:t>
      </w:r>
    </w:p>
    <w:p>
      <w:pPr>
        <w:spacing w:after="0" w:line="171"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Certain provisions in our amended and restated certificate of incorporation and restated bylaws may make it more difficult for a third party to acquire us or discourage a third party from attempting to acquire or control us and may limit the price that certain investors might be willing to pay in the future for shares of our common stock. For example, our amended and restated certificate of incorporation allows us to issue preferred stock without the approval of our stockholders, the issuance of which could decrease the amount of earnings and assets available for distribution to, or affect the rights and powers, including voting rights, of our common stockholders. In certain circumstances, such issuance could have the effect of decreasing the market price of our common stock. In addition,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8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2022, we had federal net operating loss carryforwards of approximately $1.3 billion, and our ability to utilize those net operating loss carryforwards could be limited by an ownership change as described above, which could result in increased tax liability to us. In addition, pursuant to the Tax Act, we may not use net operating loss carry-forwards to reduce our taxable income in any year by more than 80%, and we may not carry back any net operating losses to prior years. On March 27, 2020, the Coronavirus Aid, Relief, and Economic Security (CARES) Act was signed by President Trump. Certain provisions of the CARES Act alter the rules regarding net-operating losses for such losses arising in 2018, 2019 and 2020. Such losses may be carried back for five years. We cannot assure you, however, of our ability to utilize these favorable offset rules within the applicable time period. These rules apply regardless of the occurrence of an ownership change.</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Certain of our executive officers, directors, principal stockholders and their affiliates maintain the ability to exercise significant influence over our company and all matters submitted to stockholders for approval.</w:t>
      </w:r>
    </w:p>
    <w:p>
      <w:pPr>
        <w:spacing w:after="0" w:line="158" w:lineRule="exact"/>
        <w:rPr>
          <w:sz w:val="20"/>
          <w:szCs w:val="20"/>
          <w:color w:val="auto"/>
        </w:rPr>
      </w:pPr>
    </w:p>
    <w:p>
      <w:pPr>
        <w:jc w:val="both"/>
        <w:ind w:left="60" w:right="59" w:firstLine="648"/>
        <w:spacing w:after="0" w:line="235" w:lineRule="auto"/>
        <w:rPr>
          <w:sz w:val="20"/>
          <w:szCs w:val="20"/>
          <w:color w:val="auto"/>
        </w:rPr>
      </w:pPr>
      <w:r>
        <w:rPr>
          <w:rFonts w:ascii="Times New Roman" w:cs="Times New Roman" w:eastAsia="Times New Roman" w:hAnsi="Times New Roman"/>
          <w:sz w:val="18"/>
          <w:szCs w:val="18"/>
          <w:color w:val="auto"/>
        </w:rPr>
        <w:t>Certain of our executive officers, directors and stockholders own more than 5% of our outstanding common stock and, together with their affiliates and related persons, beneficially own a significant percentage of our capital stock.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74" w:lineRule="exact"/>
        <w:rPr>
          <w:sz w:val="20"/>
          <w:szCs w:val="20"/>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our third-party CROs, CMOs, or other contractors or consultants, may fail or suffer security breaches, which could result in a material disruption of our drug candidates’ development programs and our commercialization of any products for which we receive regulatory approval.</w:t>
      </w:r>
    </w:p>
    <w:p>
      <w:pPr>
        <w:spacing w:after="0" w:line="161"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information technology systems and those of our third-party CROs, CMOs, and other contractors and consultants are vulnerable to damage from computer viruses, unauthorized access, cyber-attacks or cyber-intrusions over the Internet, natural disasters, terrorism, war and telecommunication and electrical failures. Although we have been the targets of cyber-attacks and cyber-intrusions, the impact on our operations and financial condition has not been material. We expect such cybersecurity threats to continue and become more sophisticated, even more so due to the conflict between Russia and Ukraine. A significant cyber-attack or cyber-intrusion could cause our systems to fail, leakage of confidential information, or business interruption, which could result in a material disruption of our operations, financial loss, or reputational harm. For example, the loss of clinical trial data for our drug candidates could result in delays in our regulatory approval efforts and significantly increase our costs to recover or reproduce the data. We have invested in protections and monitoring practices of our data and information technology systems to reduce these risks and expect to continue do so as our information technology systems increase in magnitude and complexity. However, there can be no assurance that our efforts and investments will prevent breakdowns or breaches in our systems that could adversely affect our business.</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59" w:lineRule="exact"/>
        <w:rPr>
          <w:sz w:val="20"/>
          <w:szCs w:val="20"/>
          <w:color w:val="auto"/>
        </w:rPr>
      </w:pPr>
    </w:p>
    <w:p>
      <w:pPr>
        <w:jc w:val="both"/>
        <w:ind w:left="60" w:right="59" w:firstLine="648"/>
        <w:spacing w:after="0" w:line="270" w:lineRule="auto"/>
        <w:rPr>
          <w:sz w:val="20"/>
          <w:szCs w:val="20"/>
          <w:color w:val="auto"/>
        </w:rPr>
      </w:pPr>
      <w:r>
        <w:rPr>
          <w:rFonts w:ascii="Times New Roman" w:cs="Times New Roman" w:eastAsia="Times New Roman" w:hAnsi="Times New Roman"/>
          <w:sz w:val="17"/>
          <w:szCs w:val="17"/>
          <w:color w:val="auto"/>
        </w:rPr>
        <w:t>Our results of operations could be adversely affected by general conditions in the global economy and in the global financial markets. Key national economies, including the United States, have been affected from time to time by economic downturns or recessions, supply chain constraints, rising inflation, restricted credit, poor liquidity, reduced corporate profitability, debt, equity and foreign exchange market volatility, bankruptcies, rising interest rates, unemployment rates, and overall uncertainty with respect to the economy. Increasing interest rates in the United States to respond to inflationary pressures and market volatility, as well as the government closure of Silicon Valley Bank and Signature Bank and liquidity concerns at other financial institutions, could negatively impact our results of operations and financial condition. In addition, increased interest rates or a general economic downturn or recession could reduce our ability to raise additional capital when needed on acceptable terms, if at all. A weak or declining economy, supply disruptions or international trade disputes could also strain our third-party suppliers, possibly resulting in supply disruption.</w:t>
      </w:r>
    </w:p>
    <w:p>
      <w:pPr>
        <w:spacing w:after="0" w:line="17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Furthermore, the COVID-19 pandemic has caused extreme volatility and disruptions in the capital and credit markets. Likewise, the capital and credit markets may be adversely affected by the conflict between Russia and Ukraine, the possibility of a wider European or global conflict, and global sanctions imposed in response thereto. Other international events such as trade disputes, separatist movements, leadership changes and political and military conflicts could also adversely affect global financial activity and markets and could negatively affect the U.S. economy. These conditions could result in decreased economic activity, heightened risk of cyberattacks, and inflation, as well as impact our ability to raise capital. Additionally, the Federal Reserve Board (FRB) and other major central banks have begun the process of removing or reducing monetary accommodation, increasing the risk of recession and may also negatively impact asset values and credit spreads that were impacted by extraordinary monetary stimulus.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marketed product and services. We cannot anticipate all of the ways in which the foregoing, and the current economic climate and financial market conditions, could adversely impact our business.</w:t>
      </w:r>
    </w:p>
    <w:p>
      <w:pPr>
        <w:spacing w:after="0" w:line="19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 which could have a material adverse effect on our business.</w:t>
      </w:r>
    </w:p>
    <w:p>
      <w:pPr>
        <w:spacing w:after="0" w:line="17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CMOs, and consultants may engage in fraudulent conduct or other illegal activity. Misconduct by these parties could include intentional failures to comply with FDA regulations, provide accurate information to the FDA, comply with manufacturing standards we have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and have implemented a compliance program,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regardless of the outcome, our reputation and our business may suffer. If we are not successful in defending ourselves or asserting our rights, those actions could lead to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w:t>
      </w:r>
    </w:p>
    <w:p>
      <w:pPr>
        <w:spacing w:after="0" w:line="161" w:lineRule="exact"/>
        <w:rPr>
          <w:sz w:val="20"/>
          <w:szCs w:val="20"/>
          <w:color w:val="auto"/>
        </w:rPr>
      </w:pPr>
    </w:p>
    <w:p>
      <w:pPr>
        <w:jc w:val="both"/>
        <w:ind w:left="60" w:right="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or drugs, or form strategic alliances, in the future, and we may not realize the benefits of such acquisitions.</w:t>
      </w:r>
    </w:p>
    <w:p>
      <w:pPr>
        <w:spacing w:after="0" w:line="131" w:lineRule="exact"/>
        <w:rPr>
          <w:sz w:val="20"/>
          <w:szCs w:val="20"/>
          <w:color w:val="auto"/>
        </w:rPr>
      </w:pPr>
    </w:p>
    <w:p>
      <w:pPr>
        <w:jc w:val="both"/>
        <w:ind w:left="60" w:right="59" w:firstLine="648"/>
        <w:spacing w:after="0" w:line="235"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legislative or regulatory tax changes that could negatively impact our financial condition.</w:t>
      </w:r>
    </w:p>
    <w:p>
      <w:pPr>
        <w:spacing w:after="0" w:line="202" w:lineRule="exact"/>
        <w:rPr>
          <w:sz w:val="20"/>
          <w:szCs w:val="20"/>
          <w:color w:val="auto"/>
        </w:rPr>
      </w:pPr>
    </w:p>
    <w:p>
      <w:pPr>
        <w:jc w:val="both"/>
        <w:ind w:left="60" w:right="59" w:firstLine="648"/>
        <w:spacing w:after="0" w:line="235"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61" w:lineRule="exact"/>
        <w:rPr>
          <w:sz w:val="20"/>
          <w:szCs w:val="20"/>
          <w:color w:val="auto"/>
        </w:rPr>
      </w:pPr>
    </w:p>
    <w:p>
      <w:pPr>
        <w:jc w:val="both"/>
        <w:ind w:left="60" w:right="59" w:firstLine="648"/>
        <w:spacing w:after="0" w:line="231" w:lineRule="auto"/>
        <w:rPr>
          <w:sz w:val="20"/>
          <w:szCs w:val="20"/>
          <w:color w:val="auto"/>
        </w:rPr>
      </w:pPr>
      <w:r>
        <w:rPr>
          <w:rFonts w:ascii="Times New Roman" w:cs="Times New Roman" w:eastAsia="Times New Roman" w:hAnsi="Times New Roman"/>
          <w:sz w:val="18"/>
          <w:szCs w:val="18"/>
          <w:color w:val="auto"/>
        </w:rPr>
        <w:t>On December 22, 2017, legislation commonly referred to as the Tax Act was signed into law and is generally effective after December 31, 2017. The Tax Act makes significant changes to the United States federal income tax rules for taxation of individuals and business entities. Most of the changes applicable to individuals are temporary and apply only to taxable years beginning after December 31, 2017 and before January 1, 2026. For corporations, the Tax Act reduces the top corporate income tax rate to 21% and repeals the corporate alternative minimum tax, limits the deduction for net interest expense, limits the deduction for net operating losses and eliminates net operating loss carrybacks, modifies or repeals many business deductions and credits, shifts the United States toward a more territorial tax system, and imposes new taxes to combat erosion of the U.S. federal income tax base. The Tax Act makes numerous other large and small changes to the federal income tax rules that may affect potential investors and may directly or indirectly affect us. We continue to examine the impact this tax reform legislation may have on our business. However, the effect of the Tax Act on us, whether adverse or favorable, is uncertain, and may not become evident for some period of time. This document does not discuss such legislation or the manner in which it might affect us or purchasers of our common stock. Prospective investors are urged to consult with their legal and tax advisors with respect to the Tax Act and any other regulatory or administrative developments and proposals, and their potential effects on them based on their unique circumstances.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COVID-19 Pandemic</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could have a material adverse effect on our business if new variants continue to circulate and government control measures are reinstated.</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COVID-19 pandemic presented substantial public health challenges and negatively impacted the global economy, global supply chains, and the global healthcare system, including the conduct of clinical trials in the U.S. and other parts of the world. New variants continue to circulate, and uncertainty remains as to whether restrictions that have been lifted will be reinstated or new measures will be implemented to address the spread of new variants. The extent to which the COVID-19 pandemic continues to impact our business and operating results will depend on future developments that cannot be accurately predicted. Should the COVID-19 pandemic worsen and government restrictions be reinstated, our business operations could be materially delayed or interrupted. For instance, our supply chain may be disrupted; health authority inspections of clinical sites, marketing application sponsor, CROs, or manufacturing facilities or review of our regulatory submissions may be delayed; and our commercialization efforts may be impacted.</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we may encounter delays in our clinical development program. The majority of our clinical trials involve patients with multiple sclerosis who may be at higher risk of infection. These patients are thus more likely to be subject to travel restrictions and self-quarantining and may be more likely to withdraw from our clinical trials or unable to complete study assessments, which may affect our ability to meet our projected timelines. Further, patients and healthcare providers have raised concerns that B-cell targeted agents, like anti-CD20 antibodies, may increase the risk of acquiring COVID-19 or lead to more severe complications or outcomes upon infection, including death, which could have a material adverse effect on our product and product candidates by negatively impacting, among other things:</w:t>
      </w:r>
    </w:p>
    <w:p>
      <w:pPr>
        <w:spacing w:after="0" w:line="189" w:lineRule="exact"/>
        <w:rPr>
          <w:sz w:val="20"/>
          <w:szCs w:val="20"/>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w:t>
      </w:r>
    </w:p>
    <w:p>
      <w:pPr>
        <w:spacing w:after="0" w:line="27"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review and approval;</w:t>
      </w:r>
    </w:p>
    <w:p>
      <w:pPr>
        <w:spacing w:after="0" w:line="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labeling, if approved, including restrictions on use or other warnings, or</w:t>
      </w:r>
    </w:p>
    <w:p>
      <w:pPr>
        <w:spacing w:after="0" w:line="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among patients, healthcare providers, and payors, if approved.</w:t>
      </w:r>
    </w:p>
    <w:p>
      <w:pPr>
        <w:spacing w:after="0" w:line="207"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pandemic also may adversely affect our ability to complete ongoing clinical trials or conduct new trials. Some factors from the COVID-19 outbreak that may delay or otherwise adversely affect our clinical trial programs, as well as adversely impact our business generally, include, among other things:</w:t>
      </w:r>
    </w:p>
    <w:p>
      <w:pPr>
        <w:spacing w:after="0" w:line="176" w:lineRule="exact"/>
        <w:rPr>
          <w:sz w:val="20"/>
          <w:szCs w:val="20"/>
          <w:color w:val="auto"/>
        </w:rPr>
      </w:pPr>
    </w:p>
    <w:p>
      <w:pPr>
        <w:jc w:val="both"/>
        <w:ind w:left="1040" w:right="79" w:hanging="315"/>
        <w:spacing w:after="0" w:line="255"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and retaining clinical sites, impacts on compliance with clinical study protocols, delays enrolling patients in our clinical trials, decreased enrollment in our clinical trials or increased rates of patients withdrawing from our clinical trials following enrollment;</w:t>
      </w:r>
    </w:p>
    <w:p>
      <w:pPr>
        <w:spacing w:after="0" w:line="2"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to clinical results, including an increased number of observed adverse events, as a result of participants enrolled in our clinical trials contracting COVID-19;</w:t>
      </w:r>
    </w:p>
    <w:p>
      <w:pPr>
        <w:jc w:val="both"/>
        <w:ind w:left="1040" w:right="79" w:hanging="315"/>
        <w:spacing w:after="0" w:line="250"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and product candidates from our contract manufacturing organizations due to staffing shortages, production slowdowns or stoppages or interruption in global shipping that may affect the transport of clinical trial materials;</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or delays to regulatory reviews, responses, inspections, or other regulatory activities, including review of marketing applications and approvals of protocol changes or amendments to SPAs, as a result of the spread of COVID-19 affecting the operations of the FDA or other regulatory authorities;</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COVID-19 pandemic which may require us to change the ways in which clinical trials are conducted, which may result in unexpected costs, or to discontinue the clinical trials altogether; and</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effects on the quality, completeness, integrity, interpretability, and cost of our clinical study data.</w:t>
      </w:r>
    </w:p>
    <w:p>
      <w:pPr>
        <w:spacing w:after="0" w:line="20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potential disruptions and other impacts discussed above and other consequences of the COVID-19 pandemic could result in missed study visits or study procedures in our clinical trials, which could lead to an abundance of protocol deviations that impact the interpretability of the trial results. A significant number of deviations may call into question whether the execution of a clinical trial was consistent with the protocol, which is of particular importance where study designs were agreed to as part of a SPA, as in the case of our Phase 3 clinical trial for ublituximab in RMS. In extreme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cases, significant deviations from the protocol may be considered a violation of the SPA. The impacts of COVID-19 on clinical studies described above may be greater in geographies outside the U.S., including in Eastern European countries where we have a number of study sites for ULTIMATE I and II.</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the event government-imposed restrictions related to COVID-19 that have been lifted are reinstated or new measures are implemented to address the spread of new variants, our ability to successfully commercialize our product or any of our product candidates for which we in the future obtain regulatory approval also may be adversely impacted. In response to the COVID-19 pandemic, many healthcare institutions reduced access of pharmaceutical and biotechnology companies to healthcare providers as part of their safety measures. Should limitations on access continue, our commercialization activities, including the manner in which our field teams engage with healthcare providers and facilities, may limit our ability to provide product education and information, which could slow adoption and impact sales.</w:t>
      </w:r>
    </w:p>
    <w:p>
      <w:pPr>
        <w:spacing w:after="0" w:line="18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will continue to monitor the potential impact of COVID-19 on our business; however, the full extent to which the COVID-19 pandemic may directly or indirectly impact the progress of our current and planned trials will depend on future developments that are uncertain and cannot be accurately predicted.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 and Being a Publicly Traded Company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and we expect it to remain, volatile, which could limit investors’ ability to sell stock at a profit.</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subject to wide fluctuations in price in response to various factors, many of which are beyond our control. These factors include, among others:</w:t>
      </w:r>
    </w:p>
    <w:p>
      <w:pPr>
        <w:spacing w:after="0" w:line="162" w:lineRule="exact"/>
        <w:rPr>
          <w:sz w:val="20"/>
          <w:szCs w:val="20"/>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reception and success of BRIUMVI in the market;</w:t>
      </w:r>
    </w:p>
    <w:p>
      <w:pPr>
        <w:spacing w:after="0" w:line="15" w:lineRule="exact"/>
        <w:rPr>
          <w:rFonts w:ascii="Times New Roman" w:cs="Times New Roman" w:eastAsia="Times New Roman" w:hAnsi="Times New Roman"/>
          <w:sz w:val="18"/>
          <w:szCs w:val="18"/>
          <w:color w:val="auto"/>
        </w:rPr>
      </w:pPr>
    </w:p>
    <w:p>
      <w:pPr>
        <w:ind w:left="1040" w:right="79" w:hanging="315"/>
        <w:spacing w:after="0" w:line="226"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actual or potential clinical results relating to our product or products under development by our competitors or us;</w:t>
      </w:r>
    </w:p>
    <w:p>
      <w:pPr>
        <w:spacing w:after="0" w:line="1" w:lineRule="exact"/>
        <w:rPr>
          <w:rFonts w:ascii="Times New Roman" w:cs="Times New Roman" w:eastAsia="Times New Roman" w:hAnsi="Times New Roman"/>
          <w:sz w:val="18"/>
          <w:szCs w:val="18"/>
          <w:color w:val="auto"/>
        </w:rPr>
      </w:pPr>
    </w:p>
    <w:p>
      <w:pPr>
        <w:ind w:left="1040" w:right="79" w:hanging="315"/>
        <w:spacing w:after="0" w:line="226"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initiating, completing or analyzing nonclinical or clinical trials or the unsatisfactory design or results of these trials;</w:t>
      </w:r>
    </w:p>
    <w:p>
      <w:pPr>
        <w:spacing w:after="0" w:line="1" w:lineRule="exact"/>
        <w:rPr>
          <w:rFonts w:ascii="Times New Roman" w:cs="Times New Roman" w:eastAsia="Times New Roman" w:hAnsi="Times New Roman"/>
          <w:sz w:val="18"/>
          <w:szCs w:val="18"/>
          <w:color w:val="auto"/>
        </w:rPr>
      </w:pPr>
    </w:p>
    <w:p>
      <w:pPr>
        <w:ind w:left="1040" w:hanging="315"/>
        <w:spacing w:after="0" w:line="234"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or rejection of regulatory approvals by us or our competitors;</w:t>
      </w:r>
    </w:p>
    <w:p>
      <w:pPr>
        <w:jc w:val="both"/>
        <w:ind w:left="1040" w:right="79" w:hanging="315"/>
        <w:spacing w:after="0" w:line="230"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review for products and product candidates we may develop, and any adverse development or perceived adverse development with respect to the applicable regulatory authority’s review of such filings, including without limitation a change to the projected approval date, scheduling of an advisory committee meeting or issuance of a “refusal to file” letter;</w:t>
      </w:r>
    </w:p>
    <w:p>
      <w:pPr>
        <w:spacing w:after="0" w:line="3" w:lineRule="exact"/>
        <w:rPr>
          <w:rFonts w:ascii="Times New Roman" w:cs="Times New Roman" w:eastAsia="Times New Roman" w:hAnsi="Times New Roman"/>
          <w:sz w:val="18"/>
          <w:szCs w:val="18"/>
          <w:color w:val="auto"/>
        </w:rPr>
      </w:pPr>
    </w:p>
    <w:p>
      <w:pPr>
        <w:ind w:left="1040" w:hanging="315"/>
        <w:spacing w:after="0" w:line="234"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commercial products by our competitors or us;</w:t>
      </w:r>
    </w:p>
    <w:p>
      <w:pPr>
        <w:ind w:left="1040" w:hanging="315"/>
        <w:spacing w:after="0" w:line="234"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proprietary rights, including patents;</w:t>
      </w:r>
    </w:p>
    <w:p>
      <w:pPr>
        <w:ind w:left="1040" w:hanging="315"/>
        <w:spacing w:after="0" w:line="234"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collaborations;</w:t>
      </w:r>
    </w:p>
    <w:p>
      <w:pPr>
        <w:ind w:left="1040" w:hanging="315"/>
        <w:spacing w:after="0" w:line="234"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ind w:left="1040" w:right="79" w:hanging="315"/>
        <w:spacing w:after="0" w:line="226"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other crises and other external factors such as the disruptions in the global economy caused by the COVID-19 pandemic and the conflict between Russia and Ukraine;</w:t>
      </w:r>
    </w:p>
    <w:p>
      <w:pPr>
        <w:spacing w:after="0" w:line="1" w:lineRule="exact"/>
        <w:rPr>
          <w:rFonts w:ascii="Times New Roman" w:cs="Times New Roman" w:eastAsia="Times New Roman" w:hAnsi="Times New Roman"/>
          <w:sz w:val="18"/>
          <w:szCs w:val="18"/>
          <w:color w:val="auto"/>
        </w:rPr>
      </w:pPr>
    </w:p>
    <w:p>
      <w:pPr>
        <w:ind w:left="1040" w:hanging="315"/>
        <w:spacing w:after="0" w:line="234"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revenues and other results of operations;</w:t>
      </w:r>
    </w:p>
    <w:p>
      <w:pPr>
        <w:ind w:left="1040" w:hanging="315"/>
        <w:spacing w:after="0" w:line="234"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our revenue projections or guidance;</w:t>
      </w:r>
    </w:p>
    <w:p>
      <w:pPr>
        <w:ind w:left="1040" w:hanging="315"/>
        <w:spacing w:after="0" w:line="234"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 and</w:t>
      </w: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will not be able to control many of these factors, and we believe that period-to-period comparisons of our financial results will not necessarily be indicative of our future performance.</w:t>
      </w:r>
    </w:p>
    <w:p>
      <w:pPr>
        <w:spacing w:after="0" w:line="135" w:lineRule="exact"/>
        <w:rPr>
          <w:sz w:val="20"/>
          <w:szCs w:val="20"/>
          <w:color w:val="auto"/>
        </w:rPr>
      </w:pPr>
    </w:p>
    <w:p>
      <w:pPr>
        <w:jc w:val="both"/>
        <w:ind w:left="60" w:right="59" w:firstLine="648"/>
        <w:spacing w:after="0" w:line="239"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 As a result of this volatility, investors may not be able to sell their common stock at or above the price paid for the shares.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under the First Amendment with Hercules, we are currently restricted from paying cash dividends, and we expect these restrictions to continue in the future. Furthermore, the terms of any future debt agreements may continue to preclude us from paying dividends. As a result, capital appreciation, if any, of our common stock will be the sole source of gain for our stockholders for the foreseeable future.</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and investors may not be able to resell their shares at or above the price they paid.</w:t>
      </w:r>
    </w:p>
    <w:p>
      <w:pPr>
        <w:spacing w:after="0" w:line="15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7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5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increased costs as a result of operating as a public company, and our management is required to devote substantial time to compliance initiatives.</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under the Sarbanes-Oxley Act of 2002, as well as rules subsequently implemented by the SEC, and the rules of any stock exchange on which we are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the SEC or other regulatory authorities, which would require additional financial and management resources, costly litigation or a loss of public confidence in our internal control over financial reporting, which could have an adverse effect on the market price of our stock.</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Volatility in the price of our common stock may subject us to securities and shareholder derivative litigation, which could cause us to incur substantial costs and divert management’s attention, financial resources and other company assets.</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past, securities class action and shareholder derivative litigation has often been brought against a company following periods of volatility in the market price of its securities. This risk is especially relevant for us because pharmaceutical companies have experienced significant stock price volatility in recent years. Past lawsuits and any future lawsuits to which we may become a party are subject to inherent uncertainties and will likely be expensive and time-consuming to investigate, defend, and resolve, and will divert our management’s attention and financial and other resources. The outcome of litigation is necessarily uncertain, and we could be forced to expend significant resources in the defense of these and other suits in which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w:t>
      </w:r>
    </w:p>
    <w:p>
      <w:pPr>
        <w:spacing w:after="0" w:line="190"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OF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exhibits listed on the Exhibit Index are included with this report.</w:t>
      </w:r>
    </w:p>
    <w:p>
      <w:pPr>
        <w:spacing w:after="0" w:line="212"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3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First Amendment to Amended and Restated Loan and Security Agreement, dated March</w:t>
            </w:r>
          </w:p>
        </w:tc>
        <w:tc>
          <w:tcPr>
            <w:tcW w:w="80" w:type="dxa"/>
            <w:vAlign w:val="bottom"/>
            <w:gridSpan w:val="3"/>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64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31, 2023, by and among TG Therapeutics, Inc., TG Biologics, Inc. and Hercules Capital,</w:t>
            </w:r>
          </w:p>
        </w:tc>
        <w:tc>
          <w:tcPr>
            <w:tcW w:w="60" w:type="dxa"/>
            <w:vAlign w:val="bottom"/>
            <w:gridSpan w:val="2"/>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2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Inc.</w:t>
            </w:r>
          </w:p>
        </w:tc>
        <w:tc>
          <w:tcPr>
            <w:tcW w:w="6180" w:type="dxa"/>
            <w:vAlign w:val="bottom"/>
            <w:gridSpan w:val="17"/>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6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Amended and Restated Warrant Agreement, dated March 31, 2023, by and between TG</w:t>
            </w:r>
          </w:p>
        </w:tc>
      </w:tr>
      <w:tr>
        <w:trPr>
          <w:trHeight w:val="196"/>
        </w:trPr>
        <w:tc>
          <w:tcPr>
            <w:tcW w:w="1500" w:type="dxa"/>
            <w:vAlign w:val="bottom"/>
          </w:tcPr>
          <w:p>
            <w:pPr>
              <w:spacing w:after="0"/>
              <w:rPr>
                <w:sz w:val="17"/>
                <w:szCs w:val="17"/>
                <w:color w:val="auto"/>
              </w:rPr>
            </w:pPr>
          </w:p>
        </w:tc>
        <w:tc>
          <w:tcPr>
            <w:tcW w:w="630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Therapeutics, Inc. and Hercules Capital Inc.</w:t>
            </w:r>
          </w:p>
        </w:tc>
        <w:tc>
          <w:tcPr>
            <w:tcW w:w="160" w:type="dxa"/>
            <w:vAlign w:val="bottom"/>
            <w:gridSpan w:val="5"/>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6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Amended and Restated Warrant Agreement, dated March 31, 2023, by and between TG</w:t>
            </w:r>
          </w:p>
        </w:tc>
      </w:tr>
      <w:tr>
        <w:trPr>
          <w:trHeight w:val="196"/>
        </w:trPr>
        <w:tc>
          <w:tcPr>
            <w:tcW w:w="150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Therapeutics, Inc. and Hercules Funding IV, LLC.</w:t>
            </w:r>
          </w:p>
        </w:tc>
        <w:tc>
          <w:tcPr>
            <w:tcW w:w="2680" w:type="dxa"/>
            <w:vAlign w:val="bottom"/>
            <w:tcBorders>
              <w:top w:val="single" w:sz="8" w:color="0000EE"/>
            </w:tcBorders>
            <w:gridSpan w:val="8"/>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6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Amended and Restated Warrant Agreement, dated March 31, 2023, by and between TG</w:t>
            </w:r>
          </w:p>
        </w:tc>
      </w:tr>
      <w:tr>
        <w:trPr>
          <w:trHeight w:val="196"/>
        </w:trPr>
        <w:tc>
          <w:tcPr>
            <w:tcW w:w="1500" w:type="dxa"/>
            <w:vAlign w:val="bottom"/>
          </w:tcPr>
          <w:p>
            <w:pPr>
              <w:spacing w:after="0"/>
              <w:rPr>
                <w:sz w:val="17"/>
                <w:szCs w:val="17"/>
                <w:color w:val="auto"/>
              </w:rPr>
            </w:pPr>
          </w:p>
        </w:tc>
        <w:tc>
          <w:tcPr>
            <w:tcW w:w="630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Therapeutics, Inc. and Hercules Private Credit Fund 1 L.P.</w:t>
            </w:r>
          </w:p>
        </w:tc>
        <w:tc>
          <w:tcPr>
            <w:tcW w:w="160" w:type="dxa"/>
            <w:vAlign w:val="bottom"/>
            <w:gridSpan w:val="5"/>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6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Amended and Restated Warrant Agreement, dated March 31, 2023, by and between TG</w:t>
            </w:r>
          </w:p>
        </w:tc>
      </w:tr>
      <w:tr>
        <w:trPr>
          <w:trHeight w:val="196"/>
        </w:trPr>
        <w:tc>
          <w:tcPr>
            <w:tcW w:w="1500" w:type="dxa"/>
            <w:vAlign w:val="bottom"/>
          </w:tcPr>
          <w:p>
            <w:pPr>
              <w:spacing w:after="0"/>
              <w:rPr>
                <w:sz w:val="17"/>
                <w:szCs w:val="17"/>
                <w:color w:val="auto"/>
              </w:rPr>
            </w:pPr>
          </w:p>
        </w:tc>
        <w:tc>
          <w:tcPr>
            <w:tcW w:w="54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Therapeutics, Inc. and Hercules Private Global Venture Growth Fund I L.P.</w:t>
            </w:r>
          </w:p>
        </w:tc>
        <w:tc>
          <w:tcPr>
            <w:tcW w:w="880" w:type="dxa"/>
            <w:vAlign w:val="bottom"/>
            <w:tcBorders>
              <w:top w:val="single" w:sz="8" w:color="0000EE"/>
            </w:tcBorders>
            <w:gridSpan w:val="4"/>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62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Warrant Agreement, dated March 31, 2023, by and between TG Therapeutics, Inc. and</w:t>
            </w:r>
          </w:p>
        </w:tc>
        <w:tc>
          <w:tcPr>
            <w:tcW w:w="220" w:type="dxa"/>
            <w:vAlign w:val="bottom"/>
            <w:gridSpan w:val="6"/>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6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Hercules Capital Inc.</w:t>
            </w:r>
          </w:p>
        </w:tc>
      </w:tr>
      <w:tr>
        <w:trPr>
          <w:trHeight w:val="20"/>
        </w:trPr>
        <w:tc>
          <w:tcPr>
            <w:tcW w:w="150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62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Warrant Agreement, dated March 31, 2023, by and between TG Therapeutics, Inc. and</w:t>
            </w:r>
          </w:p>
        </w:tc>
        <w:tc>
          <w:tcPr>
            <w:tcW w:w="220" w:type="dxa"/>
            <w:vAlign w:val="bottom"/>
            <w:gridSpan w:val="6"/>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6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Hercules Private Credit Fund 1 L.P.</w:t>
            </w:r>
          </w:p>
        </w:tc>
      </w:tr>
      <w:tr>
        <w:trPr>
          <w:trHeight w:val="20"/>
        </w:trPr>
        <w:tc>
          <w:tcPr>
            <w:tcW w:w="1500" w:type="dxa"/>
            <w:vAlign w:val="bottom"/>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62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Warrant Agreement, dated March 31, 2023, by and between TG Therapeutics, Inc. and</w:t>
            </w:r>
          </w:p>
        </w:tc>
        <w:tc>
          <w:tcPr>
            <w:tcW w:w="220" w:type="dxa"/>
            <w:vAlign w:val="bottom"/>
            <w:gridSpan w:val="6"/>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37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Hercules Private Global Venture Growth Fund I L.P.</w:t>
            </w:r>
          </w:p>
        </w:tc>
        <w:tc>
          <w:tcPr>
            <w:tcW w:w="2680" w:type="dxa"/>
            <w:vAlign w:val="bottom"/>
            <w:gridSpan w:val="12"/>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64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13a-14(a)/15d-14(a), as adopted</w:t>
            </w:r>
          </w:p>
        </w:tc>
      </w:tr>
      <w:tr>
        <w:trPr>
          <w:trHeight w:val="196"/>
        </w:trPr>
        <w:tc>
          <w:tcPr>
            <w:tcW w:w="1500" w:type="dxa"/>
            <w:vAlign w:val="bottom"/>
          </w:tcPr>
          <w:p>
            <w:pPr>
              <w:spacing w:after="0"/>
              <w:rPr>
                <w:sz w:val="17"/>
                <w:szCs w:val="17"/>
                <w:color w:val="auto"/>
              </w:rPr>
            </w:pPr>
          </w:p>
        </w:tc>
        <w:tc>
          <w:tcPr>
            <w:tcW w:w="57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Sarbanes-Oxley Act of 2002, dated May 8, 2023.</w:t>
            </w:r>
          </w:p>
        </w:tc>
        <w:tc>
          <w:tcPr>
            <w:tcW w:w="700" w:type="dxa"/>
            <w:vAlign w:val="bottom"/>
            <w:gridSpan w:val="7"/>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64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13a-14(a)/15d-14(a), as adopted</w:t>
            </w:r>
          </w:p>
        </w:tc>
        <w:tc>
          <w:tcPr>
            <w:tcW w:w="40" w:type="dxa"/>
            <w:vAlign w:val="bottom"/>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6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 dated May 8, 2023.</w:t>
            </w:r>
          </w:p>
        </w:tc>
      </w:tr>
      <w:tr>
        <w:trPr>
          <w:trHeight w:val="20"/>
        </w:trPr>
        <w:tc>
          <w:tcPr>
            <w:tcW w:w="1500" w:type="dxa"/>
            <w:vAlign w:val="bottom"/>
          </w:tcPr>
          <w:p>
            <w:pPr>
              <w:spacing w:after="0" w:line="20" w:lineRule="exact"/>
              <w:rPr>
                <w:sz w:val="1"/>
                <w:szCs w:val="1"/>
                <w:color w:val="auto"/>
              </w:rPr>
            </w:pPr>
          </w:p>
        </w:tc>
        <w:tc>
          <w:tcPr>
            <w:tcW w:w="5080" w:type="dxa"/>
            <w:vAlign w:val="bottom"/>
            <w:gridSpan w:val="8"/>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6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1350, as adopted pursuant</w:t>
            </w:r>
          </w:p>
        </w:tc>
      </w:tr>
      <w:tr>
        <w:trPr>
          <w:trHeight w:val="196"/>
        </w:trPr>
        <w:tc>
          <w:tcPr>
            <w:tcW w:w="1500" w:type="dxa"/>
            <w:vAlign w:val="bottom"/>
          </w:tcPr>
          <w:p>
            <w:pPr>
              <w:spacing w:after="0"/>
              <w:rPr>
                <w:sz w:val="17"/>
                <w:szCs w:val="17"/>
                <w:color w:val="auto"/>
              </w:rPr>
            </w:pPr>
          </w:p>
        </w:tc>
        <w:tc>
          <w:tcPr>
            <w:tcW w:w="64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to Section 906 of the Sarbanes-Oxley Act of 2002, dated May 8, 2023.</w:t>
            </w:r>
          </w:p>
        </w:tc>
        <w:tc>
          <w:tcPr>
            <w:tcW w:w="60" w:type="dxa"/>
            <w:vAlign w:val="bottom"/>
            <w:gridSpan w:val="2"/>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5080" w:type="dxa"/>
            <w:vAlign w:val="bottom"/>
            <w:gridSpan w:val="8"/>
            <w:shd w:val="clear" w:color="auto" w:fill="0000EE"/>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63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18 U.S.C. 1350, as adopted pursuant</w:t>
            </w:r>
          </w:p>
        </w:tc>
        <w:tc>
          <w:tcPr>
            <w:tcW w:w="100" w:type="dxa"/>
            <w:vAlign w:val="bottom"/>
            <w:gridSpan w:val="4"/>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6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to Section 906 of the Sarbanes-Oxley Act of 2002, dated May 8, 2023.</w:t>
            </w:r>
          </w:p>
        </w:tc>
      </w:tr>
      <w:tr>
        <w:trPr>
          <w:trHeight w:val="20"/>
        </w:trPr>
        <w:tc>
          <w:tcPr>
            <w:tcW w:w="1500" w:type="dxa"/>
            <w:vAlign w:val="bottom"/>
          </w:tcPr>
          <w:p>
            <w:pPr>
              <w:spacing w:after="0" w:line="20" w:lineRule="exact"/>
              <w:rPr>
                <w:sz w:val="1"/>
                <w:szCs w:val="1"/>
                <w:color w:val="auto"/>
              </w:rPr>
            </w:pPr>
          </w:p>
        </w:tc>
        <w:tc>
          <w:tcPr>
            <w:tcW w:w="5080" w:type="dxa"/>
            <w:vAlign w:val="bottom"/>
            <w:gridSpan w:val="8"/>
            <w:shd w:val="clear" w:color="auto" w:fill="0000EE"/>
          </w:tcPr>
          <w:p>
            <w:pPr>
              <w:spacing w:after="0" w:line="20" w:lineRule="exact"/>
              <w:rPr>
                <w:sz w:val="1"/>
                <w:szCs w:val="1"/>
                <w:color w:val="auto"/>
              </w:rPr>
            </w:pPr>
          </w:p>
        </w:tc>
        <w:tc>
          <w:tcPr>
            <w:tcW w:w="1380" w:type="dxa"/>
            <w:vAlign w:val="bottom"/>
            <w:gridSpan w:val="10"/>
          </w:tcPr>
          <w:p>
            <w:pPr>
              <w:spacing w:after="0" w:line="20" w:lineRule="exact"/>
              <w:rPr>
                <w:sz w:val="1"/>
                <w:szCs w:val="1"/>
                <w:color w:val="auto"/>
              </w:rPr>
            </w:pPr>
          </w:p>
        </w:tc>
      </w:tr>
      <w:tr>
        <w:trPr>
          <w:trHeight w:val="21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auto"/>
                <w:w w:val="99"/>
              </w:rPr>
              <w:t>The following financial information from the Company’s Quarterly Report on Form 10-Q</w:t>
            </w:r>
          </w:p>
        </w:tc>
      </w:tr>
      <w:tr>
        <w:trPr>
          <w:trHeight w:val="216"/>
        </w:trPr>
        <w:tc>
          <w:tcPr>
            <w:tcW w:w="1500" w:type="dxa"/>
            <w:vAlign w:val="bottom"/>
          </w:tcPr>
          <w:p>
            <w:pPr>
              <w:spacing w:after="0"/>
              <w:rPr>
                <w:sz w:val="18"/>
                <w:szCs w:val="18"/>
                <w:color w:val="auto"/>
              </w:rPr>
            </w:pP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for the period ended March 31, 2023, formatted in Inline Extensible Business Reporting</w:t>
            </w:r>
          </w:p>
        </w:tc>
      </w:tr>
      <w:tr>
        <w:trPr>
          <w:trHeight w:val="216"/>
        </w:trPr>
        <w:tc>
          <w:tcPr>
            <w:tcW w:w="1500" w:type="dxa"/>
            <w:vAlign w:val="bottom"/>
          </w:tcPr>
          <w:p>
            <w:pPr>
              <w:spacing w:after="0"/>
              <w:rPr>
                <w:sz w:val="18"/>
                <w:szCs w:val="18"/>
                <w:color w:val="auto"/>
              </w:rPr>
            </w:pP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Language (iXBRL): (i) the Condensed Consolidated Balance Sheets, (ii) the Condensed</w:t>
            </w:r>
          </w:p>
        </w:tc>
      </w:tr>
      <w:tr>
        <w:trPr>
          <w:trHeight w:val="216"/>
        </w:trPr>
        <w:tc>
          <w:tcPr>
            <w:tcW w:w="1500" w:type="dxa"/>
            <w:vAlign w:val="bottom"/>
          </w:tcPr>
          <w:p>
            <w:pPr>
              <w:spacing w:after="0"/>
              <w:rPr>
                <w:sz w:val="18"/>
                <w:szCs w:val="18"/>
                <w:color w:val="auto"/>
              </w:rPr>
            </w:pP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Consolidated Statements of Operations, (iii) the Condensed Consolidated Statements of</w:t>
            </w:r>
          </w:p>
        </w:tc>
      </w:tr>
      <w:tr>
        <w:trPr>
          <w:trHeight w:val="216"/>
        </w:trPr>
        <w:tc>
          <w:tcPr>
            <w:tcW w:w="1500" w:type="dxa"/>
            <w:vAlign w:val="bottom"/>
          </w:tcPr>
          <w:p>
            <w:pPr>
              <w:spacing w:after="0"/>
              <w:rPr>
                <w:sz w:val="18"/>
                <w:szCs w:val="18"/>
                <w:color w:val="auto"/>
              </w:rPr>
            </w:pP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Changes in Stockholders’ Equity, (iv) the Condensed Consolidated Statements of Cash</w:t>
            </w:r>
          </w:p>
        </w:tc>
      </w:tr>
      <w:tr>
        <w:trPr>
          <w:trHeight w:val="216"/>
        </w:trPr>
        <w:tc>
          <w:tcPr>
            <w:tcW w:w="1500" w:type="dxa"/>
            <w:vAlign w:val="bottom"/>
          </w:tcPr>
          <w:p>
            <w:pPr>
              <w:spacing w:after="0"/>
              <w:rPr>
                <w:sz w:val="18"/>
                <w:szCs w:val="18"/>
                <w:color w:val="auto"/>
              </w:rPr>
            </w:pP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Flows, and (v) Notes to the Condensed Consolidated Financial Statements (filed</w:t>
            </w:r>
          </w:p>
        </w:tc>
      </w:tr>
      <w:tr>
        <w:trPr>
          <w:trHeight w:val="216"/>
        </w:trPr>
        <w:tc>
          <w:tcPr>
            <w:tcW w:w="1500" w:type="dxa"/>
            <w:vAlign w:val="bottom"/>
          </w:tcPr>
          <w:p>
            <w:pPr>
              <w:spacing w:after="0"/>
              <w:rPr>
                <w:sz w:val="18"/>
                <w:szCs w:val="18"/>
                <w:color w:val="auto"/>
              </w:rPr>
            </w:pP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herewith).</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ind w:left="380" w:right="79" w:hanging="330"/>
        <w:spacing w:after="0" w:line="260" w:lineRule="auto"/>
        <w:tabs>
          <w:tab w:leader="none" w:pos="19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601(a)(5) of Regulation S-K, schedules have been omitted and will be furnished on a supplemental basis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left="60" w:right="139" w:firstLine="49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598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TG THERAPEUTICS, INC.</w:t>
            </w:r>
          </w:p>
        </w:tc>
      </w:tr>
      <w:tr>
        <w:trPr>
          <w:trHeight w:val="432"/>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2022</w:t>
            </w:r>
          </w:p>
        </w:tc>
        <w:tc>
          <w:tcPr>
            <w:tcW w:w="598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By: /s/ Sean A. Power</w:t>
            </w:r>
          </w:p>
        </w:tc>
      </w:tr>
      <w:tr>
        <w:trPr>
          <w:trHeight w:val="191"/>
        </w:trPr>
        <w:tc>
          <w:tcPr>
            <w:tcW w:w="29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Sean A. Power</w:t>
            </w:r>
          </w:p>
        </w:tc>
      </w:tr>
      <w:tr>
        <w:trPr>
          <w:trHeight w:val="216"/>
        </w:trPr>
        <w:tc>
          <w:tcPr>
            <w:tcW w:w="29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9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AMENDMENT TO AMENDED AND RESTATED LOAN AND SECURITY AGREEMENT</w:t>
      </w:r>
    </w:p>
    <w:p>
      <w:pPr>
        <w:spacing w:after="0" w:line="22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THIS FIRST AMENDMENT TO AMENDED AND RESTATED LOAN AND SECURITY 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 as of March 31, 2023, is entered into by and among TG THERAPEUTICS, INC., a Delaware corporation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TG BIOLOGICS, INC., a Delaware corporation (“</w:t>
      </w:r>
      <w:r>
        <w:rPr>
          <w:rFonts w:ascii="Times New Roman" w:cs="Times New Roman" w:eastAsia="Times New Roman" w:hAnsi="Times New Roman"/>
          <w:sz w:val="20"/>
          <w:szCs w:val="20"/>
          <w:u w:val="single" w:color="auto"/>
          <w:color w:val="auto"/>
        </w:rPr>
        <w:t>TG Bio</w:t>
      </w:r>
      <w:r>
        <w:rPr>
          <w:rFonts w:ascii="Times New Roman" w:cs="Times New Roman" w:eastAsia="Times New Roman" w:hAnsi="Times New Roman"/>
          <w:sz w:val="20"/>
          <w:szCs w:val="20"/>
          <w:color w:val="auto"/>
        </w:rPr>
        <w:t xml:space="preserve">”; together with Parent and each of Parent’s Subsidiaries that delivers a Joinder Agreement pursuant to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 xml:space="preserve"> of the Loan Agreement (as defined below), individually and collectively, jointly and severally,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several banks and other financial institutions or entities from time to time parties hereto (collectively, referred to as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HERCULES CAPITAL, INC., a Maryland corporation, in its capacity as administrative agent and collateral agent for itself and the Lender (in such capacity,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56"/>
        <w:spacing w:after="0" w:line="249" w:lineRule="auto"/>
        <w:tabs>
          <w:tab w:leader="none" w:pos="129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Lender and Agent are parties to that certain Amended and Restated Loan and Security Agreement, dated as of December 30, 2021, (the “</w:t>
      </w:r>
      <w:r>
        <w:rPr>
          <w:rFonts w:ascii="Times New Roman" w:cs="Times New Roman" w:eastAsia="Times New Roman" w:hAnsi="Times New Roman"/>
          <w:sz w:val="20"/>
          <w:szCs w:val="20"/>
          <w:u w:val="single" w:color="auto"/>
          <w:color w:val="auto"/>
        </w:rPr>
        <w:t>Existing Loan Agreement</w:t>
      </w:r>
      <w:r>
        <w:rPr>
          <w:rFonts w:ascii="Times New Roman" w:cs="Times New Roman" w:eastAsia="Times New Roman" w:hAnsi="Times New Roman"/>
          <w:sz w:val="20"/>
          <w:szCs w:val="20"/>
          <w:color w:val="auto"/>
        </w:rPr>
        <w:t>”; and the Existing Loan Agreement as amended by this Amendment and as further amended, restated, supplemented or otherwise modified from time to time, the “</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Lender and Agent desire to modify the terms of the Existing Loan Agreement as set forth in this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w:t>
      </w:r>
    </w:p>
    <w:p>
      <w:pPr>
        <w:spacing w:after="0" w:line="19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b w:val="1"/>
          <w:bCs w:val="1"/>
          <w:color w:val="auto"/>
        </w:rPr>
        <w:t>Definitions; Interpretation.</w:t>
      </w:r>
    </w:p>
    <w:p>
      <w:pPr>
        <w:spacing w:after="0" w:line="216" w:lineRule="exact"/>
        <w:rPr>
          <w:sz w:val="20"/>
          <w:szCs w:val="20"/>
          <w:color w:val="auto"/>
        </w:rPr>
      </w:pPr>
    </w:p>
    <w:p>
      <w:pPr>
        <w:ind w:firstLine="656"/>
        <w:spacing w:after="0" w:line="273" w:lineRule="auto"/>
        <w:tabs>
          <w:tab w:leader="none" w:pos="129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Terms Defined in Loan Agreement</w:t>
      </w:r>
      <w:r>
        <w:rPr>
          <w:rFonts w:ascii="Times New Roman" w:cs="Times New Roman" w:eastAsia="Times New Roman" w:hAnsi="Times New Roman"/>
          <w:sz w:val="20"/>
          <w:szCs w:val="20"/>
          <w:color w:val="auto"/>
        </w:rPr>
        <w:t>. All capitalized terms used in this Amendment (including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recitals hereof) and not otherwise defined herein shall have the meanings assigned to them in the Loan Agreement.</w:t>
      </w:r>
    </w:p>
    <w:p>
      <w:pPr>
        <w:spacing w:after="0" w:line="151" w:lineRule="exact"/>
        <w:rPr>
          <w:rFonts w:ascii="Times New Roman" w:cs="Times New Roman" w:eastAsia="Times New Roman" w:hAnsi="Times New Roman"/>
          <w:sz w:val="20"/>
          <w:szCs w:val="20"/>
          <w:color w:val="auto"/>
        </w:rPr>
      </w:pPr>
    </w:p>
    <w:p>
      <w:pPr>
        <w:ind w:firstLine="656"/>
        <w:spacing w:after="0" w:line="273" w:lineRule="auto"/>
        <w:tabs>
          <w:tab w:leader="none" w:pos="129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Rules of Construction</w:t>
      </w:r>
      <w:r>
        <w:rPr>
          <w:rFonts w:ascii="Times New Roman" w:cs="Times New Roman" w:eastAsia="Times New Roman" w:hAnsi="Times New Roman"/>
          <w:sz w:val="20"/>
          <w:szCs w:val="20"/>
          <w:color w:val="auto"/>
        </w:rPr>
        <w:t>. The rules of construction that appear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Loan Agreement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to this Amendment and are incorporated herein by this reference.</w:t>
      </w:r>
    </w:p>
    <w:p>
      <w:pPr>
        <w:spacing w:after="0" w:line="1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b w:val="1"/>
          <w:bCs w:val="1"/>
          <w:color w:val="auto"/>
        </w:rPr>
        <w:t>Amendments to the Loan Agreement.</w:t>
      </w:r>
    </w:p>
    <w:p>
      <w:pPr>
        <w:spacing w:after="0" w:line="220" w:lineRule="exact"/>
        <w:rPr>
          <w:sz w:val="20"/>
          <w:szCs w:val="20"/>
          <w:color w:val="auto"/>
        </w:rPr>
      </w:pPr>
    </w:p>
    <w:p>
      <w:pPr>
        <w:ind w:right="20" w:firstLine="656"/>
        <w:spacing w:after="0" w:line="269" w:lineRule="auto"/>
        <w:tabs>
          <w:tab w:leader="none" w:pos="129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satisfaction of the conditions set forth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hereof, the Existing Loan Agreement is hereby amended as follows:</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 sets forth a clean copy of the Loan Agreement as amended hereby;</w:t>
      </w:r>
    </w:p>
    <w:p>
      <w:pPr>
        <w:spacing w:after="0" w:line="215"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deletions of the text in the Existing Loan Agreement (including, to the extent included in such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each Schedule or Exhibit to the Existing Loan Agreement) are indicated by </w:t>
      </w:r>
      <w:r>
        <w:rPr>
          <w:rFonts w:ascii="Times New Roman" w:cs="Times New Roman" w:eastAsia="Times New Roman" w:hAnsi="Times New Roman"/>
          <w:sz w:val="20"/>
          <w:szCs w:val="20"/>
          <w:color w:val="FF0000"/>
          <w:strike w:val="1"/>
        </w:rPr>
        <w:t>struck-through text</w:t>
      </w:r>
      <w:r>
        <w:rPr>
          <w:rFonts w:ascii="Times New Roman" w:cs="Times New Roman" w:eastAsia="Times New Roman" w:hAnsi="Times New Roman"/>
          <w:sz w:val="20"/>
          <w:szCs w:val="20"/>
          <w:color w:val="auto"/>
        </w:rPr>
        <w:t xml:space="preserve">, and insertions of text are indicated by </w:t>
      </w:r>
      <w:r>
        <w:rPr>
          <w:rFonts w:ascii="Times New Roman" w:cs="Times New Roman" w:eastAsia="Times New Roman" w:hAnsi="Times New Roman"/>
          <w:sz w:val="20"/>
          <w:szCs w:val="20"/>
          <w:b w:val="1"/>
          <w:bCs w:val="1"/>
          <w:u w:val="single" w:color="auto"/>
          <w:color w:val="0000FF"/>
        </w:rPr>
        <w:t>bold, double-underlined text</w:t>
      </w:r>
      <w:r>
        <w:rPr>
          <w:rFonts w:ascii="Times New Roman" w:cs="Times New Roman" w:eastAsia="Times New Roman" w:hAnsi="Times New Roman"/>
          <w:sz w:val="20"/>
          <w:szCs w:val="20"/>
          <w:color w:val="auto"/>
        </w:rPr>
        <w:t>.</w:t>
      </w:r>
    </w:p>
    <w:p>
      <w:pPr>
        <w:spacing w:after="0" w:line="170" w:lineRule="exact"/>
        <w:rPr>
          <w:rFonts w:ascii="Times New Roman" w:cs="Times New Roman" w:eastAsia="Times New Roman" w:hAnsi="Times New Roman"/>
          <w:sz w:val="20"/>
          <w:szCs w:val="20"/>
          <w:color w:val="auto"/>
        </w:rPr>
      </w:pPr>
    </w:p>
    <w:p>
      <w:pPr>
        <w:jc w:val="both"/>
        <w:ind w:firstLine="656"/>
        <w:spacing w:after="0" w:line="256" w:lineRule="auto"/>
        <w:tabs>
          <w:tab w:leader="none" w:pos="129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References Within Existing Loan Agreement</w:t>
      </w:r>
      <w:r>
        <w:rPr>
          <w:rFonts w:ascii="Times New Roman" w:cs="Times New Roman" w:eastAsia="Times New Roman" w:hAnsi="Times New Roman"/>
          <w:sz w:val="20"/>
          <w:szCs w:val="20"/>
          <w:color w:val="auto"/>
        </w:rPr>
        <w:t>. Each reference in the Existing Loan Agreement 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the words “hereof,” “herein,” “hereunder,” or words of like import, shall mean and be a reference to the Existing Loan Agreement as amended by this Amendment. This Amendment shall be a Loan Document.</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SECTION 3 Conditions to Effectiveness of this Amendment</w:t>
      </w:r>
      <w:r>
        <w:rPr>
          <w:rFonts w:ascii="Times New Roman" w:cs="Times New Roman" w:eastAsia="Times New Roman" w:hAnsi="Times New Roman"/>
          <w:sz w:val="20"/>
          <w:szCs w:val="20"/>
          <w:color w:val="auto"/>
        </w:rPr>
        <w:t>. The effectiveness of this Amendment shall be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Agent’s receipt of the following documents, in form and substance satisfactory to Agent, or, as applicable, the following conditions being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9" w:right="999" w:bottom="1440" w:gutter="0" w:footer="0" w:header="0"/>
        </w:sectPr>
      </w:pPr>
    </w:p>
    <w:bookmarkStart w:id="80" w:name="page81"/>
    <w:bookmarkEnd w:id="80"/>
    <w:p>
      <w:pPr>
        <w:ind w:left="1300" w:hanging="644"/>
        <w:spacing w:after="0"/>
        <w:tabs>
          <w:tab w:leader="none" w:pos="130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Agent’s receipt of this Amendment, executed by Agent, each Lender and Borrower;</w:t>
      </w:r>
    </w:p>
    <w:p>
      <w:pPr>
        <w:spacing w:after="0" w:line="215"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date hereof, (i) the representations and warranties contained in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shall be true and correct on and as of the date hereof as though made on and as of such date; and (ii) there exist no Events of Default or events that with the passage of time would result in an Event of Default; and</w:t>
      </w:r>
    </w:p>
    <w:p>
      <w:pPr>
        <w:spacing w:after="0" w:line="17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 shall have paid (i) all invoiced costs and expenses then due in accordance with </w:t>
      </w:r>
      <w:r>
        <w:rPr>
          <w:rFonts w:ascii="Times New Roman" w:cs="Times New Roman" w:eastAsia="Times New Roman" w:hAnsi="Times New Roman"/>
          <w:sz w:val="20"/>
          <w:szCs w:val="20"/>
          <w:u w:val="single" w:color="auto"/>
          <w:color w:val="auto"/>
        </w:rPr>
        <w:t>Section 8(e)</w:t>
      </w:r>
      <w:r>
        <w:rPr>
          <w:rFonts w:ascii="Times New Roman" w:cs="Times New Roman" w:eastAsia="Times New Roman" w:hAnsi="Times New Roman"/>
          <w:sz w:val="20"/>
          <w:szCs w:val="20"/>
          <w:color w:val="auto"/>
        </w:rPr>
        <w:t>, and</w:t>
      </w:r>
    </w:p>
    <w:p>
      <w:pPr>
        <w:spacing w:after="0" w:line="21"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fees, costs and expenses, if any, due and payable as of the date hereof under the Loan Agreement.</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SECTION 4 Section 2 Effective Date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 Amendment shall become effective (the “</w:t>
      </w:r>
      <w:r>
        <w:rPr>
          <w:rFonts w:ascii="Times New Roman" w:cs="Times New Roman" w:eastAsia="Times New Roman" w:hAnsi="Times New Roman"/>
          <w:sz w:val="20"/>
          <w:szCs w:val="20"/>
          <w:u w:val="single" w:color="auto"/>
          <w:color w:val="auto"/>
        </w:rPr>
        <w:t>First Amendment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xml:space="preserve">”) when Agent receives evidence, in form and substance satisfactory to Agent, that all the conditions to effectiveness set forth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below have been met which may be delivered at Borrower’s discretion; provided that Borrower shall deliver all the conditions to effectiveness set forth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below.</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SECTION 5 Conditions to Section 2 Effective Date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 Amendment shall be subject to Agent’s receipt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of the following documents, in form and substance satisfactory to Agent, or, as applicable, each of the following conditions being met:</w:t>
      </w:r>
    </w:p>
    <w:p>
      <w:pPr>
        <w:spacing w:after="0" w:line="173" w:lineRule="exact"/>
        <w:rPr>
          <w:sz w:val="20"/>
          <w:szCs w:val="20"/>
          <w:color w:val="auto"/>
        </w:rPr>
      </w:pPr>
    </w:p>
    <w:p>
      <w:pPr>
        <w:jc w:val="both"/>
        <w:ind w:firstLine="656"/>
        <w:spacing w:after="0" w:line="249" w:lineRule="auto"/>
        <w:tabs>
          <w:tab w:leader="none" w:pos="1296"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Agent’s receipt of a Warrant for each Lender, dated the First Amendment Effective Date, in form and substance satisfactory to Agent with respect to this Amendment (collectively, the “</w:t>
      </w:r>
      <w:r>
        <w:rPr>
          <w:rFonts w:ascii="Times New Roman" w:cs="Times New Roman" w:eastAsia="Times New Roman" w:hAnsi="Times New Roman"/>
          <w:sz w:val="20"/>
          <w:szCs w:val="20"/>
          <w:u w:val="single" w:color="auto"/>
          <w:color w:val="auto"/>
        </w:rPr>
        <w:t>Tranche 3A Warrants</w:t>
      </w:r>
      <w:r>
        <w:rPr>
          <w:rFonts w:ascii="Times New Roman" w:cs="Times New Roman" w:eastAsia="Times New Roman" w:hAnsi="Times New Roman"/>
          <w:sz w:val="20"/>
          <w:szCs w:val="20"/>
          <w:color w:val="auto"/>
        </w:rPr>
        <w:t>”); provided that an original of each of the Tranche 3A Warrants shall be delivered to Agent within three (3) Business Days of the First Amendment Effective Date;</w:t>
      </w:r>
    </w:p>
    <w:p>
      <w:pPr>
        <w:spacing w:after="0" w:line="179" w:lineRule="exact"/>
        <w:rPr>
          <w:rFonts w:ascii="Times New Roman" w:cs="Times New Roman" w:eastAsia="Times New Roman" w:hAnsi="Times New Roman"/>
          <w:sz w:val="20"/>
          <w:szCs w:val="20"/>
          <w:color w:val="auto"/>
        </w:rPr>
      </w:pPr>
    </w:p>
    <w:p>
      <w:pPr>
        <w:jc w:val="both"/>
        <w:ind w:firstLine="656"/>
        <w:spacing w:after="0" w:line="260" w:lineRule="auto"/>
        <w:tabs>
          <w:tab w:leader="none" w:pos="1296"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duly executed certificate of an officer of Borrower certifying and attaching copies of (i) the Certificate of Incorporation of the Borrower, certified as of a recent date by the jurisdiction of organization of Borrower and as in effect as of the First Amendment Effective Date; (ii) the Bylaws of Borrower, as in effect as of the First Amendment Effective Date;</w:t>
      </w:r>
    </w:p>
    <w:p>
      <w:pPr>
        <w:jc w:val="both"/>
        <w:ind w:firstLine="8"/>
        <w:spacing w:after="0" w:line="241" w:lineRule="auto"/>
        <w:tabs>
          <w:tab w:leader="none" w:pos="35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resolutions of Borrower’s board of directors evidencing approval of this Amendment, the Tranche 3A Warrants and the Tranche 3A Advances to be made on the First Amendment Effective Date, as such resolutions remain in full force and effect as of the First Amendment Effective Date; and (iv) a schedule setting forth the name, title and specimen signature of officers or other authorized signers on behalf of Borrower;</w:t>
      </w:r>
    </w:p>
    <w:p>
      <w:pPr>
        <w:spacing w:after="0" w:line="188"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good standing for Borrower from its jurisdiction of organization incorporation and similar certificates from all other jurisdictions in which it is qualified to do business and where the failure to be so qualified could reasonably be expected to have a Material Adverse Effect;</w:t>
      </w:r>
    </w:p>
    <w:p>
      <w:pPr>
        <w:spacing w:after="0" w:line="17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Advance Request for the Tranche 3A Advance, in accordance with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of the Loan Agreement;</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legal opinion of Borrower’s counsel in form and substance reasonably acceptable to Agent;</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documents as Agent may reasonably request;</w:t>
      </w:r>
    </w:p>
    <w:p>
      <w:pPr>
        <w:spacing w:after="0" w:line="215" w:lineRule="exact"/>
        <w:rPr>
          <w:rFonts w:ascii="Times New Roman" w:cs="Times New Roman" w:eastAsia="Times New Roman" w:hAnsi="Times New Roman"/>
          <w:sz w:val="20"/>
          <w:szCs w:val="20"/>
          <w:color w:val="auto"/>
        </w:rPr>
      </w:pPr>
    </w:p>
    <w:p>
      <w:pPr>
        <w:jc w:val="both"/>
        <w:ind w:firstLine="656"/>
        <w:spacing w:after="0" w:line="249" w:lineRule="auto"/>
        <w:tabs>
          <w:tab w:leader="none" w:pos="1296"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First Amendment Effective Date, after giving effect to the amendment of the Existing Loan Agreement contemplated hereby: (i) the representations and warranties contained in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shall be true and correct on and as of the First Amendment Effective Date as though made on and as of such date; and (ii) there shall exist no Events of Default or events that with the passage of time would result in an Event of Default;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81" w:name="page82"/>
    <w:bookmarkEnd w:id="81"/>
    <w:p>
      <w:pPr>
        <w:ind w:left="1300" w:hanging="644"/>
        <w:spacing w:after="0"/>
        <w:tabs>
          <w:tab w:leader="none" w:pos="130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 shall have paid (i) all invoiced costs and expenses then due in accordance with </w:t>
      </w:r>
      <w:r>
        <w:rPr>
          <w:rFonts w:ascii="Times New Roman" w:cs="Times New Roman" w:eastAsia="Times New Roman" w:hAnsi="Times New Roman"/>
          <w:sz w:val="20"/>
          <w:szCs w:val="20"/>
          <w:u w:val="single" w:color="auto"/>
          <w:color w:val="auto"/>
        </w:rPr>
        <w:t>Section 8(e)</w:t>
      </w:r>
      <w:r>
        <w:rPr>
          <w:rFonts w:ascii="Times New Roman" w:cs="Times New Roman" w:eastAsia="Times New Roman" w:hAnsi="Times New Roman"/>
          <w:sz w:val="20"/>
          <w:szCs w:val="20"/>
          <w:color w:val="auto"/>
        </w:rPr>
        <w:t>, and</w:t>
      </w:r>
    </w:p>
    <w:p>
      <w:pPr>
        <w:spacing w:after="0" w:line="21" w:lineRule="exact"/>
        <w:rPr>
          <w:rFonts w:ascii="Times New Roman" w:cs="Times New Roman" w:eastAsia="Times New Roman" w:hAnsi="Times New Roman"/>
          <w:sz w:val="20"/>
          <w:szCs w:val="20"/>
          <w:color w:val="auto"/>
        </w:rPr>
      </w:pPr>
    </w:p>
    <w:p>
      <w:pPr>
        <w:ind w:firstLine="8"/>
        <w:spacing w:after="0" w:line="246" w:lineRule="auto"/>
        <w:tabs>
          <w:tab w:leader="none" w:pos="31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fees, costs and expenses, if any, due and payable as of the First Amendment Effective Date under the Loan Agreement, including the Tranche 3A Facility Charge (as defined in the Loan Agreement attached hereto in Exhibit A).</w:t>
      </w:r>
    </w:p>
    <w:p>
      <w:pPr>
        <w:spacing w:after="0" w:line="17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b w:val="1"/>
          <w:bCs w:val="1"/>
          <w:color w:val="auto"/>
        </w:rPr>
        <w:t>SECTION 6 Representations and Warranties</w:t>
      </w:r>
      <w:r>
        <w:rPr>
          <w:rFonts w:ascii="Times New Roman" w:cs="Times New Roman" w:eastAsia="Times New Roman" w:hAnsi="Times New Roman"/>
          <w:sz w:val="20"/>
          <w:szCs w:val="20"/>
          <w:color w:val="auto"/>
        </w:rPr>
        <w:t>. To induce Agent and Lender to enter into this Amendment, Borrower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hereby confirms, as of the date hereof, (a) that the representations and warranties made by it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of the Loan Agreement and in the other Loan Documents are true and correct in all material respects;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such materiality qualifier shall not be applicable to any representations and warranties that already are qualified or modified by materiality in the text thereof and that any representations and warranties made as of a specific date are only true and correct in all material respects as of such date, and that no Event of Default has occurred and is continuing, (b) that no event that has had or could reasonably be expected to have a Material Adverse Effect has occurred and is continuing and Borrower is not aware of any event likely to occur that is reasonably expected to result in a Material Adverse Effect; (c) each Lender has and shall continue to have valid, enforceable and perfected first-priority liens, subject only to Permitted Liens, on and security interests in the Collateral and all other collateral heretofore granted by Borrower to Lender, pursuant to the Loan Documents or otherwise granted to or held by Lender; (d) the agreements and obligations of Borrower contained in the Loan Documents and in this Amendment constitute the legal, valid and binding obligations of Borrower, enforceable against Borrower in accordance with their respective terms, except as the enforceability thereof may be limited by bankruptcy, insolvency or other similar laws of general application affecting the enforcement of creditors’ rights or by the application of general principles of equity; and (e) the execution, delivery and performance of this Amendment by Borrower will not violate any law, rule, regulation, order, contractual obligation or organizational document of Borrower and will not result in, or require, the creation or imposition of any lien, claim or encumbrance of any kind on any of its properties or revenues. For the purposes of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each reference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of the Loan Agreement to “this Agreement,” and the words “hereof,” “herein,” “hereunder,” or words of like import in such Section, shall mean and be a reference to the Loan Agreement as amended by this Amendment.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SECTION 7 Post-Closing. </w:t>
      </w:r>
      <w:r>
        <w:rPr>
          <w:rFonts w:ascii="Times New Roman" w:cs="Times New Roman" w:eastAsia="Times New Roman" w:hAnsi="Times New Roman"/>
          <w:sz w:val="20"/>
          <w:szCs w:val="20"/>
          <w:color w:val="auto"/>
        </w:rPr>
        <w:t>Notwithstanding any provision herein or in the Loan Documents to the contrary, to the extent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actually delivered on or prior to the First Amendment Effective Date, Borrower shall deliver to Agent within fourteen</w:t>
      </w:r>
    </w:p>
    <w:p>
      <w:pPr>
        <w:ind w:right="20" w:firstLine="8"/>
        <w:spacing w:after="0" w:line="246" w:lineRule="auto"/>
        <w:tabs>
          <w:tab w:leader="none" w:pos="389"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(or such longer period as the Agent may agree to in its sole discretion) of the First Amendment Effective Date, a perfection certificate, executed by Borrower, in form and substance reasonably satisfactory to Agent.</w:t>
      </w:r>
    </w:p>
    <w:p>
      <w:pPr>
        <w:spacing w:after="0" w:line="17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8</w:t>
      </w:r>
      <w:r>
        <w:rPr>
          <w:sz w:val="20"/>
          <w:szCs w:val="20"/>
          <w:color w:val="auto"/>
        </w:rPr>
        <w:tab/>
      </w:r>
      <w:r>
        <w:rPr>
          <w:rFonts w:ascii="Times New Roman" w:cs="Times New Roman" w:eastAsia="Times New Roman" w:hAnsi="Times New Roman"/>
          <w:sz w:val="19"/>
          <w:szCs w:val="19"/>
          <w:b w:val="1"/>
          <w:bCs w:val="1"/>
          <w:color w:val="auto"/>
        </w:rPr>
        <w:t>Miscellaneous.</w:t>
      </w:r>
    </w:p>
    <w:p>
      <w:pPr>
        <w:spacing w:after="0" w:line="216"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Loan Documents Otherwise Not Affected; Reaffirmation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amended pursuant hereto or referenced herein, the Loan Agreement and the other Loan Documents shall remain unchanged and in full force and effect and are hereby ratified and confirmed in all respects. Lender’s and Agent’s execution and delivery of, or acceptance of, this Amendment shall not be deemed to create a course of dealing or otherwise create any express or implied duty by any of them to provide any other or further amendments, consents or waivers in the future.</w:t>
      </w:r>
    </w:p>
    <w:p>
      <w:pPr>
        <w:spacing w:after="0" w:line="184"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 hereby expressly (1) reaffirms, ratifies and confirms all Secured Obligations under the Loan Agreement and the other Loan Documents, (2) reaffirms, ratifies and confirms the grant of security under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of the Loan Agreement, (3) reaffirms that such grant of security in the Collateral secures all Secured Obligations under the Loan Agreement, and with effect from (and including) the First Amendment Effective Date, such grant of security in the Collateral: (x) remains in full force and effect notwithstanding the amendments expressly referenced herein; and (y) secures all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9"/>
          <w:szCs w:val="19"/>
          <w:color w:val="auto"/>
        </w:rPr>
        <w:t>Obligations under the Loan Agreement, as amended by this Amendment, and the other Loan Documents, (4) agrees that this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Amendment shall be a “Loan Document” under the Loan Agreement and (5) agrees that the Loan Agreement and each other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 Document shall remain in full force and effect following any action contemplated in connection herewith.</w:t>
      </w:r>
    </w:p>
    <w:p>
      <w:pPr>
        <w:spacing w:after="0" w:line="194" w:lineRule="exact"/>
        <w:rPr>
          <w:sz w:val="20"/>
          <w:szCs w:val="20"/>
          <w:color w:val="auto"/>
        </w:rPr>
      </w:pPr>
    </w:p>
    <w:p>
      <w:pPr>
        <w:jc w:val="both"/>
        <w:ind w:firstLine="1304"/>
        <w:spacing w:after="0" w:line="245" w:lineRule="auto"/>
        <w:tabs>
          <w:tab w:leader="none" w:pos="1944"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is not a novation and the terms and conditions of this Amendment shall be in addition to and supplemental to all terms and conditions set forth in the Loan Documents. Nothing in this Amendment is intended, or shall be construed, to constitute an accord and satisfaction of Borrower’s Secured Obligations under or in connection with the Loan Agreement and any other Loan Document or to modify, affect or impair the perfection or continuity of Agent’s security interest in, (on behalf of itself and the Lender) security titles to or other liens on any Collateral for the Secured Obligations.</w:t>
      </w:r>
    </w:p>
    <w:p>
      <w:pPr>
        <w:spacing w:after="0" w:line="180" w:lineRule="exact"/>
        <w:rPr>
          <w:rFonts w:ascii="Times New Roman" w:cs="Times New Roman" w:eastAsia="Times New Roman" w:hAnsi="Times New Roman"/>
          <w:sz w:val="20"/>
          <w:szCs w:val="20"/>
          <w:color w:val="auto"/>
        </w:rPr>
      </w:pPr>
    </w:p>
    <w:p>
      <w:pPr>
        <w:jc w:val="both"/>
        <w:ind w:firstLine="656"/>
        <w:spacing w:after="0" w:line="247" w:lineRule="auto"/>
        <w:tabs>
          <w:tab w:leader="none" w:pos="129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Conditions</w:t>
      </w:r>
      <w:r>
        <w:rPr>
          <w:rFonts w:ascii="Times New Roman" w:cs="Times New Roman" w:eastAsia="Times New Roman" w:hAnsi="Times New Roman"/>
          <w:sz w:val="20"/>
          <w:szCs w:val="20"/>
          <w:color w:val="auto"/>
        </w:rPr>
        <w:t>. For purposes of determining compliance with the conditions specified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 that has signed this Amendment shall be deemed to have consented to, approved or accepted or to be satisfied with, each document or other matter required thereunder to be consented to or approved by or acceptable or satisfactory to a Lender unless Agent shall have received notice from such Lender prior to the First Amendment Effective Date specifying its objection thereto.</w:t>
      </w:r>
    </w:p>
    <w:p>
      <w:pPr>
        <w:spacing w:after="0" w:line="180" w:lineRule="exact"/>
        <w:rPr>
          <w:rFonts w:ascii="Times New Roman" w:cs="Times New Roman" w:eastAsia="Times New Roman" w:hAnsi="Times New Roman"/>
          <w:sz w:val="20"/>
          <w:szCs w:val="20"/>
          <w:color w:val="auto"/>
        </w:rPr>
      </w:pPr>
    </w:p>
    <w:p>
      <w:pPr>
        <w:jc w:val="both"/>
        <w:ind w:firstLine="656"/>
        <w:spacing w:after="0" w:line="242" w:lineRule="auto"/>
        <w:tabs>
          <w:tab w:leader="none" w:pos="129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Release</w:t>
      </w:r>
      <w:r>
        <w:rPr>
          <w:rFonts w:ascii="Times New Roman" w:cs="Times New Roman" w:eastAsia="Times New Roman" w:hAnsi="Times New Roman"/>
          <w:sz w:val="20"/>
          <w:szCs w:val="20"/>
          <w:color w:val="auto"/>
        </w:rPr>
        <w:t>. In consideration of the agreements of Agent and each Lender contained herein and for other good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valuable consideration, the receipt and sufficiency of which are hereby acknowledged, Borrower, on behalf of itself and its successors, assigns, and other legal representatives, hereby fully, absolutely, unconditionally and irrevocably releases, remises and forever discharges Agent and each Lender, and its successors and assigns, and its present and former shareholders, affiliates, subsidiaries, divisions, predecessors, directors, officers, attorneys, employees, agents and other representatives (Agent, Lender and all such other persons being hereinafter referred to collectively as the “</w:t>
      </w:r>
      <w:r>
        <w:rPr>
          <w:rFonts w:ascii="Times New Roman" w:cs="Times New Roman" w:eastAsia="Times New Roman" w:hAnsi="Times New Roman"/>
          <w:sz w:val="20"/>
          <w:szCs w:val="20"/>
          <w:u w:val="single" w:color="auto"/>
          <w:color w:val="auto"/>
        </w:rPr>
        <w:t>Releasees</w:t>
      </w:r>
      <w:r>
        <w:rPr>
          <w:rFonts w:ascii="Times New Roman" w:cs="Times New Roman" w:eastAsia="Times New Roman" w:hAnsi="Times New Roman"/>
          <w:sz w:val="20"/>
          <w:szCs w:val="20"/>
          <w:color w:val="auto"/>
        </w:rPr>
        <w:t>” and individually as a “</w:t>
      </w:r>
      <w:r>
        <w:rPr>
          <w:rFonts w:ascii="Times New Roman" w:cs="Times New Roman" w:eastAsia="Times New Roman" w:hAnsi="Times New Roman"/>
          <w:sz w:val="20"/>
          <w:szCs w:val="20"/>
          <w:u w:val="single" w:color="auto"/>
          <w:color w:val="auto"/>
        </w:rPr>
        <w:t>Releasee</w:t>
      </w:r>
      <w:r>
        <w:rPr>
          <w:rFonts w:ascii="Times New Roman" w:cs="Times New Roman" w:eastAsia="Times New Roman" w:hAnsi="Times New Roman"/>
          <w:sz w:val="20"/>
          <w:szCs w:val="20"/>
          <w:color w:val="auto"/>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Borrower, or any of its successors, assigns or other legal representatives may now or hereafter own, hold, have or claim to have against the Releasees or any of them for, upon, or by reason of any circumstance, action, cause or thing whatsoever which arises at any time on or prior to the day and date of this Amendment, including, without limitation, for or on account of, or in relation to, or in any way in connection with the Loan Agreement, or any of the other Loan Documents or transactions thereunder or related thereto.</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Borrower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 Borrower agrees that no fact, event, circumstance, evidence or transaction which could now be asserted or which may hereafter be discovered shall affect in any manner the final, absolute and unconditional nature of the release set forth above. Notwithstanding any language herein to the contrary, this </w:t>
      </w:r>
      <w:r>
        <w:rPr>
          <w:rFonts w:ascii="Times New Roman" w:cs="Times New Roman" w:eastAsia="Times New Roman" w:hAnsi="Times New Roman"/>
          <w:sz w:val="20"/>
          <w:szCs w:val="20"/>
          <w:u w:val="single" w:color="auto"/>
          <w:color w:val="auto"/>
        </w:rPr>
        <w:t>Section 8(c)</w:t>
      </w:r>
      <w:r>
        <w:rPr>
          <w:rFonts w:ascii="Times New Roman" w:cs="Times New Roman" w:eastAsia="Times New Roman" w:hAnsi="Times New Roman"/>
          <w:sz w:val="20"/>
          <w:szCs w:val="20"/>
          <w:color w:val="auto"/>
        </w:rPr>
        <w:t xml:space="preserve"> shall not indemnify any Lender for its (or any of its Related Parties) willful misconduct, bad faith or gross negligence (to the extent determined in a final non-appealable order of a court of competent jurisdiction). The provisions of this section shall survive payment in full of the Secured Obligations, full performance of all the terms of this Amendment and the other Loan Documents.</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connection with the releases set forth above, Borrower expressly and completely waives and relinquishes any and all rights and benefits that it has or may ever have pursuant to Section 1542 of the Civil Code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83" w:name="page84"/>
    <w:bookmarkEnd w:id="83"/>
    <w:p>
      <w:pPr>
        <w:jc w:val="both"/>
        <w:spacing w:after="0" w:line="269" w:lineRule="auto"/>
        <w:rPr>
          <w:sz w:val="20"/>
          <w:szCs w:val="20"/>
          <w:color w:val="auto"/>
        </w:rPr>
      </w:pPr>
      <w:r>
        <w:rPr>
          <w:rFonts w:ascii="Times New Roman" w:cs="Times New Roman" w:eastAsia="Times New Roman" w:hAnsi="Times New Roman"/>
          <w:sz w:val="20"/>
          <w:szCs w:val="20"/>
          <w:color w:val="auto"/>
        </w:rPr>
        <w:t>the State of California, or any other similar provision of law or principle of equity in any jurisdiction pertaining to the matters released herein. Section 1542 provides as follows:</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6" w:lineRule="exact"/>
        <w:rPr>
          <w:sz w:val="20"/>
          <w:szCs w:val="20"/>
          <w:color w:val="auto"/>
        </w:rPr>
      </w:pPr>
    </w:p>
    <w:p>
      <w:pPr>
        <w:jc w:val="both"/>
        <w:ind w:firstLine="656"/>
        <w:spacing w:after="0" w:line="256" w:lineRule="auto"/>
        <w:tabs>
          <w:tab w:leader="none" w:pos="129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Reliance</w:t>
      </w:r>
      <w:r>
        <w:rPr>
          <w:rFonts w:ascii="Times New Roman" w:cs="Times New Roman" w:eastAsia="Times New Roman" w:hAnsi="Times New Roman"/>
          <w:sz w:val="20"/>
          <w:szCs w:val="20"/>
          <w:color w:val="auto"/>
        </w:rPr>
        <w:t>. Borrower hereby acknowledges and confirms to Agent and Lender that Borrower is executing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Amendment on the basis of its own investigation and for its own reasons without reliance upon any agreement, representation, understanding or communication by or on behalf of any other Person.</w:t>
      </w:r>
    </w:p>
    <w:p>
      <w:pPr>
        <w:spacing w:after="0" w:line="168" w:lineRule="exact"/>
        <w:rPr>
          <w:rFonts w:ascii="Times New Roman" w:cs="Times New Roman" w:eastAsia="Times New Roman" w:hAnsi="Times New Roman"/>
          <w:sz w:val="20"/>
          <w:szCs w:val="20"/>
          <w:color w:val="auto"/>
        </w:rPr>
      </w:pPr>
    </w:p>
    <w:p>
      <w:pPr>
        <w:jc w:val="both"/>
        <w:ind w:firstLine="656"/>
        <w:spacing w:after="0" w:line="250" w:lineRule="auto"/>
        <w:tabs>
          <w:tab w:leader="none" w:pos="129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Costs and Expenses</w:t>
      </w:r>
      <w:r>
        <w:rPr>
          <w:rFonts w:ascii="Times New Roman" w:cs="Times New Roman" w:eastAsia="Times New Roman" w:hAnsi="Times New Roman"/>
          <w:sz w:val="20"/>
          <w:szCs w:val="20"/>
          <w:color w:val="auto"/>
        </w:rPr>
        <w:t>. Borrower agrees to pay to Agent on the date hereof the out-of-pocket costs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expenses of Agent and Lender, and the fees and disbursements of counsel to Agent and Lender (including allocated costs of internal counsel) in connection with the negotiation, preparation, execution and delivery of this Amendment and any other documents to be delivered in connection herewith on the First Amendment Effective Date or after such date.</w:t>
      </w:r>
    </w:p>
    <w:p>
      <w:pPr>
        <w:spacing w:after="0" w:line="17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Binding Effect</w:t>
      </w:r>
      <w:r>
        <w:rPr>
          <w:rFonts w:ascii="Times New Roman" w:cs="Times New Roman" w:eastAsia="Times New Roman" w:hAnsi="Times New Roman"/>
          <w:sz w:val="20"/>
          <w:szCs w:val="20"/>
          <w:color w:val="auto"/>
        </w:rPr>
        <w:t>.  This Amendment binds and is for the benefit of the successors and permitted assigns of</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w:t>
      </w:r>
    </w:p>
    <w:p>
      <w:pPr>
        <w:spacing w:after="0" w:line="189" w:lineRule="exact"/>
        <w:rPr>
          <w:rFonts w:ascii="Times New Roman" w:cs="Times New Roman" w:eastAsia="Times New Roman" w:hAnsi="Times New Roman"/>
          <w:sz w:val="20"/>
          <w:szCs w:val="20"/>
          <w:color w:val="auto"/>
        </w:rPr>
      </w:pPr>
    </w:p>
    <w:p>
      <w:pPr>
        <w:jc w:val="both"/>
        <w:ind w:firstLine="656"/>
        <w:spacing w:after="0" w:line="247" w:lineRule="auto"/>
        <w:tabs>
          <w:tab w:leader="none" w:pos="129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Governing Law. </w:t>
      </w:r>
      <w:r>
        <w:rPr>
          <w:rFonts w:ascii="Times New Roman" w:cs="Times New Roman" w:eastAsia="Times New Roman" w:hAnsi="Times New Roman"/>
          <w:sz w:val="20"/>
          <w:szCs w:val="20"/>
          <w:color w:val="auto"/>
        </w:rPr>
        <w:t>This Amendment has been negotiated and delivered to Agent and Lender in the State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California, and shall have been accepted by Agent and Lender in the State of California. Payment to Agent and Lender by Borrower of the Secured Obligations is due in the State of California. This Amendment and the other Loan Documents shall be governed by, and construed and enforced in accordance with, the laws of the State of California, excluding conflict of laws principles that would cause the application of laws of any other jurisdiction.</w:t>
      </w:r>
    </w:p>
    <w:p>
      <w:pPr>
        <w:spacing w:after="0" w:line="180" w:lineRule="exact"/>
        <w:rPr>
          <w:rFonts w:ascii="Times New Roman" w:cs="Times New Roman" w:eastAsia="Times New Roman" w:hAnsi="Times New Roman"/>
          <w:sz w:val="20"/>
          <w:szCs w:val="20"/>
          <w:color w:val="auto"/>
        </w:rPr>
      </w:pPr>
    </w:p>
    <w:p>
      <w:pPr>
        <w:jc w:val="both"/>
        <w:ind w:firstLine="656"/>
        <w:spacing w:after="0" w:line="250" w:lineRule="auto"/>
        <w:tabs>
          <w:tab w:leader="none" w:pos="129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Complete Agreement; Amendments</w:t>
      </w:r>
      <w:r>
        <w:rPr>
          <w:rFonts w:ascii="Times New Roman" w:cs="Times New Roman" w:eastAsia="Times New Roman" w:hAnsi="Times New Roman"/>
          <w:sz w:val="20"/>
          <w:szCs w:val="20"/>
          <w:color w:val="auto"/>
        </w:rPr>
        <w:t>. This Amendment and the Loan Documents represent the entire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about this subject matter and supersede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w:t>
      </w:r>
    </w:p>
    <w:p>
      <w:pPr>
        <w:spacing w:after="0" w:line="175" w:lineRule="exact"/>
        <w:rPr>
          <w:rFonts w:ascii="Times New Roman" w:cs="Times New Roman" w:eastAsia="Times New Roman" w:hAnsi="Times New Roman"/>
          <w:sz w:val="20"/>
          <w:szCs w:val="20"/>
          <w:color w:val="auto"/>
        </w:rPr>
      </w:pPr>
    </w:p>
    <w:p>
      <w:pPr>
        <w:ind w:firstLine="656"/>
        <w:spacing w:after="0" w:line="273" w:lineRule="auto"/>
        <w:tabs>
          <w:tab w:leader="none" w:pos="129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Severability of Provisions. </w:t>
      </w:r>
      <w:r>
        <w:rPr>
          <w:rFonts w:ascii="Times New Roman" w:cs="Times New Roman" w:eastAsia="Times New Roman" w:hAnsi="Times New Roman"/>
          <w:sz w:val="20"/>
          <w:szCs w:val="20"/>
          <w:color w:val="auto"/>
        </w:rPr>
        <w:t>Each provision of this Amendment is severable from every other provision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determining the enforceability of any provision.</w:t>
      </w:r>
    </w:p>
    <w:p>
      <w:pPr>
        <w:spacing w:after="0" w:line="151" w:lineRule="exact"/>
        <w:rPr>
          <w:rFonts w:ascii="Times New Roman" w:cs="Times New Roman" w:eastAsia="Times New Roman" w:hAnsi="Times New Roman"/>
          <w:sz w:val="20"/>
          <w:szCs w:val="20"/>
          <w:color w:val="auto"/>
        </w:rPr>
      </w:pPr>
    </w:p>
    <w:p>
      <w:pPr>
        <w:jc w:val="both"/>
        <w:ind w:firstLine="656"/>
        <w:spacing w:after="0" w:line="256" w:lineRule="auto"/>
        <w:tabs>
          <w:tab w:leader="none" w:pos="129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Amendment may be executed in any number of counterparts, and by different parties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hereto in separate counterparts, each of which when so delivered shall be deemed an original, but all of which counterparts shall constitute but one and the same instrument.</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Loan Documents</w:t>
      </w:r>
      <w:r>
        <w:rPr>
          <w:rFonts w:ascii="Times New Roman" w:cs="Times New Roman" w:eastAsia="Times New Roman" w:hAnsi="Times New Roman"/>
          <w:sz w:val="20"/>
          <w:szCs w:val="20"/>
          <w:color w:val="auto"/>
        </w:rPr>
        <w:t>. This Amendment and the documents related thereto shall constitute a Loan Document.</w:t>
      </w:r>
    </w:p>
    <w:p>
      <w:pPr>
        <w:spacing w:after="0" w:line="215" w:lineRule="exact"/>
        <w:rPr>
          <w:rFonts w:ascii="Times New Roman" w:cs="Times New Roman" w:eastAsia="Times New Roman" w:hAnsi="Times New Roman"/>
          <w:sz w:val="20"/>
          <w:szCs w:val="20"/>
          <w:color w:val="auto"/>
        </w:rPr>
      </w:pPr>
    </w:p>
    <w:p>
      <w:pPr>
        <w:jc w:val="both"/>
        <w:ind w:firstLine="656"/>
        <w:spacing w:after="0" w:line="247" w:lineRule="auto"/>
        <w:tabs>
          <w:tab w:leader="none" w:pos="129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Electronic Execution of Certain Other Documents</w:t>
      </w:r>
      <w:r>
        <w:rPr>
          <w:rFonts w:ascii="Times New Roman" w:cs="Times New Roman" w:eastAsia="Times New Roman" w:hAnsi="Times New Roman"/>
          <w:sz w:val="20"/>
          <w:szCs w:val="20"/>
          <w:color w:val="auto"/>
        </w:rPr>
        <w:t>. The words “execution,” “execute”, “signed,”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“signature,” and words of like import in or related to any document to be signed in connection with this Amendment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84" w:name="page85"/>
    <w:bookmarkEnd w:id="84"/>
    <w:p>
      <w:pPr>
        <w:jc w:val="both"/>
        <w:spacing w:after="0" w:line="246" w:lineRule="auto"/>
        <w:rPr>
          <w:sz w:val="20"/>
          <w:szCs w:val="20"/>
          <w:color w:val="auto"/>
        </w:rPr>
      </w:pPr>
      <w:r>
        <w:rPr>
          <w:rFonts w:ascii="Times New Roman" w:cs="Times New Roman" w:eastAsia="Times New Roman" w:hAnsi="Times New Roman"/>
          <w:sz w:val="20"/>
          <w:szCs w:val="20"/>
          <w:color w:val="auto"/>
        </w:rPr>
        <w:t>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Uniform Electronic Transactions Act, or any other similar state laws based on the Uniform Electronic Transactions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85" w:name="page86"/>
    <w:bookmarkEnd w:id="85"/>
    <w:p>
      <w:pPr>
        <w:ind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Borrower, Agent and Lender have duly executed and delivered this First Amendment to Amended and Restated Loan and Security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BORROWER:</w:t>
      </w:r>
    </w:p>
    <w:p>
      <w:pPr>
        <w:spacing w:after="0" w:line="2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TG THERAPEUTICS, INC.</w:t>
      </w:r>
    </w:p>
    <w:p>
      <w:pPr>
        <w:spacing w:after="0" w:line="200" w:lineRule="exact"/>
        <w:rPr>
          <w:sz w:val="20"/>
          <w:szCs w:val="20"/>
          <w:color w:val="auto"/>
        </w:rPr>
      </w:pPr>
    </w:p>
    <w:p>
      <w:pPr>
        <w:spacing w:after="0" w:line="25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13970</wp:posOffset>
            </wp:positionV>
            <wp:extent cx="25546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4445</wp:posOffset>
            </wp:positionV>
            <wp:extent cx="25546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4445</wp:posOffset>
            </wp:positionV>
            <wp:extent cx="25546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TG BIOLOGICS, INC.</w:t>
      </w:r>
    </w:p>
    <w:p>
      <w:pPr>
        <w:spacing w:after="0" w:line="200" w:lineRule="exact"/>
        <w:rPr>
          <w:sz w:val="20"/>
          <w:szCs w:val="20"/>
          <w:color w:val="auto"/>
        </w:rPr>
      </w:pPr>
    </w:p>
    <w:p>
      <w:pPr>
        <w:spacing w:after="0" w:line="25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13970</wp:posOffset>
            </wp:positionV>
            <wp:extent cx="25546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4445</wp:posOffset>
            </wp:positionV>
            <wp:extent cx="25546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4445</wp:posOffset>
            </wp:positionV>
            <wp:extent cx="25546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First Amendment to Amended and Restated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3" w:right="10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0"/>
          <w:szCs w:val="20"/>
          <w:color w:val="auto"/>
        </w:rPr>
        <w:t>Accepted in Palo Alto, California:</w:t>
      </w:r>
    </w:p>
    <w:p>
      <w:pPr>
        <w:spacing w:after="0" w:line="24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AGENT:</w:t>
      </w:r>
    </w:p>
    <w:p>
      <w:pPr>
        <w:spacing w:after="0" w:line="2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HERCULES CAPITAL, INC.</w:t>
      </w:r>
    </w:p>
    <w:p>
      <w:pPr>
        <w:spacing w:after="0" w:line="200" w:lineRule="exact"/>
        <w:rPr>
          <w:sz w:val="20"/>
          <w:szCs w:val="20"/>
          <w:color w:val="auto"/>
        </w:rPr>
      </w:pPr>
    </w:p>
    <w:p>
      <w:pPr>
        <w:spacing w:after="0" w:line="25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3735070</wp:posOffset>
            </wp:positionH>
            <wp:positionV relativeFrom="paragraph">
              <wp:posOffset>13970</wp:posOffset>
            </wp:positionV>
            <wp:extent cx="25628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Print Name: Seth Meyer</w:t>
      </w:r>
    </w:p>
    <w:p>
      <w:pPr>
        <w:spacing w:after="0" w:line="6" w:lineRule="exact"/>
        <w:rPr>
          <w:sz w:val="20"/>
          <w:szCs w:val="20"/>
          <w:color w:val="auto"/>
        </w:rPr>
      </w:pPr>
    </w:p>
    <w:p>
      <w:pPr>
        <w:ind w:left="4820"/>
        <w:spacing w:after="0"/>
        <w:tabs>
          <w:tab w:leader="none" w:pos="58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Chief Financial Officer</w:t>
      </w:r>
    </w:p>
    <w:p>
      <w:pPr>
        <w:spacing w:after="0" w:line="200" w:lineRule="exact"/>
        <w:rPr>
          <w:sz w:val="20"/>
          <w:szCs w:val="20"/>
          <w:color w:val="auto"/>
        </w:rPr>
      </w:pPr>
    </w:p>
    <w:p>
      <w:pPr>
        <w:spacing w:after="0" w:line="23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LENDER:</w:t>
      </w:r>
    </w:p>
    <w:p>
      <w:pPr>
        <w:spacing w:after="0" w:line="2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HERCULES CAPITAL, INC.</w:t>
      </w:r>
    </w:p>
    <w:p>
      <w:pPr>
        <w:spacing w:after="0" w:line="200" w:lineRule="exact"/>
        <w:rPr>
          <w:sz w:val="20"/>
          <w:szCs w:val="20"/>
          <w:color w:val="auto"/>
        </w:rPr>
      </w:pPr>
    </w:p>
    <w:p>
      <w:pPr>
        <w:spacing w:after="0" w:line="25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3735070</wp:posOffset>
            </wp:positionH>
            <wp:positionV relativeFrom="paragraph">
              <wp:posOffset>13970</wp:posOffset>
            </wp:positionV>
            <wp:extent cx="25628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Print Name: Seth Meyer</w:t>
      </w:r>
    </w:p>
    <w:p>
      <w:pPr>
        <w:spacing w:after="0" w:line="6" w:lineRule="exact"/>
        <w:rPr>
          <w:sz w:val="20"/>
          <w:szCs w:val="20"/>
          <w:color w:val="auto"/>
        </w:rPr>
      </w:pPr>
    </w:p>
    <w:p>
      <w:pPr>
        <w:ind w:left="4820"/>
        <w:spacing w:after="0"/>
        <w:tabs>
          <w:tab w:leader="none" w:pos="58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Chief Financial Officer</w:t>
      </w:r>
    </w:p>
    <w:p>
      <w:pPr>
        <w:spacing w:after="0" w:line="200" w:lineRule="exact"/>
        <w:rPr>
          <w:sz w:val="20"/>
          <w:szCs w:val="20"/>
          <w:color w:val="auto"/>
        </w:rPr>
      </w:pPr>
    </w:p>
    <w:p>
      <w:pPr>
        <w:spacing w:after="0" w:line="23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HERCULES PRIVATE CREDIT FUND 1 L.P.</w:t>
      </w:r>
    </w:p>
    <w:p>
      <w:pPr>
        <w:spacing w:after="0" w:line="2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By: Hercules Private Global Venture Growth</w:t>
      </w:r>
    </w:p>
    <w:p>
      <w:pPr>
        <w:spacing w:after="0" w:line="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Fund GP I LLC, its general partner</w:t>
      </w:r>
    </w:p>
    <w:p>
      <w:pPr>
        <w:spacing w:after="0" w:line="20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By: Hercules Adviser LLC, its sole member</w:t>
      </w:r>
    </w:p>
    <w:p>
      <w:pPr>
        <w:spacing w:after="0" w:line="200" w:lineRule="exact"/>
        <w:rPr>
          <w:sz w:val="20"/>
          <w:szCs w:val="20"/>
          <w:color w:val="auto"/>
        </w:rPr>
      </w:pPr>
    </w:p>
    <w:p>
      <w:pPr>
        <w:spacing w:after="0" w:line="25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3735070</wp:posOffset>
            </wp:positionH>
            <wp:positionV relativeFrom="paragraph">
              <wp:posOffset>13970</wp:posOffset>
            </wp:positionV>
            <wp:extent cx="25628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Print Name: Seth Meyer</w:t>
      </w:r>
    </w:p>
    <w:p>
      <w:pPr>
        <w:spacing w:after="0" w:line="6" w:lineRule="exact"/>
        <w:rPr>
          <w:sz w:val="20"/>
          <w:szCs w:val="20"/>
          <w:color w:val="auto"/>
        </w:rPr>
      </w:pPr>
    </w:p>
    <w:p>
      <w:pPr>
        <w:ind w:left="4820"/>
        <w:spacing w:after="0"/>
        <w:tabs>
          <w:tab w:leader="none" w:pos="58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37" w:lineRule="exact"/>
        <w:rPr>
          <w:sz w:val="20"/>
          <w:szCs w:val="20"/>
          <w:color w:val="auto"/>
        </w:rPr>
      </w:pPr>
    </w:p>
    <w:p>
      <w:pPr>
        <w:ind w:left="4820"/>
        <w:spacing w:after="0" w:line="269" w:lineRule="auto"/>
        <w:rPr>
          <w:sz w:val="20"/>
          <w:szCs w:val="20"/>
          <w:color w:val="auto"/>
        </w:rPr>
      </w:pPr>
      <w:r>
        <w:rPr>
          <w:rFonts w:ascii="Times New Roman" w:cs="Times New Roman" w:eastAsia="Times New Roman" w:hAnsi="Times New Roman"/>
          <w:sz w:val="20"/>
          <w:szCs w:val="20"/>
          <w:color w:val="auto"/>
        </w:rPr>
        <w:t>HERCULES PRIVATE GLOBAL VENTURE GROWTH FUND I L.P.</w:t>
      </w:r>
    </w:p>
    <w:p>
      <w:pPr>
        <w:spacing w:after="0" w:line="17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By: Hercules Private Global Venture Growth</w:t>
      </w:r>
    </w:p>
    <w:p>
      <w:pPr>
        <w:spacing w:after="0" w:line="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Fund GP I LLC, its general partner</w:t>
      </w:r>
    </w:p>
    <w:p>
      <w:pPr>
        <w:spacing w:after="0" w:line="20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By: Hercules Adviser LLC, its sole member</w:t>
      </w:r>
    </w:p>
    <w:p>
      <w:pPr>
        <w:spacing w:after="0" w:line="200" w:lineRule="exact"/>
        <w:rPr>
          <w:sz w:val="20"/>
          <w:szCs w:val="20"/>
          <w:color w:val="auto"/>
        </w:rPr>
      </w:pPr>
    </w:p>
    <w:p>
      <w:pPr>
        <w:spacing w:after="0" w:line="25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3735070</wp:posOffset>
            </wp:positionH>
            <wp:positionV relativeFrom="paragraph">
              <wp:posOffset>13970</wp:posOffset>
            </wp:positionV>
            <wp:extent cx="25628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Print Name: Seth Meyer</w:t>
      </w:r>
    </w:p>
    <w:p>
      <w:pPr>
        <w:spacing w:after="0" w:line="6" w:lineRule="exact"/>
        <w:rPr>
          <w:sz w:val="20"/>
          <w:szCs w:val="20"/>
          <w:color w:val="auto"/>
        </w:rPr>
      </w:pPr>
    </w:p>
    <w:p>
      <w:pPr>
        <w:ind w:left="4820"/>
        <w:spacing w:after="0"/>
        <w:tabs>
          <w:tab w:leader="none" w:pos="58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First Amendment to Amended and Restated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87" w:name="page88"/>
    <w:bookmarkEnd w:id="87"/>
    <w:p>
      <w:pPr>
        <w:ind w:left="4360"/>
        <w:spacing w:after="0"/>
        <w:rPr>
          <w:sz w:val="20"/>
          <w:szCs w:val="20"/>
          <w:color w:val="auto"/>
        </w:rPr>
      </w:pPr>
      <w:r>
        <w:rPr>
          <w:rFonts w:ascii="Times New Roman" w:cs="Times New Roman" w:eastAsia="Times New Roman" w:hAnsi="Times New Roman"/>
          <w:sz w:val="20"/>
          <w:szCs w:val="20"/>
          <w:color w:val="auto"/>
        </w:rPr>
        <w:t>HERCULES FUNDING IV, LLC</w:t>
      </w:r>
    </w:p>
    <w:p>
      <w:pPr>
        <w:spacing w:after="0" w:line="200" w:lineRule="exact"/>
        <w:rPr>
          <w:sz w:val="20"/>
          <w:szCs w:val="20"/>
          <w:color w:val="auto"/>
        </w:rPr>
      </w:pPr>
    </w:p>
    <w:p>
      <w:pPr>
        <w:spacing w:after="0" w:line="25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13970</wp:posOffset>
            </wp:positionV>
            <wp:extent cx="25546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Print Name: Seth Meyer</w:t>
      </w:r>
    </w:p>
    <w:p>
      <w:pPr>
        <w:spacing w:after="0" w:line="6"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First Amendment to Amended and Restated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364490</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color w:val="auto"/>
        </w:rPr>
        <w:t>Conformed through First Amendment dated March 31,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amended and restated LOAN AND SECURITY AGREEMENT</w:t>
      </w:r>
    </w:p>
    <w:p>
      <w:pPr>
        <w:spacing w:after="0" w:line="10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THIS AMENDED AND RESTATED LOAN AND SECURITY AGREEMENT is made and dated as of December 30, 2021 and is entered into by and among TG THERAPEUTICS, INC., a Delaware corporation (the “Parent”), TG BIOLOGICS, INC., a Delaware corporation (“TG Bio”; together with Parent and each of Parent’s Subsidiaries that delivers a Joinder Agreement pursuant to Section 7.13 of this Agreement, individually and collectively, jointly and severally, the “Borrower”), the several banks and other financial institutions or entities from time to time parties to this Agreement (collectively, referred to as “Lender”) and HERCULES CAPITAL, INC., a Maryland corporation, in its capacity as administrative agent and collateral agent for itself and the Lender (in such capacity, the “Agent”). This Agreement amends and restates (without novation and solely pursuant to the terms herein) that certain Loan and Security Agreement dated as of February 28, 2019 (the “Prior Closing Date”) by among the Borrower, Agent and the banks and other financial institutions party thereto from time to time (such banks and other financial institutions party thereto immediately prior to the effectiveness of this Agreement, collectively, the “Existing Lender”) (as amended, restated, supplemented or otherwise modified prior to the date hereof, the “Existing Loan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ind w:firstLine="656"/>
        <w:spacing w:after="0" w:line="269" w:lineRule="auto"/>
        <w:tabs>
          <w:tab w:leader="none" w:pos="129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the outstanding principal balance under the Existing Loan Agreement equals Seven Million, Eight Hundred Twenty-One Thousand and Seventy-Seven Dollars ($7,821,077) (the “Existing Term Loan”);</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has requested Lender to make available to Borrower one or more term loans in an aggregate principal amount of up to Two Hundred Million Dollars ($200,000,000) (collectively, the “Term Loans”); and</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Lender is willing to make the Term Loans on the terms and conditions set forth in this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NOW, THEREFORE, Borrower, Agent and Lender agree as follows: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 DEFINITIONS AND RULES OF CONSTRUCTION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2. Unless otherwise defined herein, the following capitalized terms shall have the following meanings:</w:t>
      </w:r>
    </w:p>
    <w:p>
      <w:pPr>
        <w:spacing w:after="0" w:line="21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9"/>
          <w:szCs w:val="19"/>
          <w:color w:val="auto"/>
        </w:rPr>
        <w:t>“Account Control Agreement(s)” means any agreement entered into by and among the Agent, Borrower and a third party bank or other institution (including a Securities Intermediary) in which Borrower maintains a Deposit Account or an account holding Investment Property and which perfects Agent’s first priority security interest in the subject account or accounts, including, without limitation, any such agreements entered into in connection with the Existing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89" w:name="page90"/>
    <w:bookmarkEnd w:id="89"/>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“ACH Authorization” means the ACH Debit Authorization Agreement in substantially the form of Exhibit I, which account numbers shall be redacted for security purposes if and when filed publicly by the Borrower.</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“Advance(s)” means a Term Loan Advance.</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“Advance Date” means the funding date of any Advance.</w:t>
      </w:r>
    </w:p>
    <w:p>
      <w:pPr>
        <w:spacing w:after="0" w:line="21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“Advance Request” means a request for an Advance submitted by Borrower to Agent in substantially the form of Exhibit A, which account numbers shall be redacted for security purposes if and when filed publicly by the Borrower.</w:t>
      </w:r>
    </w:p>
    <w:p>
      <w:pPr>
        <w:spacing w:after="0" w:line="174"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0"/>
          <w:szCs w:val="20"/>
          <w:color w:val="auto"/>
        </w:rPr>
        <w:t>“Affiliate” means (a) any Person that directly or indirectly controls, is controlled by, or is under common control with the Person in question, (b) any Person directly or indirectly owning, controlling or holding with power to vote twenty percent (20%) or more of the outstanding voting securities of another Person, or (c) any Person twenty percent (20%) or more of whose outstanding voting securities are directly or indirectly owned, controlled or held by another Person with power to vote such securities. As used in the definition of “Affiliate,” the term “control” means the possession, directly or indirectly, of the power to direct or cause the direction of the management and policies of a Person, whether through ownership of voting securities, by contract or otherwise.</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“Agent” has the meaning assigned to such term in the preamble to this Agreement.</w:t>
      </w:r>
    </w:p>
    <w:p>
      <w:pPr>
        <w:spacing w:after="0" w:line="216"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“Agreement” means this Amended and Restated Loan and Security Agreement, as amended, restated, amended and restated, supplemented or otherwise modified from time to time.</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“Amortization Date” means August 1, 2025.</w:t>
      </w:r>
    </w:p>
    <w:p>
      <w:pPr>
        <w:spacing w:after="0" w:line="21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“Anti-Corruption Laws” means all laws, rules, and regulations of any jurisdiction applicable to Borrower or any of its Affiliates from time to time concerning or relating to bribery or corruption, including without limitation the United States Foreign Corrupt Practices Act of 1977, as amended, the UK Bribery Act 2010 and other similar legislation in any other jurisdictions.</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“Anti-Terrorism Laws” means any laws, rules, regulations or orders relating to terrorism or money laundering, including without limitation Executive Order No. 13224 (effective September 24, 2001), the USA PATRIOT Act, the laws comprising or implementing the Bank Secrecy Act, and the laws administered by OFAC.</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“Ariston” means Ariston Pharmaceuticals, Inc., a Delaware corporation.</w:t>
      </w:r>
    </w:p>
    <w:p>
      <w:pPr>
        <w:spacing w:after="0" w:line="21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“Ariston Notes” means those certain five percent (5%) Convertible Promissory Notes issued by Ariston to the holders thereof, in an initial aggregate principal amount outstanding not in excess of Fifteen Million Five Hundred Thousand Dollars ($15,500,000).</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“Assignee” has the meaning assigned to such term in Section 11.13.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90" w:name="page91"/>
    <w:bookmarkEnd w:id="90"/>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“Biologics License Application” means an application for licensure of a biological product submitted to the FDA under 42 U.S.C. § 262 for permission to introduce, or deliver for introduction, a biologic product into interstate commerce, and all supplements or amendments thereto.</w:t>
      </w:r>
    </w:p>
    <w:p>
      <w:pPr>
        <w:spacing w:after="0" w:line="174"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0"/>
          <w:szCs w:val="20"/>
          <w:color w:val="auto"/>
        </w:rPr>
        <w:t>“Blocked Person” means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8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“Borrower Products” means all products, software, service offerings, technical data or technology currently being designed, manufactured or sold by Borrower or which Borrower intends to sell, license, or distribute in the future including any products or service offerings under development, collectively, together with all products, software, service offerings, technical data or technology that have been sold, licensed or distributed by Borrower since its incorporation.</w:t>
      </w:r>
    </w:p>
    <w:p>
      <w:pPr>
        <w:spacing w:after="0" w:line="180"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“Business Day” means any day other than Saturday, Sunday and any other day on which banking institutions in the State of California are closed for business.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“Cash” means all cash, cash equivalents (including Cash Equivalents) and liquid funds.</w:t>
      </w:r>
    </w:p>
    <w:p>
      <w:pPr>
        <w:spacing w:after="0" w:line="216" w:lineRule="exact"/>
        <w:rPr>
          <w:sz w:val="20"/>
          <w:szCs w:val="20"/>
          <w:color w:val="auto"/>
        </w:rPr>
      </w:pPr>
    </w:p>
    <w:p>
      <w:pPr>
        <w:jc w:val="both"/>
        <w:ind w:firstLine="1296"/>
        <w:spacing w:after="0" w:line="242" w:lineRule="auto"/>
        <w:rPr>
          <w:sz w:val="20"/>
          <w:szCs w:val="20"/>
          <w:color w:val="auto"/>
        </w:rPr>
      </w:pPr>
      <w:r>
        <w:rPr>
          <w:rFonts w:ascii="Times New Roman" w:cs="Times New Roman" w:eastAsia="Times New Roman" w:hAnsi="Times New Roman"/>
          <w:sz w:val="20"/>
          <w:szCs w:val="20"/>
          <w:color w:val="auto"/>
        </w:rPr>
        <w:t>“Cash Equivalents” means: (a) marketable direct obligations issued or unconditionally guaranteed by the United States of America or any agency or any State thereof maturing within one year from the date of acquisition thereof having a rating of at least A-2 or P-2 from either Standard &amp; Poor’s Corporation or Moody’s Investors Services at the time of acquisition; (b) commercial paper maturing no more than one year from the date of creation thereof and having a rating of at least A-2 or P-2 from either Standard &amp; Poor’s Corporation or Moody’s Investors Service at the time of acquisition; (c) certificates of deposit issued by any bank with assets of at least Five Hundred Million Dollars ($500,000,000) maturing no more than one year from the date of investment therein; (d) money market accounts; (e) repurchases of stock from former employees, directors, or consultants of Borrower under the terms of applicable repurchase agreements at the original issuance price of such securities in an aggregate amount not to exceed Seven Hundred Fifty Thousand Dollars ($750,000) in any fiscal year, provided that no Event of Default has occurred, is continuing or could exist after giving effect to the repurchases; and (f) any other Investments in cash equivalents as described in Borrower’s investment policy, as such investment policy has been approved by Agent in writing.</w:t>
      </w:r>
    </w:p>
    <w:p>
      <w:pPr>
        <w:spacing w:after="0" w:line="187" w:lineRule="exact"/>
        <w:rPr>
          <w:sz w:val="20"/>
          <w:szCs w:val="20"/>
          <w:color w:val="auto"/>
        </w:rPr>
      </w:pPr>
    </w:p>
    <w:p>
      <w:pPr>
        <w:jc w:val="both"/>
        <w:ind w:firstLine="1399"/>
        <w:spacing w:after="0" w:line="249" w:lineRule="auto"/>
        <w:rPr>
          <w:sz w:val="20"/>
          <w:szCs w:val="20"/>
          <w:color w:val="auto"/>
        </w:rPr>
      </w:pPr>
      <w:r>
        <w:rPr>
          <w:rFonts w:ascii="Times New Roman" w:cs="Times New Roman" w:eastAsia="Times New Roman" w:hAnsi="Times New Roman"/>
          <w:sz w:val="20"/>
          <w:szCs w:val="20"/>
          <w:color w:val="auto"/>
        </w:rPr>
        <w:t>“Change in Control” means any reorganization, recapitalization, consolidation or merger (or similar transaction or series of related transactions) of Borrower, sale or exchange of outstanding shares (or similar transaction or series of related transactions) of Borrower in which the holders of Borrower’s outstanding shares immediately before consummation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91" w:name="page92"/>
    <w:bookmarkEnd w:id="91"/>
    <w:p>
      <w:pPr>
        <w:jc w:val="both"/>
        <w:spacing w:after="0" w:line="249" w:lineRule="auto"/>
        <w:rPr>
          <w:sz w:val="20"/>
          <w:szCs w:val="20"/>
          <w:color w:val="auto"/>
        </w:rPr>
      </w:pPr>
      <w:r>
        <w:rPr>
          <w:rFonts w:ascii="Times New Roman" w:cs="Times New Roman" w:eastAsia="Times New Roman" w:hAnsi="Times New Roman"/>
          <w:sz w:val="20"/>
          <w:szCs w:val="20"/>
          <w:color w:val="auto"/>
        </w:rPr>
        <w:t>transaction or series of related transactions do not, immediately after consummation of such transaction or series of related transactions, retain shares representing more than fifty percent (50%) of the voting power of the surviving entity of such transaction or series of related transactions (or the parent of such surviving entity if such surviving entity is wholly owned by such parent), in each case without regard to whether Borrower is the surviving entity.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“Claims” has the meaning assigned to such term in Section 11.10.</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“Closing Date” means the date of this Agreement.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“Code” means the Internal Revenue Code of 1986, as amended.</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“Collateral” means the property described in Section 3.</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“Compliance Certificate” has the meaning assigned to such term in Section 7.1(d).</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“Confidential Information” has the meaning assigned to such term in Section 11.12.</w:t>
      </w:r>
    </w:p>
    <w:p>
      <w:pPr>
        <w:spacing w:after="0" w:line="216"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0"/>
          <w:szCs w:val="20"/>
          <w:color w:val="auto"/>
        </w:rPr>
        <w:t>“Contingent Obligation” means, as applied to any Person, any direct or indirect liability, contingent or otherwise, of that Person with respect to (i) any Indebtedness, lease, dividend, letter of credit or other obligation of another, including any such obligation directly or indirectly guaranteed, endorsed, co-made or discounted or sold with recourse by that Person, or in respect of which that Person is otherwise directly or indirectly liable; (ii) any obligations with respect to undrawn letters of credit, corporate credit cards or merchant services issued for the account of that Person; and (iii) 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w:t>
      </w:r>
    </w:p>
    <w:p>
      <w:pPr>
        <w:spacing w:after="0" w:line="197" w:lineRule="exact"/>
        <w:rPr>
          <w:sz w:val="20"/>
          <w:szCs w:val="20"/>
          <w:color w:val="auto"/>
        </w:rPr>
      </w:pPr>
    </w:p>
    <w:p>
      <w:pPr>
        <w:jc w:val="both"/>
        <w:ind w:right="20" w:firstLine="1296"/>
        <w:spacing w:after="0" w:line="254" w:lineRule="auto"/>
        <w:rPr>
          <w:sz w:val="20"/>
          <w:szCs w:val="20"/>
          <w:color w:val="auto"/>
        </w:rPr>
      </w:pPr>
      <w:r>
        <w:rPr>
          <w:rFonts w:ascii="Times New Roman" w:cs="Times New Roman" w:eastAsia="Times New Roman" w:hAnsi="Times New Roman"/>
          <w:sz w:val="20"/>
          <w:szCs w:val="20"/>
          <w:color w:val="auto"/>
        </w:rPr>
        <w:t>“Copyright License” means any written agreement granting any right to use any Copyright or Copyright registration, now owned or hereafter acquired by Borrower or in which Borrower now holds or hereafter acquires any interest.</w:t>
      </w:r>
    </w:p>
    <w:p>
      <w:pPr>
        <w:spacing w:after="0" w:line="174"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“Copyrights” means all copyrights, whether registered or unregistered, held pursuant to the laws of the United States of America, any State thereof, or of any other country.</w:t>
      </w:r>
    </w:p>
    <w:p>
      <w:pPr>
        <w:spacing w:after="0" w:line="15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“Default” means any event, circumstance or condition that has occurred or exists, that could, with the passage of time or the requirement that notice be given or both, unless cured or waived by Agent in its sole discretion, become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92" w:name="page93"/>
    <w:bookmarkEnd w:id="92"/>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“Deposit Accounts” means any “deposit accounts,” as such term is defined in the UCC, and includes any checking account, savings account, or certificate of deposit.</w:t>
      </w:r>
    </w:p>
    <w:p>
      <w:pPr>
        <w:spacing w:after="0" w:line="159"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0"/>
          <w:szCs w:val="20"/>
          <w:color w:val="auto"/>
        </w:rPr>
        <w:t>“Disqualified Lender” means any financial institutions, investors or competitors (and any Affiliates thereof clearly identifiable as such solely on the basis of the name thereof) designated in writing by Borrower to the Agent on or prior to the Closing Date; provided that any such modification after the Closing Date to such list shall be subject to approval at the reasonable discretion of Agent, and any additional direct competitors of Borrower and its Subsidiaries that are separately identified in writing by Borrower to the Agent (and made available to Lender upon request) from time to time; provided that any subsequent designation of a competitor as a “Disqualified Lender” hereunder shall not retroactively apply to disqualify any Persons that have acquired an interest in the Loans prior to the date of such designation; provided further that Disqualified Lenders shall exclude any Person that Borrower has designated as no longer being a Disqualified Lender by written notice delivered to the Agent from time to time. Notwithstanding anything to the contrary contained in this Agreement, (a) the Agent shall not be responsible or have any liability for, or have any duty to ascertain, inquire into, monitor or enforce, compliance with the provisions hereof relating to Disqualified Lenders and (b) each of Borrower and Lender acknowledge and agree that the Agent shall have no obligation to determine whether any Lender or potential Lender is a Disqualified Lender and that the Agent shall have no liability with respect to any assignment or participation made to a Disqualified Lender.</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“Domestic Subsidiary” means any Subsidiary that is not a Foreign Subsidiary.</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“End of Term Charge” means any end of term charge payable pursuant to Section 2.6(b).</w:t>
      </w:r>
    </w:p>
    <w:p>
      <w:pPr>
        <w:spacing w:after="0" w:line="21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“Equity Interests” means, with respect to any Person, the capital stock, partnership or limited liability company interests, all warrants, options or other rights for the purchase or acquisition from such Person of shares of capital stock, partnership or limited liability company interests or other equity securities or equity ownership interests of such Person.</w:t>
      </w:r>
    </w:p>
    <w:p>
      <w:pPr>
        <w:spacing w:after="0" w:line="180"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“ERISA” means the Employee Retirement Income Security Act of 1974, as amended, and the regulations promulgated thereunder.</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“Event of Default” has the meaning assigned to such term in Section 9.</w:t>
      </w:r>
    </w:p>
    <w:p>
      <w:pPr>
        <w:spacing w:after="0" w:line="216"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20"/>
          <w:szCs w:val="20"/>
          <w:color w:val="auto"/>
        </w:rPr>
        <w:t>“Excluded Accounts” means any Deposit Accounts, securities accounts or other similar accounts (i) into which there are deposited no funds other than those intended solely to cover wages for employees (and related contributions to be made on behalf of such employees to health and benefit plans) plus balances for outstanding checks for wages from prior periods provided that the aggregate amounts deposited in all such accounts shall not exceed the amount reasonably expected to be due and payable for the next two (2) succeeding pay periods; (ii) constituting Israel Discount Bank account ending XXX157 into which there are deposited no funds other than funds constituting cash collateral and not to exceed One Million Five Hundred Thousand Dollars ($1,500,000) at any time; (iii) into which there are deposited no funds other than those that are deposited for employee benefits (e.g. health insurance, flexible spending, retirement savings plans, etc.); (iv) zero balance accounts; and (v) other Deposit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93" w:name="page94"/>
    <w:bookmarkEnd w:id="93"/>
    <w:p>
      <w:pPr>
        <w:jc w:val="both"/>
        <w:spacing w:after="0" w:line="249" w:lineRule="auto"/>
        <w:rPr>
          <w:sz w:val="20"/>
          <w:szCs w:val="20"/>
          <w:color w:val="auto"/>
        </w:rPr>
      </w:pPr>
      <w:r>
        <w:rPr>
          <w:rFonts w:ascii="Times New Roman" w:cs="Times New Roman" w:eastAsia="Times New Roman" w:hAnsi="Times New Roman"/>
          <w:sz w:val="20"/>
          <w:szCs w:val="20"/>
          <w:color w:val="auto"/>
        </w:rPr>
        <w:t>securities accounts or similar accounts maintained in Australia by TG Australia if the amount on deposit and value in security in such account does not exceed Four Hundred Thousand Dollars ($400,000) in the aggregate at any time, after the payment of any expenses paid or to be paid within the then-next thirty (30) days pursuant to invoiced accounts payable, with any amounts on deposit in such Deposit Accounts, securities accounts or similar accounts.</w:t>
      </w:r>
    </w:p>
    <w:p>
      <w:pPr>
        <w:spacing w:after="0" w:line="180"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0"/>
          <w:szCs w:val="20"/>
          <w:color w:val="auto"/>
        </w:rPr>
        <w:t>“Excluded Foreign Subsidiary” means (a) any Foreign Subsidiary and (b) any Subsidiary directly or indirectly owning any Foreign Subsidiary so long as such Subsidiary’s sole assets are the shares of such Foreign Subsidiary for which a guarantee or pledge by such Subsidiary or Subsidiaries would result in a material adverse tax consequence to Borrower, Parent or such Subsidiary under Section 956 of the Code, as determined by Borrower in good faith and in consultation with the Agent and Lenders.</w:t>
      </w:r>
    </w:p>
    <w:p>
      <w:pPr>
        <w:spacing w:after="0" w:line="18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9"/>
          <w:szCs w:val="19"/>
          <w:color w:val="auto"/>
        </w:rPr>
        <w:t>“Excluded Taxes”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withholding Taxes imposed on amounts payable to or for the account of such Lender with respect to an applicable interest in a Loan or Term Commitment pursuant to a law in effect on the date on which (i) such Lender acquires such interest in the Loan or Term Commitment or (ii) such Lender changes its lending office, except in each case to the extent that, pursuant to Section 2.9, amounts with respect to such Taxes were payable either to such Lender’s assignor immediately before such Lender became a party hereto or to such Lender immediately before it changed its lending office,</w:t>
      </w:r>
    </w:p>
    <w:p>
      <w:pPr>
        <w:spacing w:after="0" w:line="5" w:lineRule="exact"/>
        <w:rPr>
          <w:sz w:val="20"/>
          <w:szCs w:val="20"/>
          <w:color w:val="auto"/>
        </w:rPr>
      </w:pPr>
    </w:p>
    <w:p>
      <w:pPr>
        <w:ind w:left="280" w:hanging="272"/>
        <w:spacing w:after="0"/>
        <w:tabs>
          <w:tab w:leader="none" w:pos="28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Taxes attributable to such Recipient’s failure to comply with Section 2.9(g) and (d) any withholding Taxes imposed under</w:t>
      </w:r>
    </w:p>
    <w:p>
      <w:pPr>
        <w:spacing w:after="0" w:line="1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FATCA.</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“Existing End of Term Charge” has the meaning assigned to such term in Section 2.6(a).</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“Existing Lender” has the meaning assigned to such term in the preamble to this Agreement.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“Existing Loan Agreement” has the meaning assigned to such term in the preamble to this Agreement.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“Existing Loan Documents” has the meaning assigned to such term in Section 11.20.</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“Existing Term Loan” has the meaning assigned to such term in the Recitals to this Agreement.</w:t>
      </w:r>
    </w:p>
    <w:p>
      <w:pPr>
        <w:spacing w:after="0" w:line="216" w:lineRule="exact"/>
        <w:rPr>
          <w:sz w:val="20"/>
          <w:szCs w:val="20"/>
          <w:color w:val="auto"/>
        </w:rPr>
      </w:pPr>
    </w:p>
    <w:p>
      <w:pPr>
        <w:jc w:val="both"/>
        <w:ind w:firstLine="1296"/>
        <w:spacing w:after="0" w:line="274" w:lineRule="auto"/>
        <w:rPr>
          <w:sz w:val="20"/>
          <w:szCs w:val="20"/>
          <w:color w:val="auto"/>
        </w:rPr>
      </w:pPr>
      <w:r>
        <w:rPr>
          <w:rFonts w:ascii="Times New Roman" w:cs="Times New Roman" w:eastAsia="Times New Roman" w:hAnsi="Times New Roman"/>
          <w:sz w:val="19"/>
          <w:szCs w:val="19"/>
          <w:color w:val="auto"/>
        </w:rPr>
        <w:t>“FATCA”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94" w:name="page95"/>
    <w:bookmarkEnd w:id="94"/>
    <w:p>
      <w:pPr>
        <w:jc w:val="both"/>
        <w:spacing w:after="0" w:line="269" w:lineRule="auto"/>
        <w:rPr>
          <w:sz w:val="20"/>
          <w:szCs w:val="20"/>
          <w:color w:val="auto"/>
        </w:rPr>
      </w:pPr>
      <w:r>
        <w:rPr>
          <w:rFonts w:ascii="Times New Roman" w:cs="Times New Roman" w:eastAsia="Times New Roman" w:hAnsi="Times New Roman"/>
          <w:sz w:val="20"/>
          <w:szCs w:val="20"/>
          <w:color w:val="auto"/>
        </w:rPr>
        <w:t>and any fiscal or regulatory legislation, rules or practices adopted pursuant to any intergovernmental agreement, treaty or convention among governmental authorities and implementing such Sections of the Code.</w:t>
      </w:r>
    </w:p>
    <w:p>
      <w:pPr>
        <w:spacing w:after="0" w:line="15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“FDA” means the U.S. Food and Drug Administration or any successor thereto or any other comparable Governmental Authority.</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“Financial Statements” has the meaning assigned to such term in Section 7.1.</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“First Amendment Effective Date” means March 31, 2023.</w:t>
      </w:r>
    </w:p>
    <w:p>
      <w:pPr>
        <w:spacing w:after="0" w:line="21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“Forecast” means the projections for Borrower as delivered and accepted by Agent on March 8, 2023; provided however, that Borrower may from time to time update the Forecast with projections approved by Borrower’s board of directors, subject to the consent of Agent in its sole discretion.</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“Foreign Lender” means any Lender that is not a U.S. Person.</w:t>
      </w:r>
    </w:p>
    <w:p>
      <w:pPr>
        <w:spacing w:after="0" w:line="21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“Foreign Subsidiary” means any Subsidiary other than a Subsidiary organized under the laws of any state within the United States of America.</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“GAAP” means generally accepted accounting principles in the United States of America, as in effect from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 to time.</w:t>
      </w:r>
    </w:p>
    <w:p>
      <w:pPr>
        <w:spacing w:after="0" w:line="194" w:lineRule="exact"/>
        <w:rPr>
          <w:sz w:val="20"/>
          <w:szCs w:val="20"/>
          <w:color w:val="auto"/>
        </w:rPr>
      </w:pPr>
    </w:p>
    <w:p>
      <w:pPr>
        <w:jc w:val="both"/>
        <w:ind w:firstLine="1296"/>
        <w:spacing w:after="0" w:line="242" w:lineRule="auto"/>
        <w:rPr>
          <w:sz w:val="20"/>
          <w:szCs w:val="20"/>
          <w:color w:val="auto"/>
        </w:rPr>
      </w:pPr>
      <w:r>
        <w:rPr>
          <w:rFonts w:ascii="Times New Roman" w:cs="Times New Roman" w:eastAsia="Times New Roman" w:hAnsi="Times New Roman"/>
          <w:sz w:val="20"/>
          <w:szCs w:val="20"/>
          <w:color w:val="auto"/>
        </w:rPr>
        <w:t>“Indebtedness” means (a) all indebtedness for borrowed money or the deferred purchase price of property or services (excluding trade credit entered into in the ordinary course of business due within one hundred and twenty (120) days or being contested, challenged or discussed in good faith), including reimbursement and other obligations with respect to surety bonds and letters of credit, (b) all obligations evidenced by notes, bonds, debentures or similar instruments, (c) all capital lease obligations, (d) equity securities of any Person subject to repurchase or redemption other than at the sole option of such Person, (e) “earnouts,” purchase price adjustments, profit sharing arrangements, deferred purchase money amounts and similar payment obligations or continuing obligations of any nature arising out of purchase and sale contracts, in each case that in accordance with GAAP would be shown on the liabilities side of the balance sheet of such Person, (f) obligations arising under bonus, deferred compensation, incentive compensation or similar arrangements (other than those arising in the ordinary course of business), (g) non-contingent obligations to reimburse any bank or Person in respect of amounts paid under a letter of credit, banker’s acceptance or similar instrument, and (h) all Contingent Obligations (other than for the avoidance of doubt, any Contingent Obligations of the nature set forth in clause (e) above).</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u w:val="single" w:color="auto"/>
          <w:color w:val="0000FF"/>
        </w:rPr>
        <w:t>“Indemnified Taxes” means (a) Taxes, other than Excluded Taxes, imposed on or with respect to any payment made by or on account of any obligation of the Borrower under any Loan Document and (b) to the extent not otherwise described in clause (a), Other Taxes.</w:t>
      </w:r>
    </w:p>
    <w:p>
      <w:pPr>
        <w:spacing w:after="0" w:line="174"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“Initial Facility Charge” means a fee payable to Agent in an amount equal to Nine Hundred Twenty Seven Thousand Five Hundred Dollars ($927,500), fully earned and due and payable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95" w:name="page96"/>
    <w:bookmarkEnd w:id="95"/>
    <w:p>
      <w:pPr>
        <w:jc w:val="both"/>
        <w:ind w:firstLine="1296"/>
        <w:spacing w:after="0" w:line="254" w:lineRule="auto"/>
        <w:rPr>
          <w:sz w:val="20"/>
          <w:szCs w:val="20"/>
          <w:color w:val="auto"/>
        </w:rPr>
      </w:pPr>
      <w:r>
        <w:rPr>
          <w:rFonts w:ascii="Times New Roman" w:cs="Times New Roman" w:eastAsia="Times New Roman" w:hAnsi="Times New Roman"/>
          <w:sz w:val="20"/>
          <w:szCs w:val="20"/>
          <w:u w:val="single" w:color="auto"/>
          <w:color w:val="0000FF"/>
        </w:rPr>
        <w:t>“Insolvency Proceeding”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similar relief.</w:t>
      </w:r>
    </w:p>
    <w:p>
      <w:pPr>
        <w:spacing w:after="0" w:line="17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“Intellectual Property” means all of Borrower’s Copyrights; Trademarks; Patents; Licenses; trade secrets and inventions; mask works; Borrower’s applications therefor and reissues, extensions, or renewals thereof; and Borrower’s goodwill associated with any of the foregoing, together with Borrower’s rights to sue for past, present and future infringement of Intellectual Property and the goodwill associated therewith.</w:t>
      </w:r>
    </w:p>
    <w:p>
      <w:pPr>
        <w:spacing w:after="0" w:line="180" w:lineRule="exact"/>
        <w:rPr>
          <w:sz w:val="20"/>
          <w:szCs w:val="20"/>
          <w:color w:val="auto"/>
        </w:rPr>
      </w:pPr>
    </w:p>
    <w:p>
      <w:pPr>
        <w:jc w:val="both"/>
        <w:ind w:right="20" w:firstLine="1296"/>
        <w:spacing w:after="0" w:line="254" w:lineRule="auto"/>
        <w:rPr>
          <w:sz w:val="20"/>
          <w:szCs w:val="20"/>
          <w:color w:val="auto"/>
        </w:rPr>
      </w:pPr>
      <w:r>
        <w:rPr>
          <w:rFonts w:ascii="Times New Roman" w:cs="Times New Roman" w:eastAsia="Times New Roman" w:hAnsi="Times New Roman"/>
          <w:sz w:val="20"/>
          <w:szCs w:val="20"/>
          <w:color w:val="auto"/>
        </w:rPr>
        <w:t>“Intercompany Subordination Agreement” means that certain Omnibus Intercompany Subordination Agreement, dated as of March 7, 2019, by and among Agent, Borrower, and each of Borrower’s Subsidiaries, as amended, amended and restated, supplemented or otherwise modified from time to time.</w:t>
      </w:r>
    </w:p>
    <w:p>
      <w:pPr>
        <w:spacing w:after="0" w:line="17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“Investment” means any beneficial ownership (including stock, partnership or limited liability company interests) of or in any Person, or any loan, advance or capital contribution to any Person or the acquisition of all or substantially all of the assets of another Person.</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“IRS” means the United States Internal Revenue Service.</w:t>
      </w:r>
    </w:p>
    <w:p>
      <w:pPr>
        <w:spacing w:after="0" w:line="21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“Joinder Agreements” means for each Subsidiary formed or acquired after the Closing Date in accordance with Section 7.13, a completed and executed Joinder Agreement in substantially the form attached hereto as Exhibit G.</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“Lender” has the meaning assigned to such term in the preamble to this Agreement.</w:t>
      </w: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“License” means any Copyright License, Patent License, Trademark License or other license of rights 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interests.</w:t>
      </w:r>
    </w:p>
    <w:p>
      <w:pPr>
        <w:spacing w:after="0" w:line="194" w:lineRule="exact"/>
        <w:rPr>
          <w:sz w:val="20"/>
          <w:szCs w:val="20"/>
          <w:color w:val="auto"/>
        </w:rPr>
      </w:pPr>
    </w:p>
    <w:p>
      <w:pPr>
        <w:jc w:val="both"/>
        <w:ind w:firstLine="1296"/>
        <w:spacing w:after="0" w:line="274" w:lineRule="auto"/>
        <w:rPr>
          <w:sz w:val="20"/>
          <w:szCs w:val="20"/>
          <w:color w:val="auto"/>
        </w:rPr>
      </w:pPr>
      <w:r>
        <w:rPr>
          <w:rFonts w:ascii="Times New Roman" w:cs="Times New Roman" w:eastAsia="Times New Roman" w:hAnsi="Times New Roman"/>
          <w:sz w:val="19"/>
          <w:szCs w:val="19"/>
          <w:color w:val="auto"/>
        </w:rPr>
        <w:t>“Lien”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“Loan” means the Advances made under this Agreement.</w:t>
      </w:r>
    </w:p>
    <w:p>
      <w:pPr>
        <w:spacing w:after="0" w:line="21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0"/>
          <w:szCs w:val="20"/>
          <w:color w:val="auto"/>
        </w:rPr>
        <w:t>“Loan Documents” means this Agreement, the Notes (if any), the ACH Authorization, the Account Control Agreements, the Joinder Agreements, all UCC financing statements, the Warrant, the Pledge Agreement, the Existing Loan Documents and any other documents executed in connection with the Secured Obligations or the transactions contemplated hereby, as the same may from time to time be amended, restated, amended and restated, supplemented or otherwise modified.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96" w:name="page97"/>
    <w:bookmarkEnd w:id="96"/>
    <w:p>
      <w:pPr>
        <w:jc w:val="both"/>
        <w:ind w:firstLine="1296"/>
        <w:spacing w:after="0" w:line="246" w:lineRule="auto"/>
        <w:rPr>
          <w:sz w:val="20"/>
          <w:szCs w:val="20"/>
          <w:color w:val="auto"/>
        </w:rPr>
      </w:pPr>
      <w:r>
        <w:rPr>
          <w:rFonts w:ascii="Times New Roman" w:cs="Times New Roman" w:eastAsia="Times New Roman" w:hAnsi="Times New Roman"/>
          <w:sz w:val="20"/>
          <w:szCs w:val="20"/>
          <w:color w:val="auto"/>
        </w:rPr>
        <w:t>“Market Capitalization” means, as of any date of determination, the product of (a) the number of outstanding shares of common stock publicly disclosed in the most recent filing of Borrower with the United States Securities Exchange Commission as outstanding as of such date of determination and (b) the closing price of Borrower’s common stock (as quoted on Bloomberg L.P.’s page or any successor page thereto of Bloomberg L.P. or if such page is not available, any other commercially available source).</w:t>
      </w:r>
    </w:p>
    <w:p>
      <w:pPr>
        <w:spacing w:after="0" w:line="185"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0"/>
          <w:szCs w:val="20"/>
          <w:color w:val="auto"/>
        </w:rPr>
        <w:t>“Material Adverse Effect” means a material adverse effect upon: (i) the business, operations, properties, assets or financial condition of Borrower and its Subsidiaries taken as a whole; or (ii) the ability of Borrower taken as a whole to perform or pay the Secured Obligations in accordance with the terms of the Loan Documents, or the ability of Agent or Lender to enforce any of its rights or remedies with respect to the Secured Obligations; or (iii) the Collateral or Agent’s Liens on the Collateral or the priority of such Liens.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“Maximum Term Loan Amount” means Two Hundred Million and No/100 Dollars ($200,000,000).</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“Maximum Rate” has the meaning assigned to such term in Section 2.3.</w:t>
      </w:r>
    </w:p>
    <w:p>
      <w:pPr>
        <w:spacing w:after="0" w:line="21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“New Drug Application” means a new drug application submitted to the FDA pursuant to 21 U.S.C. § 355 for authorization for permission to introduce, or deliver for introduction, a drug product into interstate commerce, and all supplements or amendments thereto. “Note(s)” means a Term Note.</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“OFAC” means the U.S. Department of Treasury Office of Foreign Assets Control.</w:t>
      </w:r>
    </w:p>
    <w:p>
      <w:pPr>
        <w:spacing w:after="0" w:line="21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“OFAC Lists” means,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80"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0"/>
          <w:szCs w:val="20"/>
          <w:color w:val="auto"/>
        </w:rPr>
        <w:t>“Other Connection Taxes”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5"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“Other Taxes”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“Parent” has the meaning assigned to such term in the preamble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97" w:name="page98"/>
    <w:bookmarkEnd w:id="97"/>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“Patent License” means any written agreement granting any right with respect to any invention on which a Patent is in existence or a Patent application is pending, in which agreement Borrower now holds or hereafter acquires any interest.</w:t>
      </w:r>
    </w:p>
    <w:p>
      <w:pPr>
        <w:spacing w:after="0" w:line="17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“Patents” means all letters patent of, or rights corresponding thereto, in the United States of America or in any other country, all registrations and recordings thereof, and all applications for letters patent of, or rights corresponding thereto, in the United States of America or any other country.</w:t>
      </w:r>
    </w:p>
    <w:p>
      <w:pPr>
        <w:spacing w:after="0" w:line="17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“Performance Covenant” means maintenance of T3M Net Product Revenue for the applicable monthly period (determined as of the last day of such month) greater than or equal to the amount set forth for such monthly period in Schedule 7.21(b).</w:t>
      </w:r>
    </w:p>
    <w:p>
      <w:pPr>
        <w:spacing w:after="0" w:line="174"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0"/>
          <w:szCs w:val="20"/>
          <w:color w:val="auto"/>
        </w:rPr>
        <w:t>“Performance Covenant Waiver Conditions” means as of any time of determination either (a) both Borrower’s (i) Market Capitalization at such time is greater than $1,200,000,000 and (ii) Unrestricted Cash at such time is greater than or equal to fifty percent (50%) of the amount of Secured Obligations then outstanding plus the amount of Borrower’s accounts payable under GAAP not paid after the one hundred and eightieth (180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day following the due date for such accounts payable, and not contested, challenged or discussed in good faith or (b) Borrower’s Unrestricted Cash at such time is greater than or equal to eighty-five percent (85%) of the amount of Secured Obligations then outstanding plus the amount of Borrower’s accounts payable under GAAP not paid after the one hundred and eightieth (180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day following the due date for such accounts payable, and not contested, challenged or discussed in good faith.</w:t>
      </w:r>
    </w:p>
    <w:p>
      <w:pPr>
        <w:spacing w:after="0" w:line="193"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0"/>
          <w:szCs w:val="20"/>
          <w:color w:val="auto"/>
        </w:rPr>
        <w:t>“Performance Milestone I” means satisfaction of each of the following events: (a) no Default or Event of Default shall have occurred and be continuing; and (b) the FDA has approved: (i) a supplemental New Drug Application with respect to umbralisib; and (ii) a Biologics License Application for ublituxumab, such that the combination of ublituximab and umbralisib may be commercialized in the United States for the treatment of chronic lymphocytic leukemia with an approved label that is acceptable to Agent in its discretion (where such label supports a product profile and on-label patient population which, in Agent’s discretion, support a differentiated and competitive oncology product launch).</w:t>
      </w:r>
    </w:p>
    <w:p>
      <w:pPr>
        <w:spacing w:after="0" w:line="18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“Performance Milestone II” means satisfaction of each of the following events: (a) no Default or Event of Default shall have occurred and be continuing; and (b) the FDA has approved the Biologics License Application for the use of ublituximab for the treatment of relapsing forms of multiple sclerosis with an approved label that is generally consistent with that sought in Borrower’s original Biologics License Application submission.</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“Performance Milestone III” means the Borrower has maintained at least Forty-Five Million Dollars ($45,000,000) of T3M Net Product Revenue for any monthly period ending after the First Amendment Effective Date, but on or prior to August 31, 2024.</w:t>
      </w:r>
    </w:p>
    <w:p>
      <w:pPr>
        <w:spacing w:after="0" w:line="174" w:lineRule="exact"/>
        <w:rPr>
          <w:sz w:val="20"/>
          <w:szCs w:val="20"/>
          <w:color w:val="auto"/>
        </w:rPr>
      </w:pPr>
    </w:p>
    <w:p>
      <w:pPr>
        <w:jc w:val="both"/>
        <w:ind w:firstLine="1359"/>
        <w:spacing w:after="0" w:line="254" w:lineRule="auto"/>
        <w:rPr>
          <w:sz w:val="20"/>
          <w:szCs w:val="20"/>
          <w:color w:val="auto"/>
        </w:rPr>
      </w:pPr>
      <w:r>
        <w:rPr>
          <w:rFonts w:ascii="Times New Roman" w:cs="Times New Roman" w:eastAsia="Times New Roman" w:hAnsi="Times New Roman"/>
          <w:sz w:val="20"/>
          <w:szCs w:val="20"/>
          <w:color w:val="auto"/>
        </w:rPr>
        <w:t>“Permitted Acquisition” shall mean any acquisition (including by way of merger) by Borrower of all or substantially all of the assets of another Person, or of a division or line of business of another Person, or capital stock of another Person, in each case located entirely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98" w:name="page99"/>
    <w:bookmarkEnd w:id="98"/>
    <w:p>
      <w:pPr>
        <w:ind w:right="20"/>
        <w:spacing w:after="0" w:line="269" w:lineRule="auto"/>
        <w:rPr>
          <w:sz w:val="20"/>
          <w:szCs w:val="20"/>
          <w:color w:val="auto"/>
        </w:rPr>
      </w:pPr>
      <w:r>
        <w:rPr>
          <w:rFonts w:ascii="Times New Roman" w:cs="Times New Roman" w:eastAsia="Times New Roman" w:hAnsi="Times New Roman"/>
          <w:sz w:val="20"/>
          <w:szCs w:val="20"/>
          <w:color w:val="auto"/>
        </w:rPr>
        <w:t>the United States of America or other such jurisdiction as approved by Agent in its reasonable discretion, which is conducted in accordance with the following requirements:</w:t>
      </w:r>
    </w:p>
    <w:p>
      <w:pPr>
        <w:spacing w:after="0" w:line="159" w:lineRule="exact"/>
        <w:rPr>
          <w:sz w:val="20"/>
          <w:szCs w:val="20"/>
          <w:color w:val="auto"/>
        </w:rPr>
      </w:pPr>
    </w:p>
    <w:p>
      <w:pPr>
        <w:ind w:right="20" w:firstLine="1304"/>
        <w:spacing w:after="0" w:line="269" w:lineRule="auto"/>
        <w:tabs>
          <w:tab w:leader="none" w:pos="194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acquisition is of a business or Person engaged in a line of business related to that of the Borrower or its Subsidiaries;</w:t>
      </w:r>
    </w:p>
    <w:p>
      <w:pPr>
        <w:spacing w:after="0" w:line="15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acquisition is structured as a stock acquisition, then the Person so acquired shall either (i) become a wholly-owned Subsidiary of Borrower or of a Subsidiary and the Borrower shall comply, or cause such Subsidiary to comply, with 7.13 hereof or (ii) such Person shall be merged with and into Borrower (with the Borrower being the surviving entity);</w:t>
      </w:r>
    </w:p>
    <w:p>
      <w:pPr>
        <w:spacing w:after="0" w:line="17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acquisition is structured as the acquisition of assets, such assets shall be acquired by Borrower, and shall be free and clear of Liens other than Permitted Liens;</w:t>
      </w:r>
    </w:p>
    <w:p>
      <w:pPr>
        <w:spacing w:after="0" w:line="159"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delivered to Lender not less than ten (10) nor more than forty-five (45) days prior to the date of such acquisition, notice of such acquisition together with pro forma projected financial information, copies of all material documents relating to such acquisition, and historical financial statements for such acquired entity, division or line of business, in each case in form and substance reasonably satisfactory to Lender and demonstrating compliance with the covenants set forth in Section 7.21 hereof on a pro forma basis as if the acquisition occurred on the first day of the most recent measurement period;</w:t>
      </w:r>
    </w:p>
    <w:p>
      <w:pPr>
        <w:spacing w:after="0" w:line="184"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 immediately before and after such acquisition no Default or Event of Default shall have occurred and be continuing;</w:t>
      </w:r>
    </w:p>
    <w:p>
      <w:pPr>
        <w:spacing w:after="0" w:line="159"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the cash portion of the purchase price of such proposed new acquisition, computed on the basis of total acquisition consideration paid or incurred, or to be paid or incurred, by Borrower with respect thereto, including the amount of Permitted Indebtedness assumed or to which such assets, businesses or business or ownership interest or shares, or any Person so acquired, is subject (excluding Indebtedness comprised of performance-based milestones, earnouts, or royalties that qualify as Indebtedness pursuant to clause (e) or (h) of the definition of Indebtedness so long as no payments with respect to such Indebtedness are paid or scheduled to be paid prior to the Term Loan Maturity Date), shall not be greater than Seven Million Five Hundred Thousand Dollars ($7,500,000) for all such acquisitions during the term of this Agreement; and</w:t>
      </w:r>
    </w:p>
    <w:p>
      <w:pPr>
        <w:spacing w:after="0" w:line="18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any consideration for all such acquisitions paid in Equity Interests of Borrower shall not exceed Seven Million Five Hundred Thousand Dollars ($7,500,000) for all such acquisitions during the term of this Agreement.</w:t>
      </w:r>
    </w:p>
    <w:p>
      <w:pPr>
        <w:spacing w:after="0" w:line="174" w:lineRule="exact"/>
        <w:rPr>
          <w:sz w:val="20"/>
          <w:szCs w:val="20"/>
          <w:color w:val="auto"/>
        </w:rPr>
      </w:pPr>
    </w:p>
    <w:p>
      <w:pPr>
        <w:ind w:firstLine="1296"/>
        <w:spacing w:after="0" w:line="264" w:lineRule="auto"/>
        <w:rPr>
          <w:sz w:val="20"/>
          <w:szCs w:val="20"/>
          <w:color w:val="auto"/>
        </w:rPr>
      </w:pPr>
      <w:r>
        <w:rPr>
          <w:rFonts w:ascii="Times New Roman" w:cs="Times New Roman" w:eastAsia="Times New Roman" w:hAnsi="Times New Roman"/>
          <w:sz w:val="19"/>
          <w:szCs w:val="19"/>
          <w:color w:val="auto"/>
        </w:rPr>
        <w:t>“Permitted Convertible Debt Financing” means issuance by Parent of convertible notes in an aggregate principal amount of not more than Four Hundred Million Dollars ($400,000,000); provided that such convertible notes shall</w:t>
      </w:r>
    </w:p>
    <w:p>
      <w:pPr>
        <w:jc w:val="both"/>
        <w:ind w:firstLine="8"/>
        <w:spacing w:after="0" w:line="241" w:lineRule="auto"/>
        <w:tabs>
          <w:tab w:leader="none" w:pos="27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a scheduled maturity date no earlier than one hundred eighty (180) days after the Term Loan Maturity Date, (b) be unsecured, (c) not be guaranteed by any Subsidiary of Parent that is not a Borrower, (d) contain usual and customary subordination terms for underwritten offerings of senior subordinated convertible notes and (e) shall specifically designate this Agreement and all Secured Obligations as “designated senior indebtedness” or similar term so that the subordination terms referred to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99" w:name="page100"/>
    <w:bookmarkEnd w:id="99"/>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clause (d) of this definition specifically refer to such notes as being subordinated to the Secured Obligations pursuant to such subordination terms.</w:t>
      </w:r>
    </w:p>
    <w:p>
      <w:pPr>
        <w:spacing w:after="0" w:line="159"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“Permitted Indebtedness” means: (i) Indebtedness of Borrower in favor of Lender or Agent arising under this Agreement or any other Loan Document; (ii) Indebtedness existing on the Closing Date which is disclosed in Schedule 1A; (iii) Indebtedness of up to One Million Two Hundred Fifty Thousand Dollars ($1,250,000) outstanding at any time secured by a Lien described in clause (vii) of the defined term “Permitted Liens,” provided such Indebtedness does not exceed the cost of the Equipment or the software or the intellectual property financed with such Indebtedness; (iv) Indebtedness to trade creditors incurred in the ordinary course of business, including vendor financing, the deferred purchase price for goods and services rendered under contract manufacturing and/or licensing arrangements, in each case in the ordinary course of business, or Indebtedness incurred in the ordinary course of business with corporate credit cards; (v) Indebtedness that also constitutes a Permitted Investment; (vi) Subordinated Indebtedness; (vii) reimbursement obligations in connection with letters of credit that are secured by Cash and issued on behalf of the Borrower or a Subsidiary thereof in an amount not to exceed One Million Dollars ($1,000,000) at any time outstanding; (viii) other unsecured Indebtedness in an amount not to exceed Two Million Dollars ($2,000,000) at any time outstanding; (ix) intercompany Indebtedness subject to the Intercompany Subordination Agreement; (x) Permitted Convertible Debt Financing; (xi) Indebtedness owed to any Person (including obligations in respect of letters of credit for the benefit of such Person) providing workers’ compensation, health, disability or other employee benefits or property, casualty, liability insurance, self-insurance, pursuant to reimbursement or indemnification obligations to such Person, in each case incurred in the ordinary course of business, not to exceed Five Hundred Thousand Dollars ($500,000) at any time outstanding; (xii) Indebtedness in respect of or guarantee of performance bonds, bid bonds, appeal bonds, surety bonds, performance and completion guarantees, workers’ compensation claims, letters of credit, bank guarantees and banker’s acceptances, warehouse receipts or similar instruments and similar obligations (other than in respect of other Indebtedness for borrowed money) including those incurred to secure health, safety and environmental obligations, in each case provided in the ordinary course of business, not to exceed Five Hundred Thousand Dollars ($500,000) at any time outstanding; (xiii) Indebtedness consisting of the financing of insurance premiums in an aggregate amount not exceeding Three Million Dollars ($3,000,000) at any time outstanding; (xiv) endorsement of instruments or other payment items for deposit in the ordinary course of business and Indebtedness arising from the honoring by a bank or other financial institution of a check, draft or similar instrument inadvertently drawn against insufficient funds in the ordinary course of business; (xv) Contingent Obligations in respect of Indebtedness otherwise constituting Permitted Indebtedness; (xvi) any Indebtedness assumed or acquired in accordance with clause (f) of the definition of Permitted Acquisition; (xvii) Indebtedness with respect of Permitted Royalty Transactions and (xviii) extensions, refinancings and renewals of any items of Permitted Indebtedness, provided that the principal amount is not increased (except by an amount equal to the lesser of (A) the existing unutilized commitments thereunder, accrued but unpaid interest thereon and a reasonable premium paid, and fees and expenses reasonably incurred, in connection with such extension, refinancing or renewal (including any fees and original issue discount incurred in respect of such resulting Indebtedness) and (B) five percent (5%) of such principal amount) or the terms modified to impose materially more burdensome terms upon Borrower or its Subsidiary,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00" w:name="page101"/>
    <w:bookmarkEnd w:id="100"/>
    <w:p>
      <w:pPr>
        <w:jc w:val="both"/>
        <w:ind w:firstLine="1296"/>
        <w:spacing w:after="0" w:line="254" w:lineRule="auto"/>
        <w:rPr>
          <w:sz w:val="20"/>
          <w:szCs w:val="20"/>
          <w:color w:val="auto"/>
        </w:rPr>
      </w:pPr>
      <w:r>
        <w:rPr>
          <w:rFonts w:ascii="Times New Roman" w:cs="Times New Roman" w:eastAsia="Times New Roman" w:hAnsi="Times New Roman"/>
          <w:sz w:val="19"/>
          <w:szCs w:val="19"/>
          <w:color w:val="auto"/>
        </w:rPr>
        <w:t xml:space="preserve">“Permitted Investment” means: (i) Investments existing on the Closing Date which are disclosed in Schedule 1B; (ii) Cash Equivalents; (iii) to the extent constituting Investments, any transactions permitted pursuant to Section 7.7 or Section 7.9; (iv) Investments accepted in connection with Permitted Transfers; (v) Investments (including debt obligations) received in connection with the bankruptcy or reorganization of customers or suppliers and in settlement of delinquent obligations of, and other disputes with, customers or suppliers arising in the ordinary course of Borrower’s business; (vi) Investments consisting of notes receivable of, or prepaid royalties and other credit extensions, to customers and suppliers who are not Affiliates, in the ordinary course of business, provided that this subparagraph (vi) shall not apply to Investments of Borrower in any Subsidiary; </w:t>
      </w:r>
      <w:r>
        <w:rPr>
          <w:rFonts w:ascii="Times New Roman" w:cs="Times New Roman" w:eastAsia="Times New Roman" w:hAnsi="Times New Roman"/>
          <w:sz w:val="19"/>
          <w:szCs w:val="19"/>
          <w:u w:val="single" w:color="auto"/>
          <w:color w:val="0000FF"/>
        </w:rPr>
        <w:t>(vii) Investments consisting of loans not involving the net transfer on a substantially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contemporaneous basis of cash proceeds to employees, officers or directors relating to the purchase of capital stock of Borrower pursuant to employee stock purchase plans or other similar agreements approved by Borrower’s board of directors;</w:t>
      </w:r>
    </w:p>
    <w:p>
      <w:pPr>
        <w:spacing w:after="0" w:line="5" w:lineRule="exact"/>
        <w:rPr>
          <w:sz w:val="20"/>
          <w:szCs w:val="20"/>
          <w:color w:val="auto"/>
        </w:rPr>
      </w:pPr>
    </w:p>
    <w:p>
      <w:pPr>
        <w:jc w:val="both"/>
        <w:ind w:firstLine="8"/>
        <w:spacing w:after="0" w:line="253" w:lineRule="auto"/>
        <w:tabs>
          <w:tab w:leader="none" w:pos="491" w:val="left"/>
        </w:tabs>
        <w:numPr>
          <w:ilvl w:val="0"/>
          <w:numId w:val="65"/>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Investments consisting of travel advances in the ordinary course of business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(ix) Investments in newly-formed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Domestic Subsidiaries, provided that each such Subsidiary enters into a Joinder Agreement promptly after its formation by Borrower and execute such other documents as shall be reasonably requested by Agent; (x) Investments in Foreign Subsidiaries approved in advance in writing by Agent;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(xi) joint ventures, co-promote agreements, strategic alliances,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collaboration arrangements or non-exclusive licensing arrangements with strategic pharmaceutical partners in the ordinary course of Borrower’s business consisting of the nonexclusive licensing of technology, the development of technology or the providing of technical support, provided that any cash Investments by Borrower do not exceed Two Million Five Hundred Thousand Dollars ($2,500,000) in the aggregate in any fiscal year; (xii) Permitted Acquisitions; (xiii) Investments between and among Borrowers; (xiv) Investments by any Borrower in TG Australia; provided that prior to and immediately after giving effect to each such Investment, Borrower is in compliance with Section 7.14 and such Investments are used solely to fund research and development activities of TG Australia; (xv) Investments made by any Subsidiary that is not a Borrower in any Borrower; (xvi) Investments of any Person existing at the time such Person becomes a Subsidiary or consolidates, amalgamates or merges with any Borrower or any Subsidiary; provided that such Investment otherwise qualifies as a Permitted Investment and was not made in contemplation of such Person becoming a Subsidiary or such consolidation or merger; (xvii) loans or advances to officers, partners, directors, consultants and employees of any Borrower or any Subsidiary for relocation, entertainment, travel expenses, or similar expenditures in an aggregate amount not to exceed Five Hundred Thousand Dollars ($500,000) at any time outstanding; (xviii) Investments in connection with in-licensing transactions that do not exceed an aggregate amount equal to Seven Million Five Hundred Thousand Dollars ($7,500,000) </w:t>
      </w:r>
      <w:r>
        <w:rPr>
          <w:rFonts w:ascii="Times New Roman" w:cs="Times New Roman" w:eastAsia="Times New Roman" w:hAnsi="Times New Roman"/>
          <w:sz w:val="19"/>
          <w:szCs w:val="19"/>
          <w:i w:val="1"/>
          <w:iCs w:val="1"/>
          <w:color w:val="000000"/>
        </w:rPr>
        <w:t xml:space="preserve">minus </w:t>
      </w:r>
      <w:r>
        <w:rPr>
          <w:rFonts w:ascii="Times New Roman" w:cs="Times New Roman" w:eastAsia="Times New Roman" w:hAnsi="Times New Roman"/>
          <w:sz w:val="19"/>
          <w:szCs w:val="19"/>
          <w:color w:val="000000"/>
        </w:rPr>
        <w:t>the aggregate amount of all consideration paid for Permitted Acquisitions pursuant to clause (f) of the definition of</w:t>
      </w:r>
      <w:r>
        <w:rPr>
          <w:rFonts w:ascii="Times New Roman" w:cs="Times New Roman" w:eastAsia="Times New Roman" w:hAnsi="Times New Roman"/>
          <w:sz w:val="19"/>
          <w:szCs w:val="19"/>
          <w:i w:val="1"/>
          <w:iCs w:val="1"/>
          <w:color w:val="000000"/>
        </w:rPr>
        <w:t xml:space="preserve"> </w:t>
      </w:r>
      <w:r>
        <w:rPr>
          <w:rFonts w:ascii="Times New Roman" w:cs="Times New Roman" w:eastAsia="Times New Roman" w:hAnsi="Times New Roman"/>
          <w:sz w:val="19"/>
          <w:szCs w:val="19"/>
          <w:color w:val="000000"/>
        </w:rPr>
        <w:t>Permitted Acquisition, (xix) additional Investments (excluding Investments in connection with in-licensing transactions) that do not exceed an aggregate amount equal to Two Million Five Hundred Thousand Dollars ($2,500,000) and (xx) other Investments described in Borrower’s investment policy, as such investment policy has been approved by Agent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-2933065</wp:posOffset>
            </wp:positionV>
            <wp:extent cx="44170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417060" cy="8890"/>
                    </a:xfrm>
                    <a:prstGeom prst="rect">
                      <a:avLst/>
                    </a:prstGeom>
                    <a:noFill/>
                  </pic:spPr>
                </pic:pic>
              </a:graphicData>
            </a:graphic>
          </wp:anchor>
        </w:drawing>
      </w:r>
    </w:p>
    <w:p>
      <w:pPr>
        <w:spacing w:after="0" w:line="38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“Permitted Liens” means any and all of the following: (i) Liens in favor of Agent or Lender; (ii) Liens existing on the Closing Date which are disclosed in Schedule 1C; (iii) Liens for taxes, fees, assessments or other governmental charges or levies, either not delinquent or not overdue by more than thirty (30) days or being contested in good faith by appropriate proceedings; provided, that Borrower maintains adequate reserves therefor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01" w:name="page102"/>
    <w:bookmarkEnd w:id="101"/>
    <w:p>
      <w:pPr>
        <w:jc w:val="both"/>
        <w:spacing w:after="0" w:line="253" w:lineRule="auto"/>
        <w:rPr>
          <w:sz w:val="20"/>
          <w:szCs w:val="20"/>
          <w:color w:val="auto"/>
        </w:rPr>
      </w:pPr>
      <w:r>
        <w:rPr>
          <w:rFonts w:ascii="Times New Roman" w:cs="Times New Roman" w:eastAsia="Times New Roman" w:hAnsi="Times New Roman"/>
          <w:sz w:val="19"/>
          <w:szCs w:val="19"/>
          <w:color w:val="auto"/>
        </w:rPr>
        <w:t>GAAP; (iv) Liens securing claims or demands of materialmen, artisans, mechanics, carriers, warehousemen, landlords and other like Persons arising in the ordinary course of Borrower’s business and imposed by law or without action of such parties; provided, that the payment thereof is either not yet required or not overdue by more than thirty (30) days or being contested in good faith by appropriate proceedings; (v) Liens arising from judgments, decrees or attachments in circumstances which do not constitute an Event of Default hereunder; (vi) the following deposits, to the extent made in the ordinary course of business: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 (vii) Liens on Equipment or software or other intellectual property constituting purchase money Liens and Liens in connection with capital leases securing Indebtedness permitted by clause (iii) of the definition of Permitted Indebtedness; (viii) Liens incurred in connection with Subordinated Indebtedness; (ix) leasehold interests in leases or subleases; (x) Liens in favor of customs and revenue authorities arising as a matter of law to secure payment of custom duties that are promptly paid on or before the date they become due; (xi) Liens on insurance proceeds securing the payment of financed insurance premiums that are promptly paid on or before the date they become due (provided that such Liens extend only to such insurance proceeds and not to any other property or assets); (xii) statutory and common law rights of set-off and other similar rights as to deposits of cash and securities in favor of banks, other depository institutions and brokerage firms; (xiii) easements, zoning restrictions, rights-of-way and similar encumbrances on real property imposed by law or arising in the ordinary course of business so long as they do not materially impair the value or marketability of the related property; (xiv) (A) Liens on Cash or Cash Equivalents securing obligations permitted under clause (vii) of the definition of Permitted Indebtedness and (B) security deposits in connection with real property leases, the combination of (A) and (B) in an aggregate amount not to exceed Two Million Five Hundred Thousand Dollars ($2,500,000) at any time; (xv) any Lien existing on any property or asset prior to the acquisition thereof by the Borrower or any Subsidiary or existing on any property or asset of any Person that became or becomes a Subsidiary after the Closing Date prior to the time such Person became or becomes a Subsidiary, in each case as contemplated by the definition of Permitted Acquisition and solely to the extent otherwise constituting Permitted Liens;</w:t>
      </w:r>
    </w:p>
    <w:p>
      <w:pPr>
        <w:spacing w:after="0" w:line="231" w:lineRule="exact"/>
        <w:rPr>
          <w:sz w:val="20"/>
          <w:szCs w:val="20"/>
          <w:color w:val="auto"/>
        </w:rPr>
      </w:pPr>
    </w:p>
    <w:p>
      <w:pPr>
        <w:jc w:val="both"/>
        <w:ind w:firstLine="8"/>
        <w:spacing w:after="0"/>
        <w:tabs>
          <w:tab w:leader="none" w:pos="477"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of a collecting bank arising in the ordinary course of business under Section 4-208 or Section 4-210, as applicable, of the Uniform Commercial Code in effect in the relevant jurisdiction covering only the items being collected upon; (xvii) the filing of Uniform Commercial Code (or equivalent) financing statements solely as a precautionary measure in connection with operating leases provided that such Liens and collateral descriptions in such financing statements be limited to such specific operating leases and not all assets or substantially all assets of any Borrower or Subsidiary; (xviii) licenses or sublicenses permitted hereunder; (xix) Liens solely on the royalty interest pursuant to Permitted Royalty Transactions and proceeds thereof; and (xx) Liens incurred in connection with the extension, renewal or refinancing of the Indebtedness secured by Liens of the type described in clauses (i) through (xix) above; provided, that any extension, renewal or replacement Lien shall be limited to the property encumbered by the existing Lien and the principal amount of the Indebtedness being extended, renewed or refinanced (as may have been reduced by any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02" w:name="page103"/>
    <w:bookmarkEnd w:id="102"/>
    <w:p>
      <w:pPr>
        <w:jc w:val="both"/>
        <w:spacing w:after="0" w:line="249" w:lineRule="auto"/>
        <w:rPr>
          <w:sz w:val="20"/>
          <w:szCs w:val="20"/>
          <w:color w:val="auto"/>
        </w:rPr>
      </w:pPr>
      <w:r>
        <w:rPr>
          <w:rFonts w:ascii="Times New Roman" w:cs="Times New Roman" w:eastAsia="Times New Roman" w:hAnsi="Times New Roman"/>
          <w:sz w:val="20"/>
          <w:szCs w:val="20"/>
          <w:color w:val="auto"/>
        </w:rPr>
        <w:t>thereon) does not increase, except for the lesser of (A) an amount equal to any accrued but unpaid interest (including any portion thereof which is payable in kind in accordance with the terms of such extended, renewed or replaced Indebtedness) and premium payable by the terms of such obligations thereon and reasonable fees and expenses associated therewith and (B) five percent (5%) of such principal amount.</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9"/>
          <w:szCs w:val="19"/>
          <w:color w:val="auto"/>
        </w:rPr>
        <w:t>“Permitted Royalty Transaction” means any synthetic royalty participations (and not royalty purchases or buyouts) with respect to Borrower’s product candidates whereby Borrower receives upfront Unrestricted Cash (including, not subject to any redemption, clawback, escrow or similar encumbrance or restriction) in exchange for rights to participation payments based on net sales of such product candidates; provided that such royalty participation shall (a) to the extent required by the Agent, be subordinated to the Secured Obligations pursuant to an agreement among lenders, subordination or intercreditor agreement in form and substance satisfactory to Agent in its sole discretion (including, without limitation that this Agreement and all Secured Obligations shall be designated as “designated senior indebtedness” or similar term under the applicable subordination provisions), (b) not have a scheduled maturity date earlier than one hundred eighty</w:t>
      </w:r>
    </w:p>
    <w:p>
      <w:pPr>
        <w:spacing w:after="0" w:line="1" w:lineRule="exact"/>
        <w:rPr>
          <w:sz w:val="20"/>
          <w:szCs w:val="20"/>
          <w:color w:val="auto"/>
        </w:rPr>
      </w:pPr>
    </w:p>
    <w:p>
      <w:pPr>
        <w:ind w:firstLine="8"/>
        <w:spacing w:after="0" w:line="246" w:lineRule="auto"/>
        <w:tabs>
          <w:tab w:leader="none" w:pos="491"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the Term Loan Maturity Date, (c) not be secured by any Lien or other security interest on any Intellectual Property and (d) otherwise be on terms and with a purchaser satisfactory to Agent.</w:t>
      </w:r>
    </w:p>
    <w:p>
      <w:pPr>
        <w:spacing w:after="0" w:line="18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9"/>
          <w:szCs w:val="19"/>
          <w:color w:val="auto"/>
        </w:rPr>
        <w:t>“Permitted Transfers” means (i) sales of Inventory in the ordinary course of business; (ii) non-exclusive licenses and similar arrangements for the use of Intellectual Property in the ordinary course of business (including in the context of joint ventures, strategic alliances, collaboration arrangements or licensing arrangements) and licenses that could not result in a legal transfer of title of the licensed property but that may be exclusive in respects other than territory and that may be exclusive as to territory only as to discreet geographical areas outside of the United States of America in the ordinary course of business; (iii) dispositions of worn-out, obsolete or surplus Equipment at fair market value in the ordinary course of business; (iv) other transfers of assets having a fair market value of not more than One Million Dollars ($1,000,000) in the aggregate in any fiscal year; (v) any issuance or sale by Borrower or any Subsidiary of its Equity Interests or other securities, in each case to the extent otherwise permitted pursuant to this Agreement; (vi) sales, transfers, leases and other dispositions of property to the extent that such property constitutes an Investment that is a Permitted Investment; (vii) sales, transfers, leases and other dispositions of property to any Borrower; (viii) leases or licenses or subleases or sublicenses entered into in the ordinary course of business (other than in respect of Intellectual Property), in each case, in connection with real property;</w:t>
      </w:r>
    </w:p>
    <w:p>
      <w:pPr>
        <w:spacing w:after="0" w:line="1" w:lineRule="exact"/>
        <w:rPr>
          <w:sz w:val="20"/>
          <w:szCs w:val="20"/>
          <w:color w:val="auto"/>
        </w:rPr>
      </w:pPr>
    </w:p>
    <w:p>
      <w:pPr>
        <w:jc w:val="both"/>
        <w:ind w:firstLine="8"/>
        <w:spacing w:after="0" w:line="242" w:lineRule="auto"/>
        <w:tabs>
          <w:tab w:leader="none" w:pos="39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distributions, dividends, repurchases or redemptions permitted pursuant to Section 7.7; (x) converting any Indebtedness to equity interests; (xi) transfers of Cash pursuant to transactions not prohibited herein and in the ordinary course of business; and (xii) Permitted Royalty Transactions.</w:t>
      </w:r>
    </w:p>
    <w:p>
      <w:pPr>
        <w:spacing w:after="0" w:line="187"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“Person” means any individual, sole proprietorship, partnership, joint venture, trust, unincorporated organization, association, corporation, limited liability company, institution, other entity or government. “Pledge Agreement” means the Pledge Agreement, dated as of the Prior Closing Date, between Borrower and Agent, as the same may from time to time be amended, restated, amended and restated, supplemented or otherwise modified.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“Prepayment Charge” has the meaning assigned to such term in Section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03" w:name="page104"/>
    <w:bookmarkEnd w:id="103"/>
    <w:p>
      <w:pPr>
        <w:ind w:left="1300"/>
        <w:spacing w:after="0"/>
        <w:rPr>
          <w:sz w:val="20"/>
          <w:szCs w:val="20"/>
          <w:color w:val="auto"/>
        </w:rPr>
      </w:pPr>
      <w:r>
        <w:rPr>
          <w:rFonts w:ascii="Times New Roman" w:cs="Times New Roman" w:eastAsia="Times New Roman" w:hAnsi="Times New Roman"/>
          <w:sz w:val="20"/>
          <w:szCs w:val="20"/>
          <w:color w:val="auto"/>
        </w:rPr>
        <w:t>“Prior Closing Date” has the meaning assigned to such term in the preamble to this Agreement.</w:t>
      </w:r>
    </w:p>
    <w:p>
      <w:pPr>
        <w:spacing w:after="0" w:line="21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“Receivables” means (i) all of Borrower’s Accounts, Instruments, Documents, Chattel Paper, Supporting Obligations, letters of credit, proceeds of any letter of credit, and Letter of Credit Rights, and (ii) all customer lists, software, and business records related thereto.</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“Recipient” means (a) the Agent, or (b) any Lender.</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“Register” has the meaning assigned to such term in Section 11.7.</w:t>
      </w:r>
    </w:p>
    <w:p>
      <w:pPr>
        <w:spacing w:after="0" w:line="21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specified Person, such Person’s Affiliates and the respective partners, directors, officers, employees, trustees, agents and advisors of such Person and such Person’s Affiliates.</w:t>
      </w:r>
    </w:p>
    <w:p>
      <w:pPr>
        <w:spacing w:after="0" w:line="15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“Required Lenders” means at any time, the holders of more than fifty percent (50%) of the sum of the aggregate unpaid principal amount of the Term Loans then outstanding.</w:t>
      </w:r>
    </w:p>
    <w:p>
      <w:pPr>
        <w:spacing w:after="0" w:line="15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“Restricted License” is any material License or other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the Agent’s right to sell any Collateral.</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“Safety Notices” has the meaning assigned to such term in Section 5.11.</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“Sanctioned Country” means, at any time, a country or territory which is the subject or target of 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Sanctions.</w:t>
      </w:r>
    </w:p>
    <w:p>
      <w:pPr>
        <w:spacing w:after="0" w:line="19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“Sanctioned Person” means, at any time, (a) any Person listed in any Sanctions-related list of designated Persons maintained by the Office of Foreign Assets Control of the U.S. Department of the Treasury or the U.S. Department of State, or by the United Nations Security Council, the European Union or any EU member state, (b) any Person operating, organized or resident in a Sanctioned Country or (c) any Person controlled by any such Person.</w:t>
      </w:r>
    </w:p>
    <w:p>
      <w:pPr>
        <w:spacing w:after="0" w:line="18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“Sanctions”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“SBA” has the meaning assigned to such term in Section 7.16.</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“SBIC” has the meaning assigned to such term in Section 7.16.</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“SBIC Act” has the meaning assigned to such term in Section 7.16.</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“SEC” means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04" w:name="page105"/>
    <w:bookmarkEnd w:id="104"/>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 xml:space="preserve">“Secured Obligations” means Borrower’s </w:t>
      </w:r>
      <w:r>
        <w:rPr>
          <w:rFonts w:ascii="Times New Roman" w:cs="Times New Roman" w:eastAsia="Times New Roman" w:hAnsi="Times New Roman"/>
          <w:sz w:val="20"/>
          <w:szCs w:val="20"/>
          <w:u w:val="single" w:color="auto"/>
          <w:color w:val="0000FF"/>
        </w:rPr>
        <w:t>obligations under this Agreement and any Loan Document (other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than the Warrant), including any obligation to pay any amount now owing or later arising.</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0000FF"/>
        </w:rPr>
        <w:t>“Securities Act” means the Securities Act of 1933, as amended.</w:t>
      </w:r>
    </w:p>
    <w:p>
      <w:pPr>
        <w:spacing w:after="0" w:line="21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“Subordinated Indebtedness” means Indebtedness subordinated to the Secured Obligations in amounts and on terms and conditions satisfactory to Agent in its sole discretion and subject to a subordination agreement in form and substance satisfactory to Agent in its sole discretion.</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“Subsequent Financing” means the closing of any Borrower financing which becomes effective after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Closing Date.</w:t>
      </w:r>
    </w:p>
    <w:p>
      <w:pPr>
        <w:spacing w:after="0" w:line="19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“Subsidiary” means an entity, whether corporate, partnership, limited liability company, joint venture or otherwise, in which Borrower owns or controls 50% or more of the outstanding voting securities, including each entity listed on Schedule 1 hereto. Unless otherwise specifically set forth herein, reference to a Subsidiary shall be deemed to be a reference to a Subsidiary of Parent.</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9"/>
          <w:szCs w:val="19"/>
          <w:color w:val="auto"/>
        </w:rPr>
        <w:t>“T3M Net Product Revenue” means Borrower’s net product revenue (as determined in accordance with GAAP) solely from the sale of ublituximab and umbralisib and any other proprietary assets of the Borrower (which may include royalty, profit sharing, or sales-based milestone revenue recognized in accordance with GAAP, but which shall not include any upfront or non-sales-based milestone payments under business development or licensing transactions), measured on a trailing three-month basis as of the date of the most recently delivered monthly financial statement in accordance with Section 7.1(a). For the avoidance of doubt, net product revenue shall not include any of the following to the extent not recognizable as revenue in accordance with GAAP (i) trade, quantity and cash discounts allowed by Borrower, (ii) discounts, refunds, rebates, charge backs, retroactive price adjustment and any other allowances which effectively reduce net selling price, (iii) product returns and allowances, (iv) allowances for shipping or other distribution expenses, (v) set-offs and counterclaims, and (vi) any other similar and customary deductions that are typically deducted from gross revenue and not included in net revenue in accordance with GAAP. Notwithstanding anything to the contrary herein, T3M Net Product Revenue shall not include any royalty payments associated with a Permitted Royalty Transaction or otherwise.</w:t>
      </w:r>
    </w:p>
    <w:p>
      <w:pPr>
        <w:spacing w:after="0" w:line="17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“Taxes” means all present or future taxes, levies, imposts, duties, deductions, withholdings (including backup withholding), assessments, fees or other charges imposed by any governmental authority responsible for the assessment and collection of taxes, including any interest, additions to tax or penalties applicable thereto.</w:t>
      </w:r>
    </w:p>
    <w:p>
      <w:pPr>
        <w:spacing w:after="0" w:line="17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“Term Commitment” means as to any Lender, the obligation of such Lender, if any, to make a Term Loan Advance to the Borrower in a principal amount not to exceed the amount set forth under the heading “Term Commitment” opposite such Lender’s name on Schedule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05" w:name="page106"/>
    <w:bookmarkEnd w:id="105"/>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“Term Loan Advance” means each Tranche 1 Advance, Tranche 2 Advance, Tranche 3A Advance, Tranche 3B Advance, Tranche 3C Advance, Tranche 4 Advance, Tranche 5 Advance and any other Term Loan funds advanced under this Agreement.</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“Term Loan Cash Interest Rate” means, for any day a per annum rate of interest equal to the greater of either</w:t>
      </w:r>
    </w:p>
    <w:p>
      <w:pPr>
        <w:spacing w:after="0" w:line="33" w:lineRule="exact"/>
        <w:rPr>
          <w:sz w:val="20"/>
          <w:szCs w:val="20"/>
          <w:color w:val="auto"/>
        </w:rPr>
      </w:pPr>
    </w:p>
    <w:p>
      <w:pPr>
        <w:jc w:val="both"/>
        <w:ind w:firstLine="8"/>
        <w:spacing w:after="0" w:line="242" w:lineRule="auto"/>
        <w:tabs>
          <w:tab w:leader="none" w:pos="24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“prime rate” as reported in The Wall Street Journal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1.20%, and (ii) 8.95%;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“prime rate” as reported in The Wall Street Journal is less than 7.25% at any time, the “Term Loan Cash Interest Rate” shall be 8.70% for such time.</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“Term Loan PIK Interest” has the meaning set forth in Section 2.2(c)(ii).</w:t>
      </w:r>
    </w:p>
    <w:p>
      <w:pPr>
        <w:spacing w:after="0" w:line="21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“Term Loan PIK Interest Rate” means, for any day a per annum rate of interest equal to two and a quarter percent (2.25%).</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“Term Loan Maturity Date” means January 1, 2026.</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“Term Note” means a secured term promissory note in substantially the form of Exhibit B.</w:t>
      </w:r>
    </w:p>
    <w:p>
      <w:pPr>
        <w:spacing w:after="0" w:line="21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“TG Australia” means TG Therapeutics AUS Pty Ltd, a proprietary limited company organized under the laws of Australia.</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“TG Bio” has the meaning assigned to such term in the preamble to this Agreement.</w:t>
      </w:r>
    </w:p>
    <w:p>
      <w:pPr>
        <w:spacing w:after="0" w:line="216" w:lineRule="exact"/>
        <w:rPr>
          <w:sz w:val="20"/>
          <w:szCs w:val="20"/>
          <w:color w:val="auto"/>
        </w:rPr>
      </w:pPr>
    </w:p>
    <w:p>
      <w:pPr>
        <w:jc w:val="both"/>
        <w:ind w:right="20" w:firstLine="1296"/>
        <w:spacing w:after="0" w:line="254" w:lineRule="auto"/>
        <w:rPr>
          <w:sz w:val="20"/>
          <w:szCs w:val="20"/>
          <w:color w:val="auto"/>
        </w:rPr>
      </w:pPr>
      <w:r>
        <w:rPr>
          <w:rFonts w:ascii="Times New Roman" w:cs="Times New Roman" w:eastAsia="Times New Roman" w:hAnsi="Times New Roman"/>
          <w:sz w:val="20"/>
          <w:szCs w:val="20"/>
          <w:color w:val="auto"/>
        </w:rPr>
        <w:t>“Trademark License” means any written agreement granting any right to use any Trademark or Trademark registration, now owned or hereafter acquired by Borrower or in which Borrower now holds or hereafter acquires any interest.</w:t>
      </w:r>
    </w:p>
    <w:p>
      <w:pPr>
        <w:spacing w:after="0" w:line="17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“Trademarks” means all trademarks (registered, common law or otherwise) and any applications in connection therewith, including registrations, recordings and applications in the United States Patent and Trademark Office or in any similar office or agency of the United States of America, any State thereof or any other country or any political subdivision thereof.</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“Tranche 1 Advance” has the meaning assigned to such term in Section 2.2(a)(ii).</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“Tranche 2 Advance” has the meaning assigned to such term in Section 2.2(a)(iii).</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“Tranche 3A Advance” has the meaning assigned to such term in Section 2.2(a)(iv).</w:t>
      </w:r>
    </w:p>
    <w:p>
      <w:pPr>
        <w:spacing w:after="0" w:line="21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“Tranche 3A Facility Charge” means one half of one percent (0.50%) of the aggregate Tranche 3A Advances, which is payable to Lender in accordance with Section 4.2(e).</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“Tranche 3B Advance” has the meaning assigned to such term in Section 2.2(a)(v).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06" w:name="page107"/>
    <w:bookmarkEnd w:id="106"/>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“Tranche 3B Facility Charge” means one half of one percent (0.50%) of the aggregate Tranche 3B Advances, which is payable to Lender in accordance with Section 4.2(f).</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“Tranche 3C Advance” has the meaning assigned to such term in Section 2.2(a)(vi).</w:t>
      </w:r>
    </w:p>
    <w:p>
      <w:pPr>
        <w:spacing w:after="0" w:line="21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“Tranche 3C Facility Charge” means one half of one percent (0.50%) of the aggregate Tranche 3C Advances, which is payable to Lender in accordance with Section 4.2(g).</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“Tranche 4 Advance” has the meaning assigned to such term in Section 2.2(a)(vii).</w:t>
      </w:r>
    </w:p>
    <w:p>
      <w:pPr>
        <w:spacing w:after="0" w:line="21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“Tranche 4 Facility Charge” means three quarters of one percent (0.75%) of the aggregate Tranche 4 Advances, which is payable to Lender in accordance with Section 4.2(h).</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“Tranche 5 Advance” has the meaning assigned to such term in Section 2.2(a)(viii).</w:t>
      </w:r>
    </w:p>
    <w:p>
      <w:pPr>
        <w:spacing w:after="0" w:line="21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“Tranche 5 Facility Charge” means three quarters of one percent (0.75%) of the aggregate Tranche 5 Advances, which is payable to Lender in accordance with Section 4.2(i).</w:t>
      </w:r>
    </w:p>
    <w:p>
      <w:pPr>
        <w:spacing w:after="0" w:line="159"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0"/>
          <w:szCs w:val="20"/>
          <w:color w:val="auto"/>
        </w:rPr>
        <w:t>“UCC” means the Uniform Commercial Code as the same is, from time to time, in effect in the State of California; provided, that in the event that, by reason of mandatory provisions of law, any or all of the attachment, perfection or priority of, or remedies with respect to, Agent’s Lien on any Collateral is governed by the Uniform Commercial Code as the same is, from time to time, in effect in a jurisdiction other than the State of California, then the term “UCC” shall mean the Uniform Commercial Code as in effect, from time to time, in such other jurisdiction solely for purposes of the provisions thereof relating to such attachment, perfection, priority or remedies and for purposes of definitions related to such provisions.</w:t>
      </w:r>
    </w:p>
    <w:p>
      <w:pPr>
        <w:spacing w:after="0" w:line="18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“Unrestricted Cash” means unrestricted Cash held by Borrower in account(s) subject to an Account Control Agreement in favor of Agent.</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“U.S. Person” means any Person that is a “United States person” as defined in Section 7701(a)(30)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Code.</w:t>
      </w:r>
    </w:p>
    <w:p>
      <w:pPr>
        <w:spacing w:after="0" w:line="194"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“Warrant” means any warrant entered into in connection with the Existing Term Loan or the Loan, in each case as may be amended, restated, amended and restated, supplemented or otherwise modified from time to time.</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“Withholding Agent” means the Borrower and the Agent.</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Unless otherwise specified, all references in this Agreement or any Annex or Schedule hereto to a “Section,” “subsection,” “Exhibit,” “Annex,” or “Schedule” shall refer to the corresponding Section, subsection, Exhibit, Annex, or Schedule in or to this Agreement. Unless otherwise specifically provided herein, any accounting term used in this Agreement or the other Loan Documents shall have the meaning customarily given such term in accordance with GAAP, and all financial computations hereunder shall be computed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07" w:name="page108"/>
    <w:bookmarkEnd w:id="107"/>
    <w:p>
      <w:pPr>
        <w:jc w:val="both"/>
        <w:spacing w:after="0" w:line="244" w:lineRule="auto"/>
        <w:rPr>
          <w:sz w:val="20"/>
          <w:szCs w:val="20"/>
          <w:color w:val="auto"/>
        </w:rPr>
      </w:pPr>
      <w:r>
        <w:rPr>
          <w:rFonts w:ascii="Times New Roman" w:cs="Times New Roman" w:eastAsia="Times New Roman" w:hAnsi="Times New Roman"/>
          <w:sz w:val="20"/>
          <w:szCs w:val="20"/>
          <w:color w:val="auto"/>
        </w:rPr>
        <w:t>consistently applied. Unless otherwise defined herein or in the other Loan Documents, terms that are used herein or in the other Loan Documents and defined in the UCC shall have the meanings given to them in the UCC.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3. THE LOAN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4. [Reserved].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5. Term Loan.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6. Advances.</w:t>
      </w:r>
    </w:p>
    <w:p>
      <w:pPr>
        <w:spacing w:after="0" w:line="21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SECTION 7. Agent, Lender and Borrower acknowledge that prior to the Closing Date, Borrower has drawn the Existing Term Loan;</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SECTION 8. Subject to the terms and conditions of this Agreement, Lender will severally (and not jointly) make in an amount not to exceed its respective Term Commitment, and Borrower agrees to draw, a Term Loan Advance of Seventy Million Dollars ($70,000,000) on the Closing Date (the “Tranche 1 Advance”), a portion of which shall be used by Borrower on the Closing Date to repay the Existing Term Loan in full pursuant to Section 4.1(h);</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SECTION 9. Subject to the terms and conditions of this Agreement, beginning on the date Borrower achieves Performance Milestone I and continuing through December 31, 2022, Borrower may request and Lender shall make an additional Term Loan Advance in a principal amount of Twenty Million Dollars ($20,000,000) (the “Tranche 2 Advance”). Borrower acknowledges and agrees that the draw period for Tranche 2 Advances has expired without any Tranche 2 Advances being drawn;</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SECTION 10. Subject to the terms and conditions of this Agreement, on the First Amendment Effective Date, Lender will severally (and not jointly) make in an amount not to exceed its respective Term Commitment, and Borrower agrees to draw, a Term Loan Advance of Twenty-Five Million Dollars ($25,000,000) on the First Amendment Effective Date (the “Tranche 3A Advance”);</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SECTION 11. Subject to the terms and conditions of this Agreement, beginning on the First Amendment Effective Date and continuing through September 15, 2023, Borrower may request and Lender shall make up to two additional Term Loan Advances in an aggregate principal amount of up to Ten Million Dollars ($10,000,000) in minimum increments of Five Million Dollars ($5,000,000) (each a “Tranche 3B Advance”);</w:t>
      </w:r>
    </w:p>
    <w:p>
      <w:pPr>
        <w:spacing w:after="0" w:line="18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SECTION 12. Subject to the terms and conditions of this Agreement, beginning on the date Borrower has borrowed Ten Million Dollars ($10,000,000) of Tranche 3B Advances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08" w:name="page109"/>
    <w:bookmarkEnd w:id="108"/>
    <w:p>
      <w:pPr>
        <w:jc w:val="both"/>
        <w:spacing w:after="0" w:line="254" w:lineRule="auto"/>
        <w:rPr>
          <w:sz w:val="20"/>
          <w:szCs w:val="20"/>
          <w:color w:val="auto"/>
        </w:rPr>
      </w:pPr>
      <w:r>
        <w:rPr>
          <w:rFonts w:ascii="Times New Roman" w:cs="Times New Roman" w:eastAsia="Times New Roman" w:hAnsi="Times New Roman"/>
          <w:sz w:val="20"/>
          <w:szCs w:val="20"/>
          <w:color w:val="auto"/>
        </w:rPr>
        <w:t>clause (v) above, and continuing through September 15, 2023, Borrower may request and Lender shall make up to two additional Term Loan Advances in an aggregate principal amount of up to Ten Million Dollars ($10,000,000) in minimum increments of Five Million Dollars ($5,000,000) (each a “Tranche 3C Advance”);</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SECTION 13. Subject to the terms and conditions of this Agreement, and conditioned on approval by Lenders’ investment committee in its sole discretion, prior to the Amortization Date, Borrower may request additional Term Loan Advances in an aggregate principal amount of up to Sixty Million Dollars ($60,000,000), in minimum increments of Five Million Dollars ($5,000,000) (each, a “Tranche 4 Advance”);</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SECTION 14. Subject to the terms and conditions of this Agreement, beginning on the date Borrower achieves Performance Milestone III and continuing through the earlier to occur of (x) thirty (30) days after the date Borrower achieves Performance Milestone III and (y) September 30, 2024, Borrower may request and Lender shall make an additional Term Loan Advance in a principal amount of up to Twenty Five Million Dollars ($25,000,000), in minimum increments of Five Million Dollars ($5,000,000) (each, a “Tranche 5 Advance”); and</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SECTION 15. The aggregate outstanding Term Loan Advances may be up to but shall not exceed the Maximum Term Loan Amount plus, for the avoidance of doubt, any amount equal to the Term Loan PIK Interest added to principal pursuant to Section 2.2(c)(ii).</w:t>
      </w:r>
    </w:p>
    <w:p>
      <w:pPr>
        <w:spacing w:after="0" w:line="1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SECTION 16. Advance Request. To obtain a Term Loan Advance, Borrower shall complete, sign and deliver an Advance Request at least five (5) Business Days before the proposed Advance Date (other than the Tranche 1 Advance to be made on the Closing Date, for which Borrower shall complete, sign and deliver an Advance Request at least one (1) Business Day prior to the Closing Date and the Tranche 3A Advance to be made on the First Amendment Effective Date, for which Borrower shall complete, sign and deliver an Advance Request at least one (1) Business Day prior to the First Amendment Effective Date) to Agent. Lender shall fund the Term Loan Advance in the manner requested by the Advance Request provided that each of the conditions precedent to such Term Loan Advance is satisfied as of the requested Advance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17. Interest.</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SECTION 18. Term Loan Cash Interest Rate. In addition to interest accrued pursuant to the Term Loan PIK Interest Rate, the principal balance (including, for the avoidance of doubt, any amount equal to the Term Loan PIK Interest added to principal pursuant to Section 2.2(c)(ii)) of each Term Loan Advance shall bear interest thereon from such Advance Date (or from the date such amount equal to the Term Loan PIK Interest is added to the principal) at the Term Loan Cash Interest Rate) based on a year consisting of three hundred and sixty (360) days, with interest computed daily based on the actual number of days elapsed. The Term Loan Cash Interest Rate will float and change on the day the “prime rate” as reported in the Wall Street Journal changes from time to time.</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SECTION 19. Term Loan PIK Interest Rate. In addition to interest accrued pursuant to the Term Loan Cash Interest Rate, the principal balance of each Term Loan Advance shall bear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09" w:name="page110"/>
    <w:bookmarkEnd w:id="109"/>
    <w:p>
      <w:pPr>
        <w:jc w:val="both"/>
        <w:spacing w:after="0" w:line="246" w:lineRule="auto"/>
        <w:rPr>
          <w:sz w:val="20"/>
          <w:szCs w:val="20"/>
          <w:color w:val="auto"/>
        </w:rPr>
      </w:pPr>
      <w:r>
        <w:rPr>
          <w:rFonts w:ascii="Times New Roman" w:cs="Times New Roman" w:eastAsia="Times New Roman" w:hAnsi="Times New Roman"/>
          <w:sz w:val="20"/>
          <w:szCs w:val="20"/>
          <w:color w:val="auto"/>
        </w:rPr>
        <w:t>interest thereon from such Advance Date at the Term Loan PIK Interest Rate based on a year consisting of three hundred and sixty (360) days, with interest computed daily based on the actual number of days elapsed (the “Term Loan PIK Interest”), which amount shall be added to the outstanding principal balance and so capitalized so as to increase the outstanding principal balance of such Term Loan Advance on each payment date for such Advance and which amount shall be payable when the principal amount of the applicable Advance is payable in accordance with Section 2.2(d).</w:t>
      </w:r>
    </w:p>
    <w:p>
      <w:pPr>
        <w:spacing w:after="0" w:line="18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0"/>
          <w:szCs w:val="20"/>
          <w:color w:val="auto"/>
        </w:rPr>
        <w:t>SECTION 20. Payment. Borrower will pay interest on the Term Loan Advance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20"/>
          <w:szCs w:val="20"/>
          <w:color w:val="auto"/>
        </w:rPr>
        <w:t>) Business Day of each month, beginning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20"/>
          <w:szCs w:val="20"/>
          <w:color w:val="auto"/>
        </w:rPr>
        <w:t>) Business Day of the month after the Advance Date continuing until the Amortization Date. Borrower shall repay the principal balance of the Term Loan Advance that is outstanding as of the day immediately preceding the Amortization Date, in equal monthly installments of principal and interest beginning on the Amortization Date and continuing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20"/>
          <w:szCs w:val="20"/>
          <w:color w:val="auto"/>
        </w:rPr>
        <w:t>) Business Day of each month thereafter until the Secured Obligations are repaid; provided, that if the Term Loan Cash Interest Rate is adjusted in accordance with its terms, or the Amortization Date or the Term Loan Maturity Date is extended, the amount of each subsequent monthly installment shall be recalculated so that the remaining payments shall be equal monthly installments of principal and interest beginning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20"/>
          <w:szCs w:val="20"/>
          <w:color w:val="auto"/>
        </w:rPr>
        <w:t>) Business Day of the month following such recalculation and continuing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20"/>
          <w:szCs w:val="20"/>
          <w:color w:val="auto"/>
        </w:rPr>
        <w:t>) Business Day of each month thereafter until the Secured Obligations are repaid in full. The entire remaining principal balance of the Term Loan Advance and all accrued but unpaid interest hereunder, shall be due and payable on the Term Loan Maturity Date. Borrower shall make all payments under this Agreement without setoff, recoupment or deduction and regardless of any counterclaim or defense. Lender will initiate debit entries to the Borrower’s account as authorized on the ACH Authorization (i) on each payment date of all periodic obligations payable to Lender with respect to the Term Loan Advance and (ii) out-of-pocket legal fees and costs incurred by Agent or Lender in connection with Section 11.11 of this Agreement; provided that, with respect to clause (i) above, in the event that Lender or Agent informs Borrower that Lender will not initiate a debit entry to such Borrower’s account for a certain amount of the periodic obligations due on a specific payment date, Borrower shall pay to Lender such amount of periodic obligations in full in immediately available funds on such payment date; provided, further, that, with respect to clause (i) above, if Lender or Agent informs Borrower that Lender will not initiate a debit entry as described above later than the date that is three (3) Business Days prior to such payment date, Borrower shall pay to Lender such amount of periodic obligations in full in immediately available funds on the date that is three (3) Business Days after the date on which Lender or Agent notifies Borrower thereof; provided, further, that, with respect to clause (ii) above, in the event that Lender or Agent informs Borrower that Lender will not initiate a debit entry to a Borrower’s account for specified out-of-pocket legal fees and costs incurred by Agent or Lender, Borrower shall pay to Lender such amount in full in immediately available funds within three (3) Business Days.</w:t>
      </w:r>
    </w:p>
    <w:p>
      <w:pPr>
        <w:spacing w:after="0" w:line="20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SECTION 21. Maximum Interest. Notwithstanding any provision in this Agreement or any other Loan Document, it is the parties’ intent not to contract for, charge or receive interest at a rate that is greater than the maximum rate permissible by law that a court of competent jurisdiction shall deem applicable hereto (which under the laws of the State of California shall be deemed to be the laws relating to permissible rates of interest on commercial loans) (the “Maximum Rate”). If a court of competent jurisdiction shall finally determine that Borrower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10" w:name="page111"/>
    <w:bookmarkEnd w:id="110"/>
    <w:p>
      <w:pPr>
        <w:jc w:val="both"/>
        <w:spacing w:after="0" w:line="246" w:lineRule="auto"/>
        <w:rPr>
          <w:sz w:val="20"/>
          <w:szCs w:val="20"/>
          <w:color w:val="auto"/>
        </w:rPr>
      </w:pPr>
      <w:r>
        <w:rPr>
          <w:rFonts w:ascii="Times New Roman" w:cs="Times New Roman" w:eastAsia="Times New Roman" w:hAnsi="Times New Roman"/>
          <w:sz w:val="20"/>
          <w:szCs w:val="20"/>
          <w:color w:val="auto"/>
        </w:rPr>
        <w:t>actually paid to Lender an amount of interest in excess of the amount that would have been payable if all of the Secured Obligations had at all times borne interest at the Maximum Rate, then such excess interest actually paid by Borrower shall be applied as follows: first, to the payment of the Secured Obligations consisting of the outstanding principal; second, after all principal is repaid, to the payment of Lender’s accrued interest, costs, expenses, professional fees and any other Secured Obligations; and third, after all Secured Obligations are repaid, the excess (if any) shall be refunded to Borrower.</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SECTION 22. Default Interest. In the event any payment is not paid on the scheduled payment date, an amount equal to four percent (4%) of the past due amount shall be payable on demand. In addition, upon the occurrence and during the continuation of an Event of Default hereunder, all Secured Obligations, including principal, interest, compounded interest, and professional fees, shall bear interest at a rate per annum equal to the rate set forth in Section 2.2(c), plus four percent (4%) per annum. In the event any interest is not paid when due hereunder, delinquent interest shall be added to principal and shall bear interest on interest, compounded at the rate set forth in Section 2.2(c) or Section 2.4, as applicable.</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SECTION 23. Prepayment. At its option upon written notice to Agent, Borrower may prepay all or any portion of the outstanding Advances by paying the entire principal balance (or portion thereof, which portion shall include a proportionate amount of initial principal of the applicable Advances being prepaid, and principal attributable to Term Loan PIK Interest added to the outstanding principal balance of such Advances pursuant to Section 2.2(c)(ii)), all accrued and unpaid interest thereon, together with a prepayment charge equal to the following percentage of the Advance amount being prepaid: (a) with respect to the initial principal amount of each Advance being prepaid, if such Advance amounts are prepaid prior to March 31, 2024, one and a half percent (1.50 %); and on or after March 31, 2024, one percent (1.00%) and (b) with respect to the principal attributable to Term Loan PIK Interest added to the outstanding principal balance of the Advances pursuant to Section 2.2(c)(ii), if such Advance amounts are prepaid on or prior to the thirty (30) month anniversary of the Closing Date, one percent (1.00%); and thereafter, zero percent (0.00%) (clauses (a) and (b), collectively, the “Prepayment Charge”). Borrower agrees that the Prepayment Charge is a reasonable calculation of Lender’s lost profits in view of the difficulties and impracticality of determining actual damages resulting from an early repayment of the Advances. Borrower shall prepay the outstanding amount of all principal and accrued interest through the prepayment date and the Prepayment Charge upon the occurrence of a Change in Control. Notwithstanding the foregoing, no Prepayment Charge will be required to be paid in connection with any prepayment if such prepayment is made in connection with a refinancing of the Advances with Agent and Lender (such refinancing to be made in Agent and Lenders’ sole and absolute discretion) prior to the Term Loan Maturity Date. Any amounts paid under this Section shall be applied by Agent to the then unpaid amount of any Secured Obligations (including principal and interest) in such order and priority as Agent may choose in its sole discretion.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24. End of Term Charge.</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SECTION 25. On the earliest to occur of (i) March 1, 2022, (ii) the date that Borrower prepays the outstanding Secured Obligations (other than any inchoate indemnity obligations and any other obligations which, by their terms, are to survive the termination of this Agreement)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11" w:name="page112"/>
    <w:bookmarkEnd w:id="111"/>
    <w:p>
      <w:pPr>
        <w:jc w:val="both"/>
        <w:spacing w:after="0" w:line="246" w:lineRule="auto"/>
        <w:rPr>
          <w:sz w:val="20"/>
          <w:szCs w:val="20"/>
          <w:color w:val="auto"/>
        </w:rPr>
      </w:pPr>
      <w:r>
        <w:rPr>
          <w:rFonts w:ascii="Times New Roman" w:cs="Times New Roman" w:eastAsia="Times New Roman" w:hAnsi="Times New Roman"/>
          <w:sz w:val="20"/>
          <w:szCs w:val="20"/>
          <w:color w:val="auto"/>
        </w:rPr>
        <w:t>or (iii) the date that the Secured Obligations become due and payable, Borrower shall pay Existing Lender a charge equal to Nine Hundred Seventy-Five Thousand Dollars ($975,000) in respect of the Existing Term Loan, which payment will, for the avoidance of doubt, satisfy the “End of Term Charge” referred to in the Existing Loan Agreement. Notwithstanding the required payment date of such charge, it shall be deemed earned by Existing Lender as of the Prior Closing Date (the “Existing End of Term Charge”).</w:t>
      </w:r>
    </w:p>
    <w:p>
      <w:pPr>
        <w:spacing w:after="0" w:line="1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SECTION 26. On the earliest to occur of (i) the Term Loan Maturity Date, (ii) the date that Borrower prepays any portion of the outstanding Secured Obligations (other than any inchoate indemnity obligations and any other obligations which, by their terms, are to survive the termination of this Agreement) in full or in part, or (iii) the date that the Secured Obligations become due and payable, Borrower shall pay Lender a charge equal to (x) 5.95% of the aggregate principal amount of the Tranche 1 Advances (with respect to a partial prepayment under clause (ii) above, limited to the principal amount of Tranche 1 Advances so prepaid)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(y) 4.95% of the aggregate principal amount of all other Advances (with respect to a partial prepayment under clause (ii) above, limited to the principal amount of such other Advances so prepaid). Notwithstanding the required payment date of such charge, the applicable pro rata portion of the End of Term Charge shall be deemed earned by Lender as of the applicable Advance Date.</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SECTION 27. Notes. If so requested by Lender by written notice to Borrower, then Borrower shall execute and deliver to Lender (and/or, if applicable and if so specified in such notice, to any Person who is an assignee of Lender pursuant to Section 11.13) (promptly after the Borrower’s receipt of such notice) a Note or Notes to evidence Lender’s Loans.</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SECTION 28. Pro Rata Treatment. Each payment (including prepayment) on account of any fee and any reduction of the Term Loans shall be made pro rata according to the Term Commitments of the relevant Lender.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29. Taxes.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30. Defined Terms. For purposes of this Section, the term “applicable law” includes FATCA.</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SECTION 31. Payments Free of Taxes. Any and all payments by or on account of any obligation of the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of Indemnified Taxes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12" w:name="page113"/>
    <w:bookmarkEnd w:id="112"/>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SECTION 32. Payment of Other Taxes by Borrower. The Borrower shall timely pay to the relevant governmental authority in accordance with applicable law, or at the option of the Agent timely reimburse it for the payment of, any Other Taxes.</w:t>
      </w:r>
    </w:p>
    <w:p>
      <w:pPr>
        <w:spacing w:after="0" w:line="15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SECTION 33. Indemnification by Borrower. The Borrower shall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Agent), or by the Agent on its own behalf or on behalf of a Lender, shall be conclusive absent manifest error.</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SECTION 34. Indemnification by the Lenders. Each Lender shall severally indemnify the Agent, within ten (10) days after demand therefor, for (i) any Indemnified Taxes attributable to such Lender (but only to the extent that the Borrower has not already indemnified the Agent for such Indemnified Taxes and without limiting the obligation of the Borrower to do so), and</w:t>
      </w:r>
    </w:p>
    <w:p>
      <w:pPr>
        <w:jc w:val="both"/>
        <w:ind w:firstLine="8"/>
        <w:spacing w:after="0"/>
        <w:tabs>
          <w:tab w:leader="none" w:pos="303"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paragraph (e).</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SECTION 35. Evidence of Payments. As soon as practicable after any payment of Taxes by the Borrower to a governmental authority pursuant to this Section, the Borrower shall deliver to the Agent the original or a certified copy of a receipt issued by such governmental authority evidencing such payment, a copy of the return reporting such payment or other evidence of such payment reasonably satisfactory to the Agent.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36. Status of Lenders.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SECTION 37. 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(g)(ii)(1), (ii)(2) and (iv) of this Section) shall not be required if in the Lender’s reasonable judgment such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13" w:name="page114"/>
    <w:bookmarkEnd w:id="113"/>
    <w:p>
      <w:pPr>
        <w:jc w:val="both"/>
        <w:spacing w:after="0" w:line="269" w:lineRule="auto"/>
        <w:rPr>
          <w:sz w:val="20"/>
          <w:szCs w:val="20"/>
          <w:color w:val="auto"/>
        </w:rPr>
      </w:pPr>
      <w:r>
        <w:rPr>
          <w:rFonts w:ascii="Times New Roman" w:cs="Times New Roman" w:eastAsia="Times New Roman" w:hAnsi="Times New Roman"/>
          <w:sz w:val="20"/>
          <w:szCs w:val="20"/>
          <w:color w:val="auto"/>
        </w:rPr>
        <w:t>execution or submission would subject such Lender to any material unreimbursed cost or expense or would materially prejudice the legal or commercial position of such Lender.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38. Without limiting the generality of the foregoing, in the event that the Borrower is a U.S. Person,</w:t>
      </w:r>
    </w:p>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SECTION 39. any Lender that is a U.S. Person shall deliver to the Borrower and the Agent on or before the date on which such Lender becomes a Lender under this Agreement (and from time to time thereafter upon the reasonable request of the Borrower or the Agent), executed copies of IRS Form W-9 certifying that such Lender is exempt from U.S. federal backup withholding Tax;</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SECTION 40. any Foreign Lender shall, to the extent it is legally entitled to do so, deliver to the Borrower and the Agent (in such number of copies as shall be requested by the recipient) on or before the date on which such Foreign Lender becomes a Lender under this Agreement (and from time to time thereafter upon the reasonable request of the Borrower or the Agent), whichever of the following is applicable:</w:t>
      </w:r>
    </w:p>
    <w:p>
      <w:pPr>
        <w:spacing w:after="0" w:line="180" w:lineRule="exact"/>
        <w:rPr>
          <w:sz w:val="20"/>
          <w:szCs w:val="20"/>
          <w:color w:val="auto"/>
        </w:rPr>
      </w:pPr>
    </w:p>
    <w:p>
      <w:pPr>
        <w:jc w:val="both"/>
        <w:ind w:left="900" w:hanging="1"/>
        <w:spacing w:after="0" w:line="260" w:lineRule="auto"/>
        <w:tabs>
          <w:tab w:leader="none" w:pos="1305"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72" w:lineRule="exact"/>
        <w:rPr>
          <w:rFonts w:ascii="Times New Roman" w:cs="Times New Roman" w:eastAsia="Times New Roman" w:hAnsi="Times New Roman"/>
          <w:sz w:val="19"/>
          <w:szCs w:val="19"/>
          <w:color w:val="auto"/>
        </w:rPr>
      </w:pPr>
    </w:p>
    <w:p>
      <w:pPr>
        <w:ind w:left="1300" w:hanging="401"/>
        <w:spacing w:after="0"/>
        <w:tabs>
          <w:tab w:leader="none" w:pos="13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w:t>
      </w:r>
    </w:p>
    <w:p>
      <w:pPr>
        <w:spacing w:after="0" w:line="215" w:lineRule="exact"/>
        <w:rPr>
          <w:rFonts w:ascii="Times New Roman" w:cs="Times New Roman" w:eastAsia="Times New Roman" w:hAnsi="Times New Roman"/>
          <w:sz w:val="20"/>
          <w:szCs w:val="20"/>
          <w:color w:val="auto"/>
        </w:rPr>
      </w:pPr>
    </w:p>
    <w:p>
      <w:pPr>
        <w:jc w:val="both"/>
        <w:ind w:left="900" w:hanging="1"/>
        <w:spacing w:after="0" w:line="245" w:lineRule="auto"/>
        <w:tabs>
          <w:tab w:leader="none" w:pos="1305"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the exemption for portfolio interest under Section 881(c) of the Code, (x) a certificate substantially in the form of Exhibit K-1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“U.S. Tax Compliance Certificate”) and (y) executed copies of IRS Form W-8BEN or IRS Form W 8BEN-E; or</w:t>
      </w:r>
    </w:p>
    <w:p>
      <w:pPr>
        <w:spacing w:after="0" w:line="184" w:lineRule="exact"/>
        <w:rPr>
          <w:rFonts w:ascii="Times New Roman" w:cs="Times New Roman" w:eastAsia="Times New Roman" w:hAnsi="Times New Roman"/>
          <w:sz w:val="20"/>
          <w:szCs w:val="20"/>
          <w:color w:val="auto"/>
        </w:rPr>
      </w:pPr>
    </w:p>
    <w:p>
      <w:pPr>
        <w:jc w:val="both"/>
        <w:ind w:left="900" w:hanging="1"/>
        <w:spacing w:after="0" w:line="244" w:lineRule="auto"/>
        <w:tabs>
          <w:tab w:leader="none" w:pos="1305"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 Foreign Lender is not the beneficial owner, executed copies of IRS Form W-8IMY, accompanied by IRS Form W-8ECI, IRS Form W-8BEN, IRS Form W 8BEN-E, a U.S. Tax Compliance Certificate substantially in the form of Exhibit K-2 or Exhibit K-3,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K-4 on behalf of each such direct and indirect partner;</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SECTION 41. any Foreign Lender shall, to the extent it is legally entitled to do so, deliver to the Borrower and the Agent (in such number of copies as shall be requested by the recipient) on or about the date on which such Foreign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 and</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SECTION 42.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Agent at the time or times prescribed by law and at such time or times reasonably requested by the Borrower or the Agent such documentation prescribed by applicable law (including as prescribed by Section 1471(b)(3)(C)(i) of the Code) and such additional documentation reasonably requested by the Borrower or the Agent as may be necessary for the Borrower and the Agent to comply with their obligations under FATCA and to determine that such Lender has complied with such</w:t>
      </w:r>
    </w:p>
    <w:p>
      <w:pPr>
        <w:sectPr>
          <w:pgSz w:w="11900" w:h="16838" w:orient="portrait"/>
          <w:cols w:equalWidth="0" w:num="1">
            <w:col w:w="9920"/>
          </w:cols>
          <w:pgMar w:left="980" w:top="873" w:right="99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type w:val="continuous"/>
        </w:sectPr>
      </w:pPr>
    </w:p>
    <w:bookmarkStart w:id="114" w:name="page115"/>
    <w:bookmarkEnd w:id="114"/>
    <w:p>
      <w:pPr>
        <w:jc w:val="both"/>
        <w:spacing w:after="0" w:line="269" w:lineRule="auto"/>
        <w:rPr>
          <w:sz w:val="20"/>
          <w:szCs w:val="20"/>
          <w:color w:val="auto"/>
        </w:rPr>
      </w:pPr>
      <w:r>
        <w:rPr>
          <w:rFonts w:ascii="Times New Roman" w:cs="Times New Roman" w:eastAsia="Times New Roman" w:hAnsi="Times New Roman"/>
          <w:sz w:val="20"/>
          <w:szCs w:val="20"/>
          <w:color w:val="auto"/>
        </w:rPr>
        <w:t>Lender’s obligations under FATCA or to determine the amount, if any, to deduct and withhold from such payment. Solely for purposes of this clause (iv), “FATCA” shall include any amendments made to FATCA after the date of this Agreement.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SECTION 43. Each Lender agrees that if any form or certification it previously delivered expires or becomes obsolete or inaccurate in any respect, it shall update such form or certification or promptly notify the Borrower and the Agent in writing of its legal inability to do so.</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SECTION 44. Treatment of Certain Refunds.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(i) (plus any penalties, interest or other charges imposed by the relevant governmental authority) in the event that such indemnified party is required to repay such refund to such governmental authority. Notwithstanding anything to the contrary in this paragraph (i), in no event will the indemnified party be required to pay any amount to an indemnifying party pursuant to this paragraph (i)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SECTION 45. Survival. Each party’s obligations under this Section shall survive the resignation or replacement of the Agent or any assignment of rights by, or the replacement of, a Lender, the termination of the Term Commitment and the repayment, satisfaction or discharge of all obligations under any Loan Document.</w:t>
      </w:r>
    </w:p>
    <w:p>
      <w:pPr>
        <w:spacing w:after="0" w:line="1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SECTION 46. Borrower agrees that the Existing End of Term Charge, any Prepayment Charge and any End of Term Charge (collectively, the “Prepayment and End of Term Charges”) payable shall be presumed to be the liquidated damages sustained by each Lender as the result of the early termination, and Borrower agrees that it is reasonable under the circumstances existing as of the Closing Date and the First Amendment Effective Date (and, with respect to the Existing End of Term Charge as of the Prior Closing Date). The Prepayment and End of Term Charges shall also be payable in the event the Secured Obligations (and/or this Agreement) are satisfied or released by foreclosure (whether by power of judicial proceeding), deed in lieu of foreclosure, or by any other means. Borrower expressly waives (to the fullest extent it may lawfully do so) the provisions of any present or future statute or law that prohibits or may prohibit the collection of the foregoing Prepayment and End of Term Charges in connection with any such acceleration. Borrower agrees (to the fullest extent that each may lawfully do so): (a) each of the Prepayment and End of Term Charges is reasonable and is the product of an arm’s length transaction between sophisticated business people, ably represented by counsel; (b) each of the Prepayment and End of Term Charges shall be payable notwithstanding the then prevailing market rates at the time payment is made; (c) there has been a course of conduct between the Lenders and Borrower giving specific consideration in this transaction for such agreement to pay each of the Prepayment and End of Term Charges as a charge (and not interest) in the event of prepayment or acceleration; (d) Borrower shall be estopped from claiming differently than as agreed to in this paragraph. Borrower expressly acknowledges that their agreement to pay each of the Prepayment Charge and the End of Term Charge to the Lenders as herein described was on the Closing Date and the First Amendment Effective Date (and, with respect to the Existing End of Term Charge as of the Prior Closing Date), and continues to be, a material inducement to the Lenders to provide the Term Loans.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47. SECURITY INTEREST</w:t>
      </w:r>
    </w:p>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SECTION 48. As security for the prompt and complete payment when due (whether on the payment dates or otherwise) of all the Secured Obligations, Borrower grants, and reaffirms the grant provided under the Existing Loan Agreement and all Existing Loan Documents, to Agent a security interest in all of Borrower’s </w:t>
      </w:r>
      <w:r>
        <w:rPr>
          <w:rFonts w:ascii="Times New Roman" w:cs="Times New Roman" w:eastAsia="Times New Roman" w:hAnsi="Times New Roman"/>
          <w:sz w:val="20"/>
          <w:szCs w:val="20"/>
          <w:u w:val="single" w:color="auto"/>
          <w:color w:val="auto"/>
        </w:rPr>
        <w:t>right, title, and interest in, to and under all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Borrower’s personal property and other assets (other than any Intellectual Property) including without limitation the</w:t>
      </w:r>
    </w:p>
    <w:p>
      <w:pPr>
        <w:sectPr>
          <w:pgSz w:w="11900" w:h="16838" w:orient="portrait"/>
          <w:cols w:equalWidth="0" w:num="1">
            <w:col w:w="9920"/>
          </w:cols>
          <w:pgMar w:left="980" w:top="873"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type w:val="continuous"/>
        </w:sectPr>
      </w:pPr>
    </w:p>
    <w:bookmarkStart w:id="115" w:name="page116"/>
    <w:bookmarkEnd w:id="115"/>
    <w:p>
      <w:pPr>
        <w:jc w:val="both"/>
        <w:spacing w:after="0" w:line="241" w:lineRule="auto"/>
        <w:rPr>
          <w:sz w:val="20"/>
          <w:szCs w:val="20"/>
          <w:color w:val="auto"/>
        </w:rPr>
      </w:pPr>
      <w:r>
        <w:rPr>
          <w:rFonts w:ascii="Times New Roman" w:cs="Times New Roman" w:eastAsia="Times New Roman" w:hAnsi="Times New Roman"/>
          <w:sz w:val="20"/>
          <w:szCs w:val="20"/>
          <w:u w:val="single" w:color="auto"/>
          <w:color w:val="auto"/>
        </w:rPr>
        <w:t>following (except as set forth herein) whether</w:t>
      </w:r>
      <w:r>
        <w:rPr>
          <w:rFonts w:ascii="Times New Roman" w:cs="Times New Roman" w:eastAsia="Times New Roman" w:hAnsi="Times New Roman"/>
          <w:sz w:val="20"/>
          <w:szCs w:val="20"/>
          <w:color w:val="auto"/>
        </w:rPr>
        <w:t xml:space="preserve"> now owned or hereafter acquired (collectively, the “Collateral”): (a) Receivables; (b) Equipment; (c) Fixtures; (d) General Intangibles (other than Intellectual Property); (e) Inventory; (f) Investment Property; (g) Deposit Accounts; (h) Cash; (i) Goods; and all other tangible and intangible personal property of Borrower whether now or hereafter owned or existing, leased, consigned by or to, or acquired by, Borrower and wherever located, and any of Borrower’s property in the possession or under the control of Agent; and, to the extent not otherwise included, all Proceeds of each of the foregoing and all accessions to, substitutions and replacements for, and rents, profits and products of each of the foregoing; provided, however, that the Collateral shall include all Accounts and General Intangibles that consist of rights to payment and proceeds from the sale, licensing or disposition of all or any part, or rights in, the Intellectual Property (the “Rights to Payment”). Notwithstanding the foregoing, if a judicial authority (including a U.S. Bankruptcy Court) holds that a security interest in the underlying Intellectual Property is necessary to have a security interest in the Rights to Payment, then the Collateral shall automatically, and effective as of the date of this Agreement, include the Intellectual Property to the extent necessary to permit perfection of Agent’s security interest in the Rights to Payment</w:t>
      </w:r>
      <w:r>
        <w:rPr>
          <w:rFonts w:ascii="Times New Roman" w:cs="Times New Roman" w:eastAsia="Times New Roman" w:hAnsi="Times New Roman"/>
          <w:sz w:val="20"/>
          <w:szCs w:val="20"/>
          <w:u w:val="single" w:color="auto"/>
          <w:color w:val="auto"/>
        </w:rPr>
        <w:t>.</w:t>
      </w:r>
    </w:p>
    <w:p>
      <w:pPr>
        <w:spacing w:after="0" w:line="19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SECTION 49. Notwithstanding the broad grant of the security interest set forth in Section 3.1 above, the Collateral shall not include (a) licenses or other contracts, which by their terms require the consent of the licensor thereof or another party for a grant of a security interest therein or the assignment thereof or in any assets subject thereto (but only to the extent such prohibition on transfer is enforceable under applicable law, including, without limitation, Sections 9406, 9407 and 9408 of the UCC), (b) any property and assets the pledge of which would require governmental consent, approval, license or authorization or is prohibited or restricted by applicable law (after giving effect to the applicable anti-assignment provisions of the UCC or other applicable law), (c) Equipment or other assets otherwise constituting Collateral owned by Borrower on the date hereof or hereafter acquired that is subject to a Lien securing purchase money Indebtedness or capital lease obligations permitted to be incurred pursuant to the provisions of this Agreement if the contract or other agreement in which such Lien is granted (or the documentation providing for such purchase money Indebtedness or capital lease obligations) validly prohibits the creation of any other Lien on such Equipment or such other asset, (d) Excluded Accounts, or (e) more than sixty five percent (65%) of the presently existing and hereafter arising issued and outstanding shares of capital stock owned by Borrower of any Excluded Foreign Subsidiary which shares entitle the holder thereof to vote for directors or any other matter; provided that with respect to clauses (a), (b) and (c), upon termination of such prohibition, such interest shall immediately become Collateral without any action by Borrower, Agent or Lender.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50. CONDITIONS PRECEDENT TO LOAN</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obligations of Lender to make the Loan hereunder are subject to the satisfaction by Borrower of the following conditions:</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SECTION 51. Closing Date Advance. On or prior to the Closing Date, Borrower shall have delivered to Agent the following:</w:t>
      </w:r>
    </w:p>
    <w:p>
      <w:pPr>
        <w:spacing w:after="0" w:line="159" w:lineRule="exact"/>
        <w:rPr>
          <w:sz w:val="20"/>
          <w:szCs w:val="20"/>
          <w:color w:val="auto"/>
        </w:rPr>
      </w:pPr>
    </w:p>
    <w:p>
      <w:pPr>
        <w:jc w:val="both"/>
        <w:ind w:left="660" w:firstLine="644"/>
        <w:spacing w:after="0" w:line="249" w:lineRule="auto"/>
        <w:tabs>
          <w:tab w:leader="none" w:pos="195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the Loan Documents (including the Warrant; provided that an original of the Warrant shall be delivered to Agent within three (3) Business Days of the Closing Date), Account Control Agreements with respect to each of Borrower’s Deposit Accounts and securities accounts as of the Closing Date (subject to Section 7.22(a)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16" w:name="page117"/>
    <w:bookmarkEnd w:id="116"/>
    <w:p>
      <w:pPr>
        <w:jc w:val="both"/>
        <w:ind w:left="660" w:right="20"/>
        <w:spacing w:after="0" w:line="254" w:lineRule="auto"/>
        <w:rPr>
          <w:sz w:val="20"/>
          <w:szCs w:val="20"/>
          <w:color w:val="auto"/>
        </w:rPr>
      </w:pPr>
      <w:r>
        <w:rPr>
          <w:rFonts w:ascii="Times New Roman" w:cs="Times New Roman" w:eastAsia="Times New Roman" w:hAnsi="Times New Roman"/>
          <w:sz w:val="20"/>
          <w:szCs w:val="20"/>
          <w:color w:val="auto"/>
        </w:rPr>
        <w:t>and other than Excluded Accounts), all other documents and instruments reasonably required by Agent to effectuate the transactions contemplated hereby or to create and perfect the Liens of Agent with respect to all Collateral, in all cases in form and substance reasonably acceptable to Agent;</w:t>
      </w:r>
    </w:p>
    <w:p>
      <w:pPr>
        <w:spacing w:after="0" w:line="174" w:lineRule="exact"/>
        <w:rPr>
          <w:sz w:val="20"/>
          <w:szCs w:val="20"/>
          <w:color w:val="auto"/>
        </w:rPr>
      </w:pPr>
    </w:p>
    <w:p>
      <w:pPr>
        <w:ind w:left="1960" w:hanging="656"/>
        <w:spacing w:after="0"/>
        <w:tabs>
          <w:tab w:leader="none" w:pos="19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legal opinion of Borrower’s counsel, in form and substance reasonably acceptable to Agent;</w:t>
      </w:r>
    </w:p>
    <w:p>
      <w:pPr>
        <w:spacing w:after="0" w:line="215"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5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certified copy of resolutions of Borrower’s board of directors evidencing approval of (i) the Loan and other transactions evidenced by the Loan Documents; and (ii) the Warrant and transactions evidenced thereby;</w:t>
      </w:r>
    </w:p>
    <w:p>
      <w:pPr>
        <w:spacing w:after="0" w:line="159"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5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certified copies of the Certificate of Incorporation and the Bylaws, as amended through the Closing Date, of Borrower;</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good standing for Borrower from its state of incorporation and similar certificates from all other jurisdictions in which it is qualified to do business and where the failure to be so qualified could reasonably be expected to have a Material Adverse Effect;</w:t>
      </w:r>
    </w:p>
    <w:p>
      <w:pPr>
        <w:spacing w:after="0" w:line="174"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5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the Initial Facility Charge and reimbursement of Agent’s and Lender’s current expenses reimbursable pursuant to this Agreement, which amounts may be deducted from the Tranche 1 Advance;</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certificates of insurance and copies of each insurance policy required pursuant to Section 6.1 and</w:t>
      </w:r>
    </w:p>
    <w:p>
      <w:pPr>
        <w:spacing w:after="0" w:line="33"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6.2 hereof;</w:t>
      </w:r>
    </w:p>
    <w:p>
      <w:pPr>
        <w:spacing w:after="0" w:line="193" w:lineRule="exact"/>
        <w:rPr>
          <w:rFonts w:ascii="Times New Roman" w:cs="Times New Roman" w:eastAsia="Times New Roman" w:hAnsi="Times New Roman"/>
          <w:sz w:val="19"/>
          <w:szCs w:val="19"/>
          <w:color w:val="auto"/>
        </w:rPr>
      </w:pPr>
    </w:p>
    <w:p>
      <w:pPr>
        <w:jc w:val="both"/>
        <w:ind w:left="660" w:firstLine="644"/>
        <w:spacing w:after="0" w:line="249" w:lineRule="auto"/>
        <w:tabs>
          <w:tab w:leader="none" w:pos="195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in full of the Existing Term Loan and all other Secured Obligations (as defined in the Existing Loan Agreement) in respect of the Existing Loan Agreement and the other Existing Loan Documents (other than, for the avoidance of doubt, the Existing End of Term Charge), which amounts may be deducted from the Tranche 1 Advance;</w:t>
      </w:r>
    </w:p>
    <w:p>
      <w:pPr>
        <w:spacing w:after="0" w:line="17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documents as Agent may reasonably request.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52. All Advances. On each Advance Date:</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SECTION 53. Agent shall have received (i) an Advance Request for the relevant Advance as required by Section 2.2(b), each duly executed by Borrower’s Chief Executive Officer or Chief Financial Officer, and (ii) any other documents Agent may reasonably request.</w:t>
      </w:r>
    </w:p>
    <w:p>
      <w:pPr>
        <w:spacing w:after="0" w:line="1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SECTION 54. The representations and warranties set forth in this Agreement shall be true and correct in all material respects (or, if such representations and warranties are already qualified by materiality, in all respects) on and as of the Advance Date with the same effect as though made on and as of such date, except to the extent such representations and warranties expressly relate to an earlier date, in which case such representations and warranties shall be true and correct in all material respects (or, if such representations and warranties are already qualified by materiality, in all respects) on and as of such earlier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17" w:name="page118"/>
    <w:bookmarkEnd w:id="117"/>
    <w:p>
      <w:pPr>
        <w:jc w:val="both"/>
        <w:spacing w:after="0" w:line="245" w:lineRule="auto"/>
        <w:rPr>
          <w:sz w:val="20"/>
          <w:szCs w:val="20"/>
          <w:color w:val="auto"/>
        </w:rPr>
      </w:pPr>
      <w:r>
        <w:rPr>
          <w:rFonts w:ascii="Times New Roman" w:cs="Times New Roman" w:eastAsia="Times New Roman" w:hAnsi="Times New Roman"/>
          <w:sz w:val="20"/>
          <w:szCs w:val="20"/>
          <w:color w:val="auto"/>
        </w:rPr>
        <w:t>SECTION 55. With respect to any Tranche 3A Advance, Tranche 3B Advance, Tranche 3C Advance, Tranche 4 Advance and Tranche 5 Advance, a Warrant (provided that an original of the Warrant shall be delivered to Agent within three (3) Business Days of such Advance Date) covering 2.95% of any such Advance in a manner consistent with the Warrant issued on the Closing Date, or, with respect to any Tranche 3B Advance, Tranche 3C Advance, Tranche 4 Advance or Tranche 5 Advance, in a manner consistent with the Warrant issued with respect to the Tranche 3A Advance on the First Amendment Effective Date, in form and substance reasonably acceptable to Agent.</w:t>
      </w:r>
    </w:p>
    <w:p>
      <w:pPr>
        <w:spacing w:after="0" w:line="18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SECTION 56. With respect to any Tranche 3A Advance, the Borrower shall have paid the applicable Tranche 3A Facility Charge.</w:t>
      </w:r>
    </w:p>
    <w:p>
      <w:pPr>
        <w:spacing w:after="0" w:line="15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SECTION 57. With respect to any Tranche 3B Advance, the Borrower shall have paid the applicable Tranche 3B Facility Charge.</w:t>
      </w:r>
    </w:p>
    <w:p>
      <w:pPr>
        <w:spacing w:after="0" w:line="15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SECTION 58. With respect to any Tranche 3C Advance, the Borrower shall have paid the applicable Tranche 3C Facility Charge.</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SECTION 59. With respect to any Tranche 4 Advance, the Borrower shall have paid the applicable Tranche 4 Facility Charge.</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SECTION 60. With respect to any Tranche 5 Advance, the Borrower shall have paid the applicable Tranche 5 Facility Charge.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SECTION 61. Each Advance Request shall be deemed to constitute a representation and warranty by Borrower on the relevant Advance Date as to the matters specified in paragraph (b) of this Section 4.2 and Section 4.3, and as to the matters set forth in the Advance Request.</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SECTION 62. No Default. As of the Closing Date and each Advance Date, both before and after giving effect to the making of the applicable Advance, (i) no Default or Event of Default shall be continuing and (ii) no event that has had or could reasonably be expected to have a Material Adverse Effect has occurred and is continuing.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63. REPRESENTATIONS AND WARRANTIES OF BORROWER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Borrower represents and warrants that:</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SECTION 64. Corporate Status. Each Borrower is a corporation duly organized, legally existing and in good standing under the laws of the State of Delaware, and is duly qualified as a foreign corporation in all jurisdictions in which the nature of its business or location of its properties require such qualifications and where the failure to be qualified could reasonably be expected to have a Material Adverse Effect. Each Borrower’s present name, former names (if any), locations, place of formation, Tax identification number, organizational identification number and other information are correctly set forth in Exhibit C, as may be updated by such Borrower in a written notice (including any Compliance Certificate) provided to Agent after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18" w:name="page119"/>
    <w:bookmarkEnd w:id="118"/>
    <w:p>
      <w:pPr>
        <w:jc w:val="both"/>
        <w:spacing w:after="0" w:line="254" w:lineRule="auto"/>
        <w:rPr>
          <w:sz w:val="20"/>
          <w:szCs w:val="20"/>
          <w:color w:val="auto"/>
        </w:rPr>
      </w:pPr>
      <w:r>
        <w:rPr>
          <w:rFonts w:ascii="Times New Roman" w:cs="Times New Roman" w:eastAsia="Times New Roman" w:hAnsi="Times New Roman"/>
          <w:sz w:val="20"/>
          <w:szCs w:val="20"/>
          <w:color w:val="auto"/>
        </w:rPr>
        <w:t>SECTION 65. Collateral. Each Borrower owns the applicable Collateral and the Intellectual Property, free of all Liens, except for Permitted Liens. Each Borrower has the power and authority to grant to Agent a Lien in the Collateral as security for the Secured Obligations.</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SECTION 66. Consents. Each Borrower’s execution, delivery and performance of this Agreement and all other Loan Documents, and Parent’s execution of the Warrant, (i) have been duly authorized by all necessary corporate action of such Borrower or the Parent, as applicable, (ii) will not result in the creation or imposition of any Lien upon the Collateral, other than Permitted Liens and the Liens created by this Agreement and the other Loan Documents, (iii) do not (x) violate any provisions of such Borrower’s Certificate or Articles of Incorporation (as applicable) and bylaws, or (y) any material law, material regulation, material order, material injunction, material judgment, material decree or material writ to which such Borrower is subject and (iv) except as described on Schedule 5.3, do not violate any material contract or material agreement or require the material consent or material approval of any other Person which has not already been obtained. The individual or individuals executing the Loan Documents and the Warrant are duly authorized to do so.</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SECTION 67. Material Adverse Effect. No event that has had or could reasonably be expected to have a Material Adverse Effect has occurred and is continuing. No Borrower is aware of any event likely to occur that is reasonably expected to result in a Material Adverse Effect.</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SECTION 68. Actions Before Governmental Authorities. There are no actions, suits or proceedings at law or in equity or by or before any governmental authority now pending or, to the knowledge of any Borrower, threatened against or affecting any Borrower or its property, that is reasonably expected to result in a Material Adverse Effect.</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SECTION 69. Laws. No Borrower nor any of its Subsidiaries is in violation of any law, rule or regulation, or in default with respect to any judgment, writ, injunction or decree of any governmental authority, where such violation or default is reasonably expected to result in a Material Adverse Effect. To the knowledge of Borrower, no Borrower is in default in any manner under any provision of any agreement or instrument evidencing material Indebtedness, or any other material agreement to which it is a party or by which it is bound.</w:t>
      </w:r>
    </w:p>
    <w:p>
      <w:pPr>
        <w:spacing w:after="0" w:line="185" w:lineRule="exact"/>
        <w:rPr>
          <w:sz w:val="20"/>
          <w:szCs w:val="20"/>
          <w:color w:val="auto"/>
        </w:rPr>
      </w:pPr>
    </w:p>
    <w:p>
      <w:pPr>
        <w:jc w:val="both"/>
        <w:ind w:left="500" w:firstLine="810"/>
        <w:spacing w:after="0" w:line="242" w:lineRule="auto"/>
        <w:rPr>
          <w:sz w:val="20"/>
          <w:szCs w:val="20"/>
          <w:color w:val="auto"/>
        </w:rPr>
      </w:pPr>
      <w:r>
        <w:rPr>
          <w:rFonts w:ascii="Times New Roman" w:cs="Times New Roman" w:eastAsia="Times New Roman" w:hAnsi="Times New Roman"/>
          <w:sz w:val="20"/>
          <w:szCs w:val="20"/>
          <w:color w:val="auto"/>
        </w:rPr>
        <w:t>No Borrower nor any of its Subsidiaries is an “investment company” or a company “controlled” by an “investment company” under the Investment Company Act of 1940, as amended. No Borrower nor any of its Subsidiaries is engaged as one of its important activities in extending credit for margin stock (under Regulations X, T and U of the Federal Reserve Board of Governors). Each Borrower and each of its Subsidiaries has complied in all material respects with the Federal Fair Labor Standards Act. No Borrower nor any of its Subsidiaries is a “holding company” or an “affiliate” of a “holding company” or a “subsidiary company” of a “holding company” as each term is defined and used in the Public Utility Holding Company Act of 2005. No Borrower’s nor any of its Subsidiaries’ properties or assets has been used by any Borrower or such Subsidiary or, to any Borrower’s knowledge, by previous Persons, in disposing, producing, storing, treating, or transporting any hazardous substance other than in material compliance with applicable laws. Each Borrower and each of its Subsidiaries has obtained all consents, approvals and authorizations of, made all declarations or filings with, and given all notices to,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19" w:name="page120"/>
    <w:bookmarkEnd w:id="119"/>
    <w:p>
      <w:pPr>
        <w:jc w:val="both"/>
        <w:ind w:left="500" w:right="20"/>
        <w:spacing w:after="0" w:line="269" w:lineRule="auto"/>
        <w:rPr>
          <w:sz w:val="20"/>
          <w:szCs w:val="20"/>
          <w:color w:val="auto"/>
        </w:rPr>
      </w:pPr>
      <w:r>
        <w:rPr>
          <w:rFonts w:ascii="Times New Roman" w:cs="Times New Roman" w:eastAsia="Times New Roman" w:hAnsi="Times New Roman"/>
          <w:sz w:val="20"/>
          <w:szCs w:val="20"/>
          <w:color w:val="auto"/>
        </w:rPr>
        <w:t>Governmental Authorities that are necessary to continue their respective businesses as currently conducted, except as would not reasonably be expected to have a Material Adverse Effect.</w:t>
      </w:r>
    </w:p>
    <w:p>
      <w:pPr>
        <w:spacing w:after="0" w:line="159" w:lineRule="exact"/>
        <w:rPr>
          <w:sz w:val="20"/>
          <w:szCs w:val="20"/>
          <w:color w:val="auto"/>
        </w:rPr>
      </w:pPr>
    </w:p>
    <w:p>
      <w:pPr>
        <w:jc w:val="both"/>
        <w:ind w:left="500" w:firstLine="810"/>
        <w:spacing w:after="0" w:line="254" w:lineRule="auto"/>
        <w:rPr>
          <w:sz w:val="20"/>
          <w:szCs w:val="20"/>
          <w:color w:val="auto"/>
        </w:rPr>
      </w:pPr>
      <w:r>
        <w:rPr>
          <w:rFonts w:ascii="Times New Roman" w:cs="Times New Roman" w:eastAsia="Times New Roman" w:hAnsi="Times New Roman"/>
          <w:sz w:val="19"/>
          <w:szCs w:val="19"/>
          <w:color w:val="auto"/>
        </w:rPr>
        <w:t>No Borrower, nor any of its Subsidiaries, nor, to the knowledge of any Borrower, any of such Borrower’s or its Subsidiaries’ controlled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any Borrower, or its Subsidiaries, or to the knowledge of any Borrower, any of its controlled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 None of the funds to be provided under this Agreement will be used, directly or, to the knowledge of any Borrower, indirectly,</w:t>
      </w:r>
    </w:p>
    <w:p>
      <w:pPr>
        <w:spacing w:after="0" w:line="3" w:lineRule="exact"/>
        <w:rPr>
          <w:sz w:val="20"/>
          <w:szCs w:val="20"/>
          <w:color w:val="auto"/>
        </w:rPr>
      </w:pPr>
    </w:p>
    <w:p>
      <w:pPr>
        <w:jc w:val="both"/>
        <w:ind w:left="500" w:hanging="6"/>
        <w:spacing w:after="0" w:line="241" w:lineRule="auto"/>
        <w:tabs>
          <w:tab w:leader="none" w:pos="78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activities in violation of any applicable anti-money laundering, economic sanctions and anti-bribery laws and regulations laws and regulations or (b) for any payment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SECTION 70. Information Correct and Current. No information, report, Advance Request, financial statement, exhibit or schedule furnished, by or on behalf of Borrower to Agent in connection with any Loan Document or included therein or delivered pursuant thereto, when taken as a whole, contained or contains or will contain any material misstatement of fact or, when taken together with all other such information or documents, omitted, omits or will omit to state any material fact necessary to make the statements therein, in the light of the circumstances under which they were, are or will be made, not materially misleading at the time such statement was made or deemed made. Additionally, any and all financial or business projections provided by Borrower to Agent, whether prior to or after the Closing Date, shall be (i) provided in good faith and based on the most current data and information available to Borrower, and (ii) the most current of such projections provided to Borrower’s board of directors; it being understood by the Agent and the Lender that such projections as to future events</w:t>
      </w:r>
    </w:p>
    <w:p>
      <w:pPr>
        <w:spacing w:after="0" w:line="7" w:lineRule="exact"/>
        <w:rPr>
          <w:sz w:val="20"/>
          <w:szCs w:val="20"/>
          <w:color w:val="auto"/>
        </w:rPr>
      </w:pPr>
    </w:p>
    <w:p>
      <w:pPr>
        <w:jc w:val="both"/>
        <w:ind w:firstLine="8"/>
        <w:spacing w:after="0" w:line="258" w:lineRule="auto"/>
        <w:tabs>
          <w:tab w:leader="none" w:pos="24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not to be viewed as facts, (ii)(A) are subject to significant uncertainties and contingencies, many of which are beyond the control of Borrower, (B) no assurance is given by Borrower that the results forecast in any such projections will be realized and (C) the actual results during the period or periods covered by any such projections may differ from the forecast results set forth in such projections and such differences may be material and (iii) are not a guarantee of performance.</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SECTION 71. Tax Matters. Except as described on Schedule 5.8 and except those Taxes being contested in good faith with adequate reserves under GAAP, (a) Borrower and its Subsidiaries have filed all material federal, state and local Tax returns that they are required to file,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20" w:name="page121"/>
    <w:bookmarkEnd w:id="120"/>
    <w:p>
      <w:pPr>
        <w:jc w:val="both"/>
        <w:spacing w:after="0" w:line="246" w:lineRule="auto"/>
        <w:rPr>
          <w:sz w:val="20"/>
          <w:szCs w:val="20"/>
          <w:color w:val="auto"/>
        </w:rPr>
      </w:pPr>
      <w:r>
        <w:rPr>
          <w:rFonts w:ascii="Times New Roman" w:cs="Times New Roman" w:eastAsia="Times New Roman" w:hAnsi="Times New Roman"/>
          <w:sz w:val="20"/>
          <w:szCs w:val="20"/>
          <w:color w:val="auto"/>
        </w:rPr>
        <w:t>Borrower and its Subsidiaries have duly paid or fully reserved for all Taxes or installments thereof (including any interest or penalties) prior to becoming delinquent, which have or may become due pursuant to such returns, and (c) Borrower and its Subsidiaries have paid or fully reserved for any material Tax assessment received by Borrower or its Subsidiaries for the three (3) years preceding the Closing Date, if any (including any Taxes being contested in good faith and by appropriate proceedings).</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SECTION 72. Intellectual Property Claims. Each Borrower is the sole owner of, or otherwise has the right to use, the Intellectual Property material to such Borrower’s business. Except as described on Schedule 5.9, (i) each of the material Copyrights, Trademarks and Patents is valid and enforceable, (ii) no material part of the Intellectual Property has been judged invalid or unenforceable by a court of competent jurisdiction, in whole or in part, and (iii) no claim has been made to any Borrower that any material part of the Intellectual Property violates the rights of any third party. Exhibit D is a true, correct and complete list of each Borrower’s Patents, registered Trademarks, registered Copyrights, and material agreements under which such Borrower licenses Intellectual Property from third parties (other than shrink-wrap software licenses), together with application or registration numbers, as applicable, owned by such Borrower or any Subsidiary, in each case as of the First Amendment Effective Date. No Borrower is in material breach of, nor has any Borrower failed to perform any material obligations under, any of the foregoing contracts, licenses or agreements and, to such Borrower’s knowledge, no third party to any such contract, license or agreement is in material breach thereof or has failed to perform any material obligations thereunder.</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SECTION 73. Intellectual Property. Except as described on Schedule 5.10, each Borrower has all material rights with respect to Intellectual Property necessary or material to the operation or conduct of such Borrower’s business as currently conducted and proposed to be conducted by such Borrower. Without limiting the generality of the foregoing, and in the case of Licenses, except for restrictions that are unenforceable under Division 9 of the UCC, each Borrower has the right, to the extent required to operate such Borrower’s business, to freely transfer, license or assign Intellectual Property necessary or material in the operation or conduct of such Borrower’s business as currently conducted and proposed to be conducted by such Borrower, without condition, restriction or payment of any kind (other than license payments in the ordinary course of business) to any third party, and such Borrower owns or has the right to use, pursuant to valid licenses, all software development tools, library functions, compilers and all other third-party software and other items that are material to such Borrower’s business and used in the design, development, promotion, sale, license, manufacture, import, export, use or distribution of Borrower Products except customary covenants in inbound license agreements and equipment leases where such Borrower is the licensee or lessee. No Borrower is a party to, nor are they bound by, any Restricted License.</w:t>
      </w:r>
    </w:p>
    <w:p>
      <w:pPr>
        <w:spacing w:after="0" w:line="1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SECTION 74. Borrower Products. Except as described on Schedule 5.11, no Intellectual Property owned by any Borrower or Borrower Product has been or is subject to any actual or, to the knowledge of such Borrower, threatened litigation, proceeding (including any proceeding in the United States Patent and Trademark Office or any corresponding foreign office or agency) or outstanding decree, order, judgment, settlement agreement or stipulation that restricts in any manner such Borrower’s use, transfer or licensing thereof or that may affect the validity, use or enforceability thereof. There is no decree, order, judgment, agreement, stipulation, arbitral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21" w:name="page122"/>
    <w:bookmarkEnd w:id="121"/>
    <w:p>
      <w:pPr>
        <w:jc w:val="both"/>
        <w:spacing w:after="0" w:line="241" w:lineRule="auto"/>
        <w:rPr>
          <w:sz w:val="20"/>
          <w:szCs w:val="20"/>
          <w:color w:val="auto"/>
        </w:rPr>
      </w:pPr>
      <w:r>
        <w:rPr>
          <w:rFonts w:ascii="Times New Roman" w:cs="Times New Roman" w:eastAsia="Times New Roman" w:hAnsi="Times New Roman"/>
          <w:sz w:val="20"/>
          <w:szCs w:val="20"/>
          <w:color w:val="auto"/>
        </w:rPr>
        <w:t>award or other provision entered into in connection with any litigation or proceeding that obligates any Borrower to grant licenses or ownership interest in any future Intellectual Property related to the operation or conduct of the business of such Borrower or Borrower Products. No Borrower has received any written notice or claim, or, to the knowledge of such Borrower, oral notice or claim, challenging or questioning such Borrower’s ownership in any Intellectual Property (or written notice of any claim challenging or questioning the ownership in any licensed Intellectual Property of the owner thereof) or suggesting that any third party has any claim of legal or beneficial ownership with respect thereto nor, to such Borrower’s knowledge is there a reasonable basis for any such claim. To the knowledge of each Borrower, no Borrower’s use of its Intellectual Property nor the production and sale of the Borrower’s Borrower Products infringes the intellectual property or other rights of others. Other than as publically disclosed by Borrower in its 8-K filed with the SEC on November 30, 2021 regarding a planned Oncologic Drugs Advisory Committee meeting, there have been no recalls, field notifications, field corrections, market withdrawals, warnings, “dear doctor” letters, investigator notices, safety alerts or other notice of action relating to an alleged lack of safety, efficacy, or regulatory compliance of any Borrower Products (“</w:t>
      </w:r>
      <w:r>
        <w:rPr>
          <w:rFonts w:ascii="Times New Roman" w:cs="Times New Roman" w:eastAsia="Times New Roman" w:hAnsi="Times New Roman"/>
          <w:sz w:val="20"/>
          <w:szCs w:val="20"/>
          <w:b w:val="1"/>
          <w:bCs w:val="1"/>
          <w:color w:val="auto"/>
        </w:rPr>
        <w:t>Safety Notices</w:t>
      </w:r>
      <w:r>
        <w:rPr>
          <w:rFonts w:ascii="Times New Roman" w:cs="Times New Roman" w:eastAsia="Times New Roman" w:hAnsi="Times New Roman"/>
          <w:sz w:val="20"/>
          <w:szCs w:val="20"/>
          <w:color w:val="auto"/>
        </w:rPr>
        <w:t>”) and to the knowledge of any Borrower, there are no facts that would be reasonably likely to result in (i) a Safety Notice with respect to any Borrower Products, (ii) a change in labeling of any Borrower Products or (iii) a termination or suspension of marketing or testing of any Borrower Products.</w:t>
      </w:r>
    </w:p>
    <w:p>
      <w:pPr>
        <w:spacing w:after="0" w:line="1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SECTION 75. Financial Accounts. </w:t>
      </w:r>
      <w:r>
        <w:rPr>
          <w:rFonts w:ascii="Times New Roman" w:cs="Times New Roman" w:eastAsia="Times New Roman" w:hAnsi="Times New Roman"/>
          <w:sz w:val="20"/>
          <w:szCs w:val="20"/>
          <w:u w:val="single" w:color="auto"/>
          <w:color w:val="auto"/>
        </w:rPr>
        <w:t>Exhibit E, as may be updated by the Borrower in a written notice provided to Agent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after the</w:t>
      </w:r>
      <w:r>
        <w:rPr>
          <w:rFonts w:ascii="Times New Roman" w:cs="Times New Roman" w:eastAsia="Times New Roman" w:hAnsi="Times New Roman"/>
          <w:sz w:val="20"/>
          <w:szCs w:val="20"/>
          <w:color w:val="auto"/>
        </w:rPr>
        <w:t xml:space="preserve"> Closing Date</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is a true, correct and complete list of (a) all banks and other financial institutions at which Borrower or any Subsidiary maintains Deposit Accounts and (b) all institutions at which Borrower or any Subsidiary maintains an account holding Investment Property, and such exhibit correctly identifies the name, address and telephone number of each bank or other institution, the name in which the account is held, a description of the purpose of the account, and the complete account number therefor.</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SECTION 76. Employee Loans. No Borrower has, as of the Closing Date, any outstanding loans to any employee, officer or director of such Borrower nor has any Borrower guaranteed, as of the Closing Date, the payment of any loan made to an employee, officer or director of such Borrower by a third party.</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SECTION 77. Capitalization and Subsidiaries. Borrower’s capitalization as of the First Amendment Effective Date is set forth on Schedule 5.14 annexed hereto. Borrower does not own any stock, partnership interest or other securities of any Person, except for Permitted Investments. Attached as Schedule 1, as may be updated by Borrower in a written notice provided after the Closing Date, is a true, correct and complete list of each Subsidiary.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78. Ariston Notes.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SECTION 79. Neither the Borrower nor any Subsidiary (other than Ariston) has any obligations, in each case under the Ariston Notes, to commercialize or sell any AST-726 or AST-914 program candidates or otherwise to generate any Product Proceeds in respect thereof.</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SECTION 80. The holders of the Ariston Notes have no recourse, now or after the filing of any Insolvency Proceeding or other insolvency event (including under Section 7 of the Ariston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22" w:name="page123"/>
    <w:bookmarkEnd w:id="122"/>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or otherwise, including without limitation under applicable law), to any Borrower or its Subsidiaries (other than Ariston) other than with respect to equity conversion rights specified in the Ariston Notes.</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SECTION 81. Ariston has been a dormant subsidiary for the last five (5) years and holds no assets and liabilities other than legacy intercompany receivables and payables and the Ariston Notes.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82. INSURANCE; INDEMNIFICATION</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SECTION 83. Coverage. Borrower shall cause to be carried and maintained commercial general liability insurance, on an occurrence form, against risks customarily insured against in Borrower’s line of business. Such risks shall include the risks of bodily injury, including death, property damage, personal injury, advertising injury, and contractual liability per the terms of the indemnification agreement found in Section 6.3. Borrower must maintain a minimum of Two Million Dollars ($2,000,000) of commercial general liability insurance for each occurrence. Borrower has and agrees to maintain a minimum of Two Million Dollars ($2,000,000) of directors’ and officers’ insurance for each occurrence and Five Million Dollars ($5,000,000) in the aggregate. So long as there are any Secured Obligations outstanding, Borrower shall also cause to be carried and maintained insurance upon the Collateral, insuring against all risks of physical loss or damage howsoever caused, in an amount not less than the full replacement cost of the Collateral, provided that such insurance may be subject to standard exceptions and deductibles.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SECTION 84. Certificates. Borrower shall deliver to Agent certificates of insurance that evidence Borrower’s compliance with its insurance obligations in Section 6.1 and the obligations contained in this Section 6.2. Borrower’s insurance certificate shall state Agent (shown as “Hercules Capital, Inc., as Administrative and Collateral Agent, and its permitted assigns”) is an additional insured for commercial general liability, a lender loss payee for all risk property damage insurance, subject to the insurer’s approval, and a lender loss payee for property insurance and additional insured for liability insurance for any future insurance that Borrower may acquire from such insurer. Attached to the certificates of insurance will be additional insured endorsements for liability and lender’s loss payable endorsements for all risk property damage insurance. All certificates of insurance will provide for a minimum of thirty (30) days advance written notice to Agent of cancellation (other than cancellation for non-payment of premiums, for which ten (10) days’ advance written notice shall be sufficient) or any other change adverse to Agent’s interests. Any failure of Agent to scrutinize such insurance certificates for compliance is not a waiver of any of Agent’s rights, all of which are reserved. Borrower shall provide Agent with copies of each insurance policy, and upon entering or amending any insurance policy required hereunder, Borrower shall provide Agent with copies of such policies and shall promptly deliver to Agent updated insurance certificates with respect to such policies.</w:t>
      </w:r>
    </w:p>
    <w:p>
      <w:pPr>
        <w:spacing w:after="0" w:line="1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SECTION 85. Indemnity. Borrower agrees to indemnify and hold Agent, Lender and their officers, directors, employees, agents, in-house attorneys, representatives and shareholders (each, an “Indemnified Person”) harmless from and against any and all claims, costs, expenses, damages and liabilities (including such claims, costs, expenses, damages and liabilities based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23" w:name="page124"/>
    <w:bookmarkEnd w:id="123"/>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liability in tort, including strict liability in tort), including reasonable attorneys’ fees and disbursements and other costs of investigation or defense (including those incurred upon any appeal) (collectively, “Liabilities”), that may be instituted or asserted against or incurred by such Indemnified Person as the result of credit having been extended, suspended or terminated under this Agreement and the other Loan Documents or the administration of such credit, or in connection with or arising out of the transactions contemplated hereunder and thereunder, or any actions or failures to act in connection therewith, or arising out of the disposition or utilization of the Collateral;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will be indemnified for its (or any of its Related Parties) willful misconduct, bad faith or gross negligence (to the extent determined in a final non-appealable order of a court of competent jurisdiction). This Section 6.3 shall not apply with respect to Taxes other than any Taxes that represent losses, claims, damages, etc. arising from any non-Tax claim. In no event shall any Indemnified Person be liable on any theory of liability for any special, indirect, consequential or punitive damages (including any loss of profits, business or anticipated savings). This Section 6.3 shall survive the repayment of indebtedness under, and otherwise shall survive the expiration or other termination of, the Loan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86. COVENANTS OF BORROWER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Borrower agrees as follows:</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SECTION 87. Financial Reports. Borrower shall furnish to Agent the financial statements and reports listed hereinafter (the “Financial Statements”):</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SECTION 88. as soon as practicable (and in any event within thirty (30) days) after the end of each month, unaudited interim and year-to-date financial statements as of the end of such month (prepared on a consolidated basis),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all certified by Borrower’s Chief Executive Officer or Chief Financial Officer to the effect that they have been prepared in accordance with GAAP, except (i) for the absence of footnotes, (ii) that they are subject to normal year-end adjustments, and (iii) they do not contain certain non-cash items that are customarily included in quarterly and annual financial statements;</w:t>
      </w:r>
    </w:p>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SECTION 89. as soon as practicable (and in any event within forty-five (45) days) after the end of each calendar quarter, unaudited interim and year-to-date financial statements as of the end of such calendar quarter (prepared on a consolidated basis),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certified by Borrower’s Chief Executive Officer or Chief Financial Officer to the effect that they have been prepared in accordance with GAAP, except (i) for the absence of footnotes, and (ii) that they are subject to normal year-end adjustments;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SECTION 90. as soon as practicable (and in any event within ninety (90) days) after the end of each fiscal year, unqualified audited financial statements as of the end of such year (prepared on a consolidated basis), including balance sheet and related statements of income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24" w:name="page125"/>
    <w:bookmarkEnd w:id="124"/>
    <w:p>
      <w:pPr>
        <w:jc w:val="both"/>
        <w:spacing w:after="0" w:line="269" w:lineRule="auto"/>
        <w:rPr>
          <w:sz w:val="20"/>
          <w:szCs w:val="20"/>
          <w:color w:val="auto"/>
        </w:rPr>
      </w:pPr>
      <w:r>
        <w:rPr>
          <w:rFonts w:ascii="Times New Roman" w:cs="Times New Roman" w:eastAsia="Times New Roman" w:hAnsi="Times New Roman"/>
          <w:sz w:val="20"/>
          <w:szCs w:val="20"/>
          <w:color w:val="auto"/>
        </w:rPr>
        <w:t>and setting forth in comparative form the corresponding figures for the preceding fiscal year, certified by a firm of independent certified public accountants selected by Borrower and reasonably acceptable to Agent;</w:t>
      </w:r>
    </w:p>
    <w:p>
      <w:pPr>
        <w:spacing w:after="0" w:line="15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SECTION 91. as soon as practicable (and in any event within thirty (30) days) after the end of each month, a compliance certificate in the form of Exhibit F (a “Compliance Certificate”);</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SECTION 92. as soon as practicable (and in any event within thirty (30) days) after the end of each month, a report showing agings of accounts receivable and accounts payable, as of the end of such month;</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SECTION 93. promptly after the sending or filing thereof, copies of any regular, periodic and special reports or registration statements that Borrower files with the Securities and Exchange Commission or any governmental authority that may be substituted therefor, or any national securities exchange;</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SECTION 94. promptly following each meeting of any Borrower’s board of directors, the following shall be made available for inspection by the Agent at Borrower’s premises at reasonable times and upon reasonable notice: copies of all presentation materials and minutes relating to research, clinical development, regulatory activities, and commercial timelines that Borrower provides to its directors in connection with meetings of such board of directors, provided that all in all cases Borrower may exclude any information or materials related to executive compensation, confidential information, any attorney-client privileged information and any information that would raise a conflict of interest with Agent or Lenders, and minutes and other materials prepared exclusively for executive sessions of the independent directors and committees of such board of directors;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SECTION 95. financial and business projections promptly following their approval by Borrower’s board of directors, and in any event, within forty-five (45) days after the end of Borrower’s fiscal year, as well as budgets, operating plans and other financial information reasonably requested by Agent;</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SECTION 96. immediate notice if Borrower or any Subsidiary has knowledge that Borrower, or any Subsidiary or any controlled Affiliate of Borrower, is listed on the OFAC Lists or (a) is convicted on, (b) pleads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to, (c) is indicted on, or (d) is arraigned and held over on charges involving money laundering or predicate crimes to money laundering; and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97. immediate notice upon the occurrence of any Safety Notice.</w:t>
      </w:r>
    </w:p>
    <w:p>
      <w:pPr>
        <w:spacing w:after="0" w:line="21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Borrower shall not make any change in its (a) accounting policies or reporting practices, except to the extent permitted or required by GAAP, or (b) fiscal years or fiscal quarters. The fiscal year of Borrower shall end on December 31.</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executed Compliance Certificate and all Financial Statements required to be delivered pursuant to clauses (a),</w:t>
      </w:r>
    </w:p>
    <w:p>
      <w:pPr>
        <w:spacing w:after="0" w:line="22" w:lineRule="exact"/>
        <w:rPr>
          <w:sz w:val="20"/>
          <w:szCs w:val="20"/>
          <w:color w:val="auto"/>
        </w:rPr>
      </w:pPr>
    </w:p>
    <w:p>
      <w:pPr>
        <w:ind w:left="660" w:hanging="4"/>
        <w:spacing w:after="0" w:line="246" w:lineRule="auto"/>
        <w:tabs>
          <w:tab w:leader="none" w:pos="1027"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and (c) shall be sent via e-mail to Agent at </w:t>
      </w:r>
      <w:r>
        <w:rPr>
          <w:rFonts w:ascii="Times New Roman" w:cs="Times New Roman" w:eastAsia="Times New Roman" w:hAnsi="Times New Roman"/>
          <w:sz w:val="20"/>
          <w:szCs w:val="20"/>
          <w:u w:val="single" w:color="auto"/>
          <w:color w:val="0000FF"/>
        </w:rPr>
        <w:t>financialstatements@herculestech.com</w:t>
      </w:r>
      <w:r>
        <w:rPr>
          <w:rFonts w:ascii="Times New Roman" w:cs="Times New Roman" w:eastAsia="Times New Roman" w:hAnsi="Times New Roman"/>
          <w:sz w:val="20"/>
          <w:szCs w:val="20"/>
          <w:color w:val="auto"/>
        </w:rPr>
        <w:t xml:space="preserve"> with a copy to mdutra@htgc.com, jmiotti@htgc.com, and legal@herculestech.com provided, that if e-mail is not available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25" w:name="page126"/>
    <w:bookmarkEnd w:id="125"/>
    <w:p>
      <w:pPr>
        <w:ind w:left="660"/>
        <w:spacing w:after="0"/>
        <w:rPr>
          <w:sz w:val="20"/>
          <w:szCs w:val="20"/>
          <w:color w:val="auto"/>
        </w:rPr>
      </w:pPr>
      <w:r>
        <w:rPr>
          <w:rFonts w:ascii="Times New Roman" w:cs="Times New Roman" w:eastAsia="Times New Roman" w:hAnsi="Times New Roman"/>
          <w:sz w:val="20"/>
          <w:szCs w:val="20"/>
          <w:color w:val="auto"/>
        </w:rPr>
        <w:t>sending such Financial Statements via e-mail is not possible, they shall be faxed to Agent at: (650) 473-9194,</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attention Account Manager: TG Therapeutics, Inc.</w:t>
      </w:r>
    </w:p>
    <w:p>
      <w:pPr>
        <w:spacing w:after="0" w:line="194"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0"/>
          <w:szCs w:val="20"/>
          <w:color w:val="auto"/>
        </w:rPr>
        <w:t>Notwithstanding the foregoing, documents required to be delivered under Sections 7.1(a), (b), (c) or (f) (to the extent any such documents are included in materials otherwise filed with the SEC) may be delivered electronically and if so delivered, shall be deemed to have been delivered on the date on which Borrower emails a link thereto to Agent; provided that Borrower shall directly provide Agent all Financial Statements required to be delivered pursuant to Section 7.1(b) and (c) hereunder.</w:t>
      </w:r>
    </w:p>
    <w:p>
      <w:pPr>
        <w:spacing w:after="0" w:line="18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SECTION 98. Management Rights. Borrower shall permit any representative that Agent or Lender authorizes, including its attorneys and accountants, to inspect the Collateral and examine and make copies and abstracts of the books of account and records of Borrower at reasonable times and upon reasonable notice during normal business hours; and any such representative shall have the right to meet with management and officers of Borrower to discuss such books of account and records; provided that (i) only the Agent on behalf of Lender may exercise rights under this Section 7.2 and (ii) other than during the continuance of an Event of Default, the Agent shall not exercise such rights more often than one time during any fiscal year; and provided, further, that when an Event of Default has occurred and is continuing the Agent or any Lender (or any of their designated representatives) may do any of the foregoing at the expense of the Borrower at any time during normal business hours and upon reasonable advance notice. The Agent and Lender shall provide the Borrower with the opportunity to participate in any discussion with any independent accountants. In addition, Agent or Lender shall be entitled at reasonable times and intervals to consult with and advise the management and officers of Borrower concerning significant business issues affecting Borrower. Such consultations shall not unreasonably interfere with Borrower’s business operations. The parties intend that the rights granted Agent and Lender shall constitute “management rights” within the meaning of 29 C.F.R. Section 2510.3-101(d)(3)(ii), but that any advice, recommendations or participation by Agent or Lender with respect to any business issues shall not be deemed to give Agent or Lender, nor be deemed an exercise by Agent or Lender of, control over Borrower’s management or policies.</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SECTION 99. Further Assurances. Borrower shall from time to time execute, deliver and file, alone or with Agent, any financing statements, security agreements, collateral assignments, notices, control agreements, or other documents to perfect or give the highest priority to Agent’s Lien on the Collateral. Borrower shall from time to time procure any instruments or documents as may be reasonably requested by Agent, and take all further action that may be necessary, or that Agent may reasonably request, to perfect and protect the Liens granted hereby and thereby. In addition, and for such purposes only, Borrower hereby authorizes Agent to execute and deliver on behalf of Borrower and to file such financing statements (including an indication that the financing statement covers “all assets or all personal property” of Borrower in accordance with Section 9-504 of the UCC), collateral assignments, notices, control agreements, security agreements and other documents without the signature of Borrower either in Agent’s name or in the name of Agent as agent and attorney-in-fact for Borrower. Borrower shall protect and defend Borrower’s title to the Collateral and Agent’s Lien thereon against all Persons claiming any interest adverse to Borrower or Agent other than Permitted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26" w:name="page127"/>
    <w:bookmarkEnd w:id="126"/>
    <w:p>
      <w:pPr>
        <w:jc w:val="both"/>
        <w:spacing w:after="0" w:line="243" w:lineRule="auto"/>
        <w:rPr>
          <w:sz w:val="20"/>
          <w:szCs w:val="20"/>
          <w:color w:val="auto"/>
        </w:rPr>
      </w:pPr>
      <w:r>
        <w:rPr>
          <w:rFonts w:ascii="Times New Roman" w:cs="Times New Roman" w:eastAsia="Times New Roman" w:hAnsi="Times New Roman"/>
          <w:sz w:val="20"/>
          <w:szCs w:val="20"/>
          <w:color w:val="auto"/>
        </w:rPr>
        <w:t>SECTION 100. Indebtedness. Borrower shall not create, incur, assume, guarantee or be or remain liable with respect to any Indebtedness, or permit any Subsidiary so to do, other than Permitted Indebtedness, or prepay any Indebtedness for borrowed money or take any actions which impose on Borrower an obligation to prepay any Indebtedness for borrowed money, except for (a) the conversion of Indebtedness into equity securities and the payment of cash in lieu of fractional shares in connection with such conversion, (b) purchase money Indebtedness pursuant to its then applicable payment schedule, (c) prepayment by any Subsidiary of (i) intercompany Indebtedness owed by such Subsidiary to any Borrower, or</w:t>
      </w:r>
    </w:p>
    <w:p>
      <w:pPr>
        <w:spacing w:after="0" w:line="2" w:lineRule="exact"/>
        <w:rPr>
          <w:sz w:val="20"/>
          <w:szCs w:val="20"/>
          <w:color w:val="auto"/>
        </w:rPr>
      </w:pPr>
    </w:p>
    <w:p>
      <w:pPr>
        <w:jc w:val="both"/>
        <w:ind w:firstLine="8"/>
        <w:spacing w:after="0" w:line="241" w:lineRule="auto"/>
        <w:tabs>
          <w:tab w:leader="none" w:pos="30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Subsidiary is not a Borrower, intercompany Indebtedness owed by such Subsidiary to another Subsidiary that is not a Borrower, (d) payment of regularly scheduled interest and principal payments (and fees, indemnities and expenses payable) as, and when due in respect of any such Indebtedness to the extent permitted by any subordination or intercreditor provisions in respect thereof, (e) any extension, refinancing or renewal constitutes Permitted Indebtedness or (f) as otherwise permitted hereunder or approved in writing by Agent.</w:t>
      </w:r>
    </w:p>
    <w:p>
      <w:pPr>
        <w:spacing w:after="0" w:line="18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SECTION 101. Collateral. Borrower shall at all times keep the Collateral, the Intellectual Property and all other property and assets used in Borrower’s business or in which Borrower now or hereafter holds any interest free and clear from any legal process reasonably likely to result in liability in excess of Five Hundred Thousand Dollars ($500,000) or Liens that materially affect the operation of such Borrower’s business as currently conducted and proposed to be conducted by such Borrower (except for Permitted Liens and except as to legal process, to the extent contested in good faith), and shall give Agent prompt written notice of any legal process affecting the Collateral or the Intellectual Property or any Liens thereon, provided however, that the Collateral may be subject to Permitted Liens, except that there shall be no Liens whatsoever on Intellectual Property, other than any Liens referred to in clauses (vii), (xv) and (xviii) of the definition of Permitted Liens. Borrower shall not agree with any Person other than Agent or Lender not to encumber its property except in accordance with the provisions of this Section 7.5. Borrower shall not enter into or suffer to exist or become effective any agreement that prohibits or limits the ability of any Borrower to create, incur, assume or suffer to exist any Lien upon any of its Collateral or Intellectual Property, whether now owned or hereafter acquired, to secure its 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 (c) customary restrictions on the assignment of leases, licenses and other agreements, and (d) restrictions and conditions imposed by (A) law or (B) any agreements evidencing Indebtedness permitted by this Agreement. Borrower shall cause its Subsidiaries (other than a Borrower) to protect and defend such Subsidiary’s title to its assets from and against all Persons claiming any interest adverse to such Subsidiary, and Borrower shall cause its Subsidiaries at all times to keep such Subsidiary’s property and assets free and clear from any legal process reasonably likely to result in liability in excess of Five Hundred Thousand Dollars ($500,000) or Liens whatsoever (except for Permitted Liens and except as to legal process, to the extent contested in good faith, provided however, that there shall be no Liens whatsoever on Intellectual Property, other than any Liens referred to in clauses (vii), (xv) and (xviii) of the definition of Permitted Liens), and shall give Agent prompt written notice of any legal process affecting such Subsidiary’s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27" w:name="page128"/>
    <w:bookmarkEnd w:id="127"/>
    <w:p>
      <w:pPr>
        <w:jc w:val="both"/>
        <w:spacing w:after="0" w:line="269" w:lineRule="auto"/>
        <w:rPr>
          <w:sz w:val="20"/>
          <w:szCs w:val="20"/>
          <w:color w:val="auto"/>
        </w:rPr>
      </w:pPr>
      <w:r>
        <w:rPr>
          <w:rFonts w:ascii="Times New Roman" w:cs="Times New Roman" w:eastAsia="Times New Roman" w:hAnsi="Times New Roman"/>
          <w:sz w:val="20"/>
          <w:szCs w:val="20"/>
          <w:color w:val="auto"/>
        </w:rPr>
        <w:t>SECTION 102. Investments. Borrower shall not directly or indirectly acquire or own, or make any Investment in or to any Person, or permit any of its Subsidiaries so to do, other than Permitted Investments.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SECTION 103. Distributions. Borrower shall not, and shall not allow any Subsidiary to, (a) repurchase or redeem any class of its stock or other Equity Interest other than (i) pursuant to employee, director or consultant repurchase plans or other similar agreements, provided, however, in each case the repurchase or redemption price does not exceed the original consideration paid for such stock or Equity Interest, (ii) repurchases of stock or Equity Interests from existing or former employees, directors, or consultants of Borrower or any Subsidiary (or their estates, descendants, family, spouses or former spouses) under the terms of applicable repurchase agreements in an aggregate amount not to exceed Seven Hundred Fifty Thousand Dollars ($750,000) in any fiscal year, provided that no Event of Default has occurred, is continuing or could exist after giving effect to the repurchases, (iii) repurchases of Equity Interests deemed to occur upon the cashless exercise of stock options when such Equity Interests represents a portion of the exercise price thereof, and (iv) to the extent constituting a repurchase, to the extent contemplated by Section 7.7(b)(ii) or (iii) below, or (b) declare or pay any cash dividend or make a cash distribution on any class of its stock or other Equity Interest, except (i) that a Subsidiary may pay dividends or make distributions to Borrower, (ii) to pay cash in lieu of fractional Equity Interests in connection with any dividend, split or combination thereof or (iii) to honor any conversion request by a holder of convertible Indebtedness permitted pursuant to clause (ii) or (x) of the definition of Permitted Indebtedness (to the extent such conversion request is paid solely in shares of Equity Interests of Parent not subject to redemption or repurchase) and make cash payments in lieu of fractional shares in connection with any such conversion and may make payments on convertible Indebtedness in accordance with its terms, or</w:t>
      </w:r>
    </w:p>
    <w:p>
      <w:pPr>
        <w:spacing w:after="0" w:line="9" w:lineRule="exact"/>
        <w:rPr>
          <w:sz w:val="20"/>
          <w:szCs w:val="20"/>
          <w:color w:val="auto"/>
        </w:rPr>
      </w:pPr>
    </w:p>
    <w:p>
      <w:pPr>
        <w:jc w:val="both"/>
        <w:ind w:firstLine="8"/>
        <w:spacing w:after="0" w:line="261" w:lineRule="auto"/>
        <w:tabs>
          <w:tab w:leader="none" w:pos="27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lend money to any employees, officers or directors or guarantee the payment of any such loans granted by a third party in excess of Five Hundred Dollars ($500,000) at any time outstanding or (d) waive, release or forgive any Indebtedness owed by any employees, officers or directors in excess of Two Hundred Fifty Thousand Dollars ($250,000) in the aggregate.</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SECTION 104. Transfers. Except for Permitted Transfers, Borrower shall not, and shall not allow any Subsidiary to, voluntarily or involuntarily transfer, sell, lease, license, lend or in any other manner convey any equitable, beneficial or legal interest in any material portion of its assets.</w:t>
      </w:r>
    </w:p>
    <w:p>
      <w:pPr>
        <w:spacing w:after="0" w:line="1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SECTION 105. Mergers or Acquisitions. Borrower shall not merge or consolidate, or permit any of its Subsidiaries to merge or consolidate, with or into any other business organization (other than mergers or consolidations of (a) a Subsidiary which is not a Borrower into another Subsidiary or into Borrower or (b) a Borrower into another Borrower), or acquire, or permit any of its Subsidiaries to acquire, in each case including for the avoidance of doubt through a merger, purchase, in-licensing arrangement or any similar transaction, all or substantially all of the capital stock or any property of another Person, except for (i) Permitted Acquisitions, and (ii) in-licensing transactions permitted pursuant to clause (xviii) of the definition of Permitted Investments.</w:t>
      </w:r>
    </w:p>
    <w:p>
      <w:pPr>
        <w:spacing w:after="0" w:line="18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SECTION 106. Taxes. Borrower and its Subsidiaries shall pay prior to becoming delinquent all material Taxes, now or hereafter imposed or assessed against Borrower or the Collateral or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28" w:name="page129"/>
    <w:bookmarkEnd w:id="128"/>
    <w:p>
      <w:pPr>
        <w:jc w:val="both"/>
        <w:spacing w:after="0" w:line="246" w:lineRule="auto"/>
        <w:rPr>
          <w:sz w:val="20"/>
          <w:szCs w:val="20"/>
          <w:color w:val="auto"/>
        </w:rPr>
      </w:pPr>
      <w:r>
        <w:rPr>
          <w:rFonts w:ascii="Times New Roman" w:cs="Times New Roman" w:eastAsia="Times New Roman" w:hAnsi="Times New Roman"/>
          <w:sz w:val="20"/>
          <w:szCs w:val="20"/>
          <w:color w:val="auto"/>
        </w:rPr>
        <w:t>Borrower’s ownership, possession, use, operation or disposition thereof or upon Borrower’s rents, receipts or earnings arising therefrom. Borrower shall file on or before the due date therefor all federal, state and other material income Tax returns required to be filed by Borrower and all personal property Tax returns in respect of the Collateral. Notwithstanding the foregoing, Borrower may contest, in good faith and by appropriate proceedings, Taxes for which Borrower maintains adequate reserves therefor in accordance with GAAP.</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SECTION 107. Corporate Changes. Neither Borrower nor any Subsidiary shall change its corporate name, legal form or jurisdiction of formation without ten (10) days’ prior written notice to Agent. Neither Borrower nor any Subsidiary shall suffer a Change in Control. Neither Borrower nor any Domestic Subsidiary shall relocate its chief executive office or its principal place of business unless: (i) it has provided prior written notice to Agent; and (ii) such relocation shall be within the continental United States of America. Neither Borrower nor any Subsidiary shall relocate any item of Collateral (other than (w) Collateral in transit in the ordinary course of business, (x) sales of Inventory in the ordinary course of business, (y) relocations of Equipment having an aggregate value of up to Seven Hundred Fifty Thousand Dollars ($750,000) in any fiscal year, and (z) relocations of Collateral from a location described on Exhibit C to another location described on Exhibit C) unless (i) it has provided prompt written notice to Agent, (ii) such relocation is within the continental United States of America, and (iii) if such relocation is to a third party bailee, it has delivered a bailee agreement in form and substance reasonably acceptable to Agent.</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SECTION 108. Deposit Accounts. Neither Borrower nor any Subsidiary shall maintain any Deposit Accounts, or accounts holding Investment Property, except with respect to which Agent has an Account Control Agreement and except for any Excluded Accounts.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109. Borrower shall notify Agent of each Subsidiary formed subsequent to the Closing Date and, within fifteen</w:t>
      </w:r>
    </w:p>
    <w:p>
      <w:pPr>
        <w:spacing w:after="0" w:line="22" w:lineRule="exact"/>
        <w:rPr>
          <w:sz w:val="20"/>
          <w:szCs w:val="20"/>
          <w:color w:val="auto"/>
        </w:rPr>
      </w:pPr>
    </w:p>
    <w:p>
      <w:pPr>
        <w:ind w:firstLine="8"/>
        <w:spacing w:after="0" w:line="246" w:lineRule="auto"/>
        <w:tabs>
          <w:tab w:leader="none" w:pos="387"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of formation, shall cause any such Subsidiary to execute and deliver to Agent a Joinder Agreement and any other documents and filings requested by Agent pursuant to Section 7.3.</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SECTION 110. Non-Borrower Subsidiaries. Borrower shall not permit Subsidiaries that are not Borrowers (including, for the avoidance of doubt, TG Australia and Ariston) to: (a) have assets and liabilities in excess of One Million Dollars ($1,000,000) in the aggregate at any time, or (b) own any Intellectual Property;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notwithstanding the foregoing,</w:t>
      </w:r>
    </w:p>
    <w:p>
      <w:pPr>
        <w:jc w:val="both"/>
        <w:ind w:firstLine="8"/>
        <w:spacing w:after="0" w:line="241" w:lineRule="auto"/>
        <w:tabs>
          <w:tab w:leader="none" w:pos="355"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TG Australia shall be permitted to have liabilities in the form of accounts payable in connection with clinical trial expenses incurred in the ordinary course of business and intercompany Indebtedness permitted pursuant to clause (ix) of the definition of Permitted Indebtedness, and (B) Ariston shall be permitted to have liabilities in the form of convertible Indebtedness and intercompany Indebtedness pursuant to clause (ix) of the definition of Permitted Indebtedness, and assets as contemplated by clause (v) of the definition of Excluded Accounts.</w:t>
      </w:r>
    </w:p>
    <w:p>
      <w:pPr>
        <w:spacing w:after="0" w:line="18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SECTION 111. Notification of Event of Default. Borrower shall notify Agent promptly but in any case within three (3) Business Days of the occurrence of any Event of Default.</w:t>
      </w:r>
    </w:p>
    <w:p>
      <w:pPr>
        <w:spacing w:after="0" w:line="15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SECTION 112. SBIC. Agent and Lender have received a license from the U.S. Small Business Administration (“SBA”) to extend loans as a small business investment company (“SBIC”)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29" w:name="page130"/>
    <w:bookmarkEnd w:id="129"/>
    <w:p>
      <w:pPr>
        <w:jc w:val="both"/>
        <w:spacing w:after="0" w:line="249" w:lineRule="auto"/>
        <w:rPr>
          <w:sz w:val="20"/>
          <w:szCs w:val="20"/>
          <w:color w:val="auto"/>
        </w:rPr>
      </w:pPr>
      <w:r>
        <w:rPr>
          <w:rFonts w:ascii="Times New Roman" w:cs="Times New Roman" w:eastAsia="Times New Roman" w:hAnsi="Times New Roman"/>
          <w:sz w:val="20"/>
          <w:szCs w:val="20"/>
          <w:color w:val="auto"/>
        </w:rPr>
        <w:t>pursuant to the Small Business Investment Act of 1958, as amended, and the associated regulations (collectively, the “SBIC Act”). Portions of the loan to Borrower will be made under the SBA license and the SBIC Act. Addendum 1 to this Agreement outlines various responsibilities of Agent, Lender and Borrower associated with an SBA loan, and such Addendum 1 is hereby incorporated in this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SECTION 113. Use of Proceeds. Borrower agrees that the proceeds of the Loans shall be used solely (i) to refinance the Existing Term Loan and to pay related fees and expenses in connection with the Existing Loan Agreement on the Closing Date, (ii) to pay related fees and expenses in connection with this Agreement and (iii) for working capital and general corporate purposes. The proceeds of the Loan will not be used in violation of Anti-Corruption Laws or applicable Sanctions.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114. [Reserved].</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SECTION 115. Notwithstanding anything herein to the contrary, no assets or liabilities of the Borrower or its Subsidiaries (other than Ariston) shall be transferred to Ariston.</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SECTION 116. Compliance with Laws. Borrower (i) shall maintain, and shall cause its Subsidiaries to maintain, compliance in all material respect with all applicable laws, rules or regulations (including any such law, rule or regulation with respect to the making or brokering of loans or financial accommodations), and (ii) shall, or cause its Subsidiaries to, obtain and maintain all required governmental authorizations, approvals, licenses, franchises, permits or registrations reasonably necessary in connection with the conduct of Borrower’s business.</w:t>
      </w:r>
    </w:p>
    <w:p>
      <w:pPr>
        <w:spacing w:after="0" w:line="185" w:lineRule="exact"/>
        <w:rPr>
          <w:sz w:val="20"/>
          <w:szCs w:val="20"/>
          <w:color w:val="auto"/>
        </w:rPr>
      </w:pPr>
    </w:p>
    <w:p>
      <w:pPr>
        <w:jc w:val="both"/>
        <w:ind w:left="500" w:firstLine="1377"/>
        <w:spacing w:after="0" w:line="242" w:lineRule="auto"/>
        <w:rPr>
          <w:sz w:val="20"/>
          <w:szCs w:val="20"/>
          <w:color w:val="auto"/>
        </w:rPr>
      </w:pPr>
      <w:r>
        <w:rPr>
          <w:rFonts w:ascii="Times New Roman" w:cs="Times New Roman" w:eastAsia="Times New Roman" w:hAnsi="Times New Roman"/>
          <w:sz w:val="20"/>
          <w:szCs w:val="20"/>
          <w:color w:val="auto"/>
        </w:rPr>
        <w:t>Neither Borrower nor any of its Subsidiaries shall, nor shall Borrower or any of its Subsidiaries permit any controlled Affiliate to, directly or indirectly, knowingly enter into any documents, instruments, agreements or contracts with any Person listed on the OFAC Lists. Neither Borrower nor any of its Subsidiaries shall, nor shall Borrower or any of its Subsidiaries, permit any controlled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192" w:lineRule="exact"/>
        <w:rPr>
          <w:sz w:val="20"/>
          <w:szCs w:val="20"/>
          <w:color w:val="auto"/>
        </w:rPr>
      </w:pPr>
    </w:p>
    <w:p>
      <w:pPr>
        <w:jc w:val="both"/>
        <w:ind w:left="500" w:firstLine="1296"/>
        <w:spacing w:after="0" w:line="246" w:lineRule="auto"/>
        <w:rPr>
          <w:sz w:val="20"/>
          <w:szCs w:val="20"/>
          <w:color w:val="auto"/>
        </w:rPr>
      </w:pPr>
      <w:r>
        <w:rPr>
          <w:rFonts w:ascii="Times New Roman" w:cs="Times New Roman" w:eastAsia="Times New Roman" w:hAnsi="Times New Roman"/>
          <w:sz w:val="20"/>
          <w:szCs w:val="20"/>
          <w:color w:val="auto"/>
        </w:rPr>
        <w:t>Borrower has implemented and maintains in effect policies and procedures designed to ensure compliance by the Borrower, its Subsidiaries and their respective directors, officers, employees and agents with Anti-Corruption Laws and applicable Sanctions, and Borrower, its Subsidiaries and their respective officers and employees and to the knowledge of Borrower its directors and agents, are in compliance with Anti-Corruption Laws and applicable Sanctions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30" w:name="page131"/>
    <w:bookmarkEnd w:id="130"/>
    <w:p>
      <w:pPr>
        <w:jc w:val="both"/>
        <w:ind w:left="500" w:firstLine="1296"/>
        <w:spacing w:after="0" w:line="266" w:lineRule="auto"/>
        <w:rPr>
          <w:sz w:val="20"/>
          <w:szCs w:val="20"/>
          <w:color w:val="auto"/>
        </w:rPr>
      </w:pPr>
      <w:r>
        <w:rPr>
          <w:rFonts w:ascii="Times New Roman" w:cs="Times New Roman" w:eastAsia="Times New Roman" w:hAnsi="Times New Roman"/>
          <w:sz w:val="19"/>
          <w:szCs w:val="19"/>
          <w:color w:val="auto"/>
        </w:rPr>
        <w:t>None of Borrower, any of its Subsidiaries or any of their respective directors, officers or employees, or to the knowledge of Borrower, any agent for Borrower or its Subsidiaries that will act in any capacity in connection with or benefit from the credit facility established hereby, is a Sanctioned Person. No Loan, use of proceeds or other transaction contemplated by this Agreement will violate Anti-Corruption Laws or applicable Sanctions.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117. Financial Covenants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118. Minimum Cash.</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119. Beginning on October 15, 2022, and continuing until the First Amendment Effective Date, Borrower shall</w:t>
      </w:r>
    </w:p>
    <w:p>
      <w:pPr>
        <w:spacing w:after="0" w:line="22" w:lineRule="exact"/>
        <w:rPr>
          <w:sz w:val="20"/>
          <w:szCs w:val="20"/>
          <w:color w:val="auto"/>
        </w:rPr>
      </w:pPr>
    </w:p>
    <w:p>
      <w:pPr>
        <w:jc w:val="both"/>
        <w:ind w:firstLine="8"/>
        <w:spacing w:after="0" w:line="215" w:lineRule="auto"/>
        <w:tabs>
          <w:tab w:leader="none" w:pos="339"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prior to Borrower’s achievement of either Performance Milestone I or Performance Milestone II, maintain Unrestricted Cash in an amount greater than or equal to seventy-five percent (75%) of the amount of Secured Obligations then outstanding plus the amount of Borrower’s accounts payable under GAAP not paid after the one hundred and eightieth (180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day following the due date for such accounts payable, and not contested, challenged or discussed in good faith and</w:t>
      </w:r>
    </w:p>
    <w:p>
      <w:pPr>
        <w:spacing w:after="0" w:line="1" w:lineRule="exact"/>
        <w:rPr>
          <w:rFonts w:ascii="Times New Roman" w:cs="Times New Roman" w:eastAsia="Times New Roman" w:hAnsi="Times New Roman"/>
          <w:sz w:val="20"/>
          <w:szCs w:val="20"/>
          <w:color w:val="auto"/>
        </w:rPr>
      </w:pPr>
    </w:p>
    <w:p>
      <w:pPr>
        <w:jc w:val="both"/>
        <w:ind w:firstLine="8"/>
        <w:spacing w:after="0" w:line="253" w:lineRule="auto"/>
        <w:tabs>
          <w:tab w:leader="none" w:pos="34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after Borrower’s achievement of either Performance Milestone I or Performance Milestone II, maintain Unrestricted Cash in an amount greater than or equal to thirty percent (30%) of the amount of Secured Obligations then outstanding plus the amount of Borrower’s accounts payable under GAAP not paid after the one hundred and eightieth (180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day following the due date for such accounts payable, and not contested, challenged or discussed in good faith.</w:t>
      </w:r>
    </w:p>
    <w:p>
      <w:pPr>
        <w:spacing w:after="0" w:line="3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0"/>
          <w:szCs w:val="20"/>
          <w:color w:val="auto"/>
        </w:rPr>
        <w:t>SECTION 120. Beginning on the First Amendment Effective Date, Borrower shall (A) at all times prior to Borrower’s achievement of Performance Milestone III, maintain Unrestricted Cash in an amount greater than or equal to twenty-five percent (25%) of the amount of Secured Obligations then outstanding plus the amount of Borrower’s accounts payable under GAAP not paid after the one hundred and eightieth (180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day following the due date for such accounts payable, and not contested, challenged or discussed in good faith and (B) at all times after Borrower’s achievement of Performance Milestone III, maintain Unrestricted Cash in an amount greater than or equal to fifteen percent (15%) of the amount of Secured Obligations then outstanding plus the amount of Borrower’s accounts payable under GAAP not paid after the one hundred and eightieth (180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day following the due date for such accounts payable, and not contested, challenged or discussed in good faith.</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SECTION 121. Performance Covenant. Beginning July 1, 2023, the Borrower shall satisfy the Performance Covenant, tested as of the last day of each month. Notwithstanding the foregoing, the Performance Covenant shall not apply for any monthly period for which Borrower satisfies the Performance Covenant Waiver Conditions on each day of such monthly period.</w:t>
      </w:r>
    </w:p>
    <w:p>
      <w:pPr>
        <w:spacing w:after="0" w:line="18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Borrower shall provide Agent evidence of compliance with this Section 7.21 in each Compliance Certificate and upon request in form and substance reasonably acceptable to Agent, along with supporting documentation reasonably requested by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31" w:name="page132"/>
    <w:bookmarkEnd w:id="131"/>
    <w:p>
      <w:pPr>
        <w:jc w:val="both"/>
        <w:spacing w:after="0" w:line="269" w:lineRule="auto"/>
        <w:rPr>
          <w:sz w:val="20"/>
          <w:szCs w:val="20"/>
          <w:color w:val="auto"/>
        </w:rPr>
      </w:pPr>
      <w:r>
        <w:rPr>
          <w:rFonts w:ascii="Times New Roman" w:cs="Times New Roman" w:eastAsia="Times New Roman" w:hAnsi="Times New Roman"/>
          <w:sz w:val="20"/>
          <w:szCs w:val="20"/>
          <w:color w:val="auto"/>
        </w:rPr>
        <w:t>SECTION 122. Post-Closing Obligations. Notwithstanding any provision herein or in any other Loan Document to the contrary, to the extent not actually delivered on or prior to the Closing Date, Borrower shall: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SECTION 123. within thirty (30) days of the Closing Date (or such later date as Agent may agree to in its sole discretion), deliver to Agent a fully executed Account Control Agreement with respect to the Stone Castle account ending XXX607, which shall be in form and substance reasonably satisfactory to Agent in its reasonable discretion; and</w:t>
      </w:r>
    </w:p>
    <w:p>
      <w:pPr>
        <w:spacing w:after="0" w:line="174"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color w:val="auto"/>
        </w:rPr>
        <w:t>SECTION 124. within thirty (30) days of the Closing Date (or such later date as Agent may agree to in its sole discretion), a fully-executed copy of an amendment to (or amendment and restatement of) the Securities Account Control Agreement –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20"/>
          <w:szCs w:val="20"/>
          <w:color w:val="auto"/>
        </w:rPr>
        <w:t xml:space="preserve"> party, dated as of March 3, 2019, by and among Pershing Advisor Solutions LLC, Parent, Pershing LLC and Agent, in form and substance reasonably satisfactory to Agent.</w:t>
      </w:r>
    </w:p>
    <w:p>
      <w:pPr>
        <w:spacing w:after="0" w:line="1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SECTION 125. Transactions with Affiliates. Borrower shall not and shall not permit any Subsidiary to, directly or indirectly, enter into or permit to exist any transaction of any kind with any Affiliate of Borrower or such Subsidiary on terms that are materially less favorable to Borrower or such Subsidiary, as the case may be, than those that might be obtained in an arm’s length transaction from a Person who is not an Affiliate of Borrower or such Subsidiary, except: (i) transactions between or among Borrowers (or any entity that becomes a Borrower as a result of such transaction) not involving any other Affiliate; (ii) loans or advances to employees, officers and directors otherwise constituting a Permitted Investment and (iii) transactions set forth on Schedule 7.23, as those agreements and instruments may be amended, modified, supplemented, extended, renewed or refinanced from time to time in accordance with the other terms of this covenant or to the extent not more disadvantageous to the Agent and Lender in any material respect.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126. RIGHT TO invest</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SECTION 127. Lender or its assignee or nominee shall have the right, in its discretion, to participate in any Subsequent Financing in an amount of up to Five Million Dollars ($5,000,000) on the same terms, conditions and pricing afforded to others participating in any such Subsequent Financing. This Section 8.1, and all rights and obligations hereunder, shall terminate upon the later of (a) the repayment in full of all Secured Obligations (other than any inchoate indemnity obligations and any other obligations which, by their terms, are to survive the termination of this Agreement) and (b) termination or exercise in full of the Warrants.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128. EVENTS OF DEFAULT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occurrence of any one or more of the following events shall be an Event of Default:</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SECTION 129. Payments. Borrower fails to pay any amount due under this Agreement or any of the other Loan Documents on the due date; provided, however, that an Event of Default shall not occur on account of a failure to pay due solely to an administrative or operational error of Agent or Lender or Borrower’s bank if Borrower had the funds to make the payment when due and makes the payment within three (3) Business Days following Borrower’s knowledge of such failure to pay;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32" w:name="page133"/>
    <w:bookmarkEnd w:id="132"/>
    <w:p>
      <w:pPr>
        <w:jc w:val="both"/>
        <w:spacing w:after="0" w:line="244" w:lineRule="auto"/>
        <w:rPr>
          <w:sz w:val="20"/>
          <w:szCs w:val="20"/>
          <w:color w:val="auto"/>
        </w:rPr>
      </w:pPr>
      <w:r>
        <w:rPr>
          <w:rFonts w:ascii="Times New Roman" w:cs="Times New Roman" w:eastAsia="Times New Roman" w:hAnsi="Times New Roman"/>
          <w:sz w:val="20"/>
          <w:szCs w:val="20"/>
          <w:color w:val="auto"/>
        </w:rPr>
        <w:t>SECTION 130. Covenants. Borrower breaches or defaults in the performance of any covenant or Secured Obligation under this Agreement, or any of the other Loan Documents, and (a) with respect to a default under any covenant under this Agreement (other than under Sections 6, 7.4, 7.5, 7.6, 7.7, 7.8, 7.9, 7.14, 7.15, 7.16, 7.17, 7.19, 7.20, 7.21 and 7.22), and any other Loan Document, such default continues for more than ten (10) Business Days after the earlier of the date on which (i) Agent or Lender has given notice of such default to Borrower and (ii) Borrower has actual knowledge of such default or (b) with respect to a default under any of Sections 6, 7.4, 7.5, 7.6, 7.7, 7.8, 7.9, 7.14, 7.15, 7.16, 7.17, 7.19, 7.20, 7.21 and 7.22 the occurrence of such default; or</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SECTION 131. Material Adverse Effect. A circumstance has occurred that could reasonably be expected to have a Material Adverse Effect; or</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SECTION 132. Representations. Any representation or warranty made by Borrower in any Loan Document shall have been false or misleading in any material respect when made or when deemed made; or</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SECTION 133. Insolvency. Borrower (A) (i) shall make an assignment for the benefit of creditors; or (ii) shall be generally unable to pay its debts as they become due, or shall become insolvent; or (iii) shall file a voluntary petition in bankruptcy; or</w:t>
      </w:r>
    </w:p>
    <w:p>
      <w:pPr>
        <w:jc w:val="both"/>
        <w:ind w:firstLine="8"/>
        <w:spacing w:after="0" w:line="239" w:lineRule="auto"/>
        <w:tabs>
          <w:tab w:leader="none" w:pos="408"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file any petition, answer, or document seeking for itself any reorganization, arrangement, composition, readjustment, liquidation, dissolution or similar relief under any present or future statute, law or regulation pertinent to such circumstances; or (v) shall seek or consent to or acquiesce in the appointment of any trustee, receiver, or liquidator of Borrower or of all or any substantial part (i.e., 33-1/3% or more) of the assets or property of Borrower; or (vi) shall cease operations of its business as its business has normally been conducted, or terminate substantially all of its employees; or</w:t>
      </w:r>
    </w:p>
    <w:p>
      <w:pPr>
        <w:spacing w:after="0" w:line="2" w:lineRule="exact"/>
        <w:rPr>
          <w:rFonts w:ascii="Times New Roman" w:cs="Times New Roman" w:eastAsia="Times New Roman" w:hAnsi="Times New Roman"/>
          <w:sz w:val="20"/>
          <w:szCs w:val="20"/>
          <w:color w:val="auto"/>
        </w:rPr>
      </w:pPr>
    </w:p>
    <w:p>
      <w:pPr>
        <w:jc w:val="both"/>
        <w:ind w:firstLine="8"/>
        <w:spacing w:after="0"/>
        <w:tabs>
          <w:tab w:leader="none" w:pos="39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or its directors or majority shareholders shall take any action initiating any of the foregoing actions described in clauses (i) through (vi); or (B) either (i) forty-five (45) days shall have expired after the commencement of an involuntary action against Borrower seeking reorganization, arrangement, composition, readjustment, liquidation, dissolution or similar relief under any present or future statute, law or regulation, without such action being dismissed or all orders or proceedings thereunder affecting the operations or the business of Borrower being stayed; or (ii) a stay of any such order or proceedings shall thereafter be set aside and the action setting it aside shall not be timely appealed; or (iii) Borrower shall file any answer admitting or not contesting the material allegations of a petition filed against Borrower in any such proceedings; or (iv) the court in which such proceedings are pending shall enter a decree or order granting the relief sought in any such proceedings; or (v) forty-five (45) days shall have expired after the appointment, without the consent or acquiescence of Borrower, of any trustee, receiver or liquidator of Borrower or of all or any substantial part of the properties of Borrower without such appointment being vacated; or</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SECTION 134. Attachments; Judgments. Any portion of Borrower’s assets is attached or seized, or a levy is filed against any such assets, or a final judgment or judgments is/are entered for the payment of money (not covered by independent third party insurance as to which liability has not been rejected by such insurance carrier), individually or in the aggregate, of at least One Million Dollars ($1,000,000), or Borrower is enjoined or in any way prevented by court order from conducting any part of its business as its business has normally been conducted and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33" w:name="page134"/>
    <w:bookmarkEnd w:id="133"/>
    <w:p>
      <w:pPr>
        <w:jc w:val="both"/>
        <w:spacing w:after="0" w:line="269" w:lineRule="auto"/>
        <w:rPr>
          <w:sz w:val="20"/>
          <w:szCs w:val="20"/>
          <w:color w:val="auto"/>
        </w:rPr>
      </w:pPr>
      <w:r>
        <w:rPr>
          <w:rFonts w:ascii="Times New Roman" w:cs="Times New Roman" w:eastAsia="Times New Roman" w:hAnsi="Times New Roman"/>
          <w:sz w:val="20"/>
          <w:szCs w:val="20"/>
          <w:color w:val="auto"/>
        </w:rPr>
        <w:t>attachment, seizure, levy, judgment or injunction is not, within thirty (30) days after the occurrence thereof, satisfied, discharged, paid or stayed (whether through the posting of a bond or otherwise); or</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SECTION 135. Other Indebtedness. The occurrence of any default under any agreement of Borrower evidencing any Indebtedness in excess of One Million Dollars ($1,000,000) and such default shall continue after the applicable grace period, if any, specified in the agreement or instrument relating to such Indebtedness, if the effect of such default is to accelerate, or to permit the acceleration of, the maturity of such Indebtedness or otherwise to cause, or to permit the holder thereof to cause, such Indebtedness to mature, in each case whether or not exercised.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136. REMEDIES</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SECTION 137. General. Upon and during the continuance of any one or more Events of Default, (i) Agent may, and at the direction of the Required Lenders shall, accelerate and demand payment of all or any part of the Secured Obligations together with a Prepayment Charge (if any) and declare them to be immediately due and payable (provided, that upon the occurrence of an Event of Default of the type described in Section 9.5, all of the Secured Obligations (including, without limitation, the Prepayment Charge (if any), the Existing End of Term Charge and the End of Term Charge) shall automatically be accelerated and made due and payable, in each case without any further notice or act), (ii) Agent may, at its option, sign and file in Borrower’s name any and all collateral assignments, notices, control agreements, security agreements and other documents it deems necessary or appropriate to perfect or protect the repayment of the Secured Obligations, and in furtherance thereof, Borrower hereby grants Agent an irrevocable power of attorney coupled with an interest, and (iii) Agent may notify any of Borrower’s account debtors to make payment directly to Agent, compromise the amount of any such account on Borrower’s behalf and endorse Agent’s name without recourse on any such payment for deposit directly to Agent’s account. Agent may, and at the direction of the Required Lenders shall, exercise all rights and remedies with respect to the Collateral under the Loan Documents or otherwise available to it under the UCC and other applicable law, including the right to release, hold, sell, lease, liquidate, collect, realize upon, or otherwise dispose of all or any part of the Collateral and the right to occupy, utilize, process and commingle the Collateral. All Agent’s rights and remedies shall be cumulative and not exclusive.</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SECTION 138. Collection; Foreclosure. Upon the occurrence and during the continuance of any Event of Default, Agent may, and at the direction of the Required Lenders shall, at any time or from time to time, apply, collect, liquidate, sell in one or more sales, lease or otherwise dispose of, any or all of the Collateral, in its then condition or following any commercially reasonable preparation or processing, in such order as Agent may elect. Any such sale may be made either at public or private sale at its place of business or elsewhere. Borrower agrees that any such public or private sale may occur upon ten</w:t>
      </w:r>
    </w:p>
    <w:p>
      <w:pPr>
        <w:spacing w:after="0" w:line="4" w:lineRule="exact"/>
        <w:rPr>
          <w:sz w:val="20"/>
          <w:szCs w:val="20"/>
          <w:color w:val="auto"/>
        </w:rPr>
      </w:pPr>
    </w:p>
    <w:p>
      <w:pPr>
        <w:jc w:val="both"/>
        <w:ind w:firstLine="8"/>
        <w:spacing w:after="0" w:line="241" w:lineRule="auto"/>
        <w:tabs>
          <w:tab w:leader="none" w:pos="395"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calendar days’ prior written notice to Borrower. Agent may require Borrower to assemble the Collateral and make it available to Agent at a place designated by Agent that is reasonably convenient to Agent and Borrower. The proceeds of any sale, disposition or other realization upon all or any part of the Collateral shall be applied by Agent in the following order of priorities: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34" w:name="page135"/>
    <w:bookmarkEnd w:id="134"/>
    <w:p>
      <w:pPr>
        <w:jc w:val="both"/>
        <w:ind w:left="1300"/>
        <w:spacing w:after="0" w:line="269" w:lineRule="auto"/>
        <w:rPr>
          <w:sz w:val="20"/>
          <w:szCs w:val="20"/>
          <w:color w:val="auto"/>
        </w:rPr>
      </w:pPr>
      <w:r>
        <w:rPr>
          <w:rFonts w:ascii="Times New Roman" w:cs="Times New Roman" w:eastAsia="Times New Roman" w:hAnsi="Times New Roman"/>
          <w:sz w:val="20"/>
          <w:szCs w:val="20"/>
          <w:color w:val="auto"/>
        </w:rPr>
        <w:t>First, to Agent and Lender in an amount sufficient to pay in full Agent’s and Lender’s reasonable costs and professionals’ and advisors’ fees and expenses as described in Section 11.11;</w:t>
      </w:r>
    </w:p>
    <w:p>
      <w:pPr>
        <w:spacing w:after="0" w:line="159"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20"/>
          <w:szCs w:val="20"/>
          <w:color w:val="auto"/>
        </w:rPr>
        <w:t>Second, to Lender in an amount equal to the then unpaid amount of the Secured Obligations (including principal, interest, and any default rate interest pursuant to Section 2.4), in such order and priority as Agent may choose in its sole discretion; and</w:t>
      </w:r>
    </w:p>
    <w:p>
      <w:pPr>
        <w:spacing w:after="0" w:line="174" w:lineRule="exact"/>
        <w:rPr>
          <w:sz w:val="20"/>
          <w:szCs w:val="20"/>
          <w:color w:val="auto"/>
        </w:rPr>
      </w:pPr>
    </w:p>
    <w:p>
      <w:pPr>
        <w:jc w:val="both"/>
        <w:ind w:left="1300" w:right="20"/>
        <w:spacing w:after="0" w:line="254" w:lineRule="auto"/>
        <w:rPr>
          <w:sz w:val="20"/>
          <w:szCs w:val="20"/>
          <w:color w:val="auto"/>
        </w:rPr>
      </w:pPr>
      <w:r>
        <w:rPr>
          <w:rFonts w:ascii="Times New Roman" w:cs="Times New Roman" w:eastAsia="Times New Roman" w:hAnsi="Times New Roman"/>
          <w:sz w:val="20"/>
          <w:szCs w:val="20"/>
          <w:color w:val="auto"/>
        </w:rPr>
        <w:t>Finally, after the full and final payment in Cash of all of the Secured Obligations (other than inchoate obligations), to any creditor holding a junior Lien on the Collateral, or to Borrower or its representatives or as a court of competent jurisdiction may direct.</w:t>
      </w:r>
    </w:p>
    <w:p>
      <w:pPr>
        <w:spacing w:after="0" w:line="174" w:lineRule="exact"/>
        <w:rPr>
          <w:sz w:val="20"/>
          <w:szCs w:val="20"/>
          <w:color w:val="auto"/>
        </w:rPr>
      </w:pPr>
    </w:p>
    <w:p>
      <w:pPr>
        <w:ind w:left="580"/>
        <w:spacing w:after="0" w:line="269" w:lineRule="auto"/>
        <w:rPr>
          <w:sz w:val="20"/>
          <w:szCs w:val="20"/>
          <w:color w:val="auto"/>
        </w:rPr>
      </w:pPr>
      <w:r>
        <w:rPr>
          <w:rFonts w:ascii="Times New Roman" w:cs="Times New Roman" w:eastAsia="Times New Roman" w:hAnsi="Times New Roman"/>
          <w:sz w:val="20"/>
          <w:szCs w:val="20"/>
          <w:color w:val="auto"/>
        </w:rPr>
        <w:t>Agent shall be deemed to have acted reasonably in the custody, preservation and disposition of any of the Collateral if it complies with the obligations of a secured party under the UCC.</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SECTION 139. No Waiver. Agent shall be under no obligation to marshal any of the Collateral for the benefit of Borrower or any other Person, and Borrower expressly waives all rights, if any, to require Agent to marshal any Collateral.</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SECTION 140. Cumulative Remedies. The rights, powers and remedies of Agent hereunder shall be in addition to all rights, powers and remedies given by statute or rule of law and are cumulative. The exercise of any one or more of the rights, powers and remedies provided herein shall not be construed as a waiver of or election of remedies with respect to any other rights, powers and remedies of Agent.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141. MISCELLANEOUS</w:t>
      </w:r>
    </w:p>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SECTION 142. Severability. Whenever possible, each provision of this Agreement shall be interpreted in such manner as to be effective and valid under applicable law, but if any provision of this Agreement shall be prohibited by or invalid under such law, such provision shall be ineffective only to the extent and duration of such prohibition or invalidity, without invalidating the remainder of such provision or the remaining provisions of this Agreement.</w:t>
      </w:r>
    </w:p>
    <w:p>
      <w:pPr>
        <w:spacing w:after="0" w:line="180"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SECTION 143. Notice. Except as otherwise provided herein, any notice, demand, request, consent, approval, declaration, service of process or other communication (including the delivery of Financial Statements) that is required, contemplated, or permitted under the Loan Documents or with respect to the subject matter hereof shall be in writing, and shall be deemed to have been validly served, given, delivered, and received upon the earlier of: (i) the day of transmission by electronic mail or hand delivery or delivery by an overnight express service or overnight mail delivery service; or (ii)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20"/>
          <w:szCs w:val="20"/>
          <w:color w:val="auto"/>
        </w:rPr>
        <w:t>) calendar day after deposit in the United States of America mails, with proper first class postage prepaid, in each case addressed to the party to be notified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color w:val="auto"/>
        </w:rPr>
        <w:t>SECTION 144. If to Agent:</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HERCULES CAPITAL, INC.</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Legal Department</w:t>
      </w:r>
    </w:p>
    <w:p>
      <w:pPr>
        <w:ind w:left="340"/>
        <w:spacing w:after="0"/>
        <w:rPr>
          <w:sz w:val="20"/>
          <w:szCs w:val="20"/>
          <w:color w:val="auto"/>
        </w:rPr>
      </w:pPr>
      <w:r>
        <w:rPr>
          <w:rFonts w:ascii="Times New Roman" w:cs="Times New Roman" w:eastAsia="Times New Roman" w:hAnsi="Times New Roman"/>
          <w:sz w:val="20"/>
          <w:szCs w:val="20"/>
          <w:color w:val="auto"/>
        </w:rPr>
        <w:t>Attention: Chief Legal Officer and Michael Dutra and John Miotti</w:t>
      </w:r>
    </w:p>
    <w:p>
      <w:pPr>
        <w:ind w:left="340"/>
        <w:spacing w:after="0"/>
        <w:rPr>
          <w:sz w:val="20"/>
          <w:szCs w:val="20"/>
          <w:color w:val="auto"/>
        </w:rPr>
      </w:pPr>
      <w:r>
        <w:rPr>
          <w:rFonts w:ascii="Times New Roman" w:cs="Times New Roman" w:eastAsia="Times New Roman" w:hAnsi="Times New Roman"/>
          <w:sz w:val="20"/>
          <w:szCs w:val="20"/>
          <w:color w:val="auto"/>
        </w:rPr>
        <w:t>400 Hamilton Avenue, Suite 310</w:t>
      </w:r>
    </w:p>
    <w:p>
      <w:pPr>
        <w:ind w:left="340"/>
        <w:spacing w:after="0"/>
        <w:rPr>
          <w:sz w:val="20"/>
          <w:szCs w:val="20"/>
          <w:color w:val="auto"/>
        </w:rPr>
      </w:pPr>
      <w:r>
        <w:rPr>
          <w:rFonts w:ascii="Times New Roman" w:cs="Times New Roman" w:eastAsia="Times New Roman" w:hAnsi="Times New Roman"/>
          <w:sz w:val="20"/>
          <w:szCs w:val="20"/>
          <w:color w:val="auto"/>
        </w:rPr>
        <w:t>Palo Alto, CA 94301</w:t>
      </w:r>
    </w:p>
    <w:p>
      <w:pPr>
        <w:ind w:left="340"/>
        <w:spacing w:after="0"/>
        <w:rPr>
          <w:sz w:val="20"/>
          <w:szCs w:val="20"/>
          <w:color w:val="auto"/>
        </w:rPr>
      </w:pPr>
      <w:r>
        <w:rPr>
          <w:rFonts w:ascii="Times New Roman" w:cs="Times New Roman" w:eastAsia="Times New Roman" w:hAnsi="Times New Roman"/>
          <w:sz w:val="20"/>
          <w:szCs w:val="20"/>
          <w:color w:val="auto"/>
        </w:rPr>
        <w:t>email: legal@herculestech.com; mdutra@htgc.com; jmiotti@htgc.com</w:t>
      </w:r>
    </w:p>
    <w:p>
      <w:pPr>
        <w:ind w:left="340"/>
        <w:spacing w:after="0"/>
        <w:rPr>
          <w:sz w:val="20"/>
          <w:szCs w:val="20"/>
          <w:color w:val="auto"/>
        </w:rPr>
      </w:pPr>
      <w:r>
        <w:rPr>
          <w:rFonts w:ascii="Times New Roman" w:cs="Times New Roman" w:eastAsia="Times New Roman" w:hAnsi="Times New Roman"/>
          <w:sz w:val="20"/>
          <w:szCs w:val="20"/>
          <w:color w:val="auto"/>
        </w:rPr>
        <w:t>Telephone: 650-289-3060</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145. If to Lender:</w:t>
      </w:r>
    </w:p>
    <w:p>
      <w:pPr>
        <w:spacing w:after="0" w:line="216" w:lineRule="exact"/>
        <w:rPr>
          <w:sz w:val="20"/>
          <w:szCs w:val="20"/>
          <w:color w:val="auto"/>
        </w:rPr>
      </w:pPr>
    </w:p>
    <w:p>
      <w:pPr>
        <w:ind w:left="340" w:right="2260"/>
        <w:spacing w:after="0" w:line="247" w:lineRule="auto"/>
        <w:rPr>
          <w:sz w:val="20"/>
          <w:szCs w:val="20"/>
          <w:color w:val="auto"/>
        </w:rPr>
      </w:pPr>
      <w:r>
        <w:rPr>
          <w:rFonts w:ascii="Times New Roman" w:cs="Times New Roman" w:eastAsia="Times New Roman" w:hAnsi="Times New Roman"/>
          <w:sz w:val="20"/>
          <w:szCs w:val="20"/>
          <w:color w:val="auto"/>
        </w:rPr>
        <w:t>HERCULES CAPITAL, INC., HERCULES PRIVATE CREDIT FUND 1 L.P., HERCULES PRIVATE GLOBAL VENTURE GROWTH FUND I L.P. AND HERCULES FUNDING IV, LLC</w:t>
      </w:r>
    </w:p>
    <w:p>
      <w:pPr>
        <w:ind w:left="340"/>
        <w:spacing w:after="0"/>
        <w:rPr>
          <w:sz w:val="20"/>
          <w:szCs w:val="20"/>
          <w:color w:val="auto"/>
        </w:rPr>
      </w:pPr>
      <w:r>
        <w:rPr>
          <w:rFonts w:ascii="Times New Roman" w:cs="Times New Roman" w:eastAsia="Times New Roman" w:hAnsi="Times New Roman"/>
          <w:sz w:val="20"/>
          <w:szCs w:val="20"/>
          <w:color w:val="auto"/>
        </w:rPr>
        <w:t>Legal Department</w:t>
      </w:r>
    </w:p>
    <w:p>
      <w:pPr>
        <w:ind w:left="340"/>
        <w:spacing w:after="0"/>
        <w:rPr>
          <w:sz w:val="20"/>
          <w:szCs w:val="20"/>
          <w:color w:val="auto"/>
        </w:rPr>
      </w:pPr>
      <w:r>
        <w:rPr>
          <w:rFonts w:ascii="Times New Roman" w:cs="Times New Roman" w:eastAsia="Times New Roman" w:hAnsi="Times New Roman"/>
          <w:sz w:val="20"/>
          <w:szCs w:val="20"/>
          <w:color w:val="auto"/>
        </w:rPr>
        <w:t>Attention: Chief Legal Officer and Michael Dutra and John Miotti</w:t>
      </w:r>
    </w:p>
    <w:p>
      <w:pPr>
        <w:ind w:left="340"/>
        <w:spacing w:after="0"/>
        <w:rPr>
          <w:sz w:val="20"/>
          <w:szCs w:val="20"/>
          <w:color w:val="auto"/>
        </w:rPr>
      </w:pPr>
      <w:r>
        <w:rPr>
          <w:rFonts w:ascii="Times New Roman" w:cs="Times New Roman" w:eastAsia="Times New Roman" w:hAnsi="Times New Roman"/>
          <w:sz w:val="20"/>
          <w:szCs w:val="20"/>
          <w:color w:val="auto"/>
        </w:rPr>
        <w:t>400 Hamilton Avenue, Suite 310</w:t>
      </w:r>
    </w:p>
    <w:p>
      <w:pPr>
        <w:ind w:left="340"/>
        <w:spacing w:after="0"/>
        <w:rPr>
          <w:sz w:val="20"/>
          <w:szCs w:val="20"/>
          <w:color w:val="auto"/>
        </w:rPr>
      </w:pPr>
      <w:r>
        <w:rPr>
          <w:rFonts w:ascii="Times New Roman" w:cs="Times New Roman" w:eastAsia="Times New Roman" w:hAnsi="Times New Roman"/>
          <w:sz w:val="20"/>
          <w:szCs w:val="20"/>
          <w:color w:val="auto"/>
        </w:rPr>
        <w:t>Palo Alto, CA 94301</w:t>
      </w:r>
    </w:p>
    <w:p>
      <w:pPr>
        <w:ind w:left="340"/>
        <w:spacing w:after="0"/>
        <w:rPr>
          <w:sz w:val="20"/>
          <w:szCs w:val="20"/>
          <w:color w:val="auto"/>
        </w:rPr>
      </w:pPr>
      <w:r>
        <w:rPr>
          <w:rFonts w:ascii="Times New Roman" w:cs="Times New Roman" w:eastAsia="Times New Roman" w:hAnsi="Times New Roman"/>
          <w:sz w:val="20"/>
          <w:szCs w:val="20"/>
          <w:color w:val="auto"/>
        </w:rPr>
        <w:t>email: legal@herculestech.com; mdutra@htgc.com; jmiotti@htgc.com</w:t>
      </w:r>
    </w:p>
    <w:p>
      <w:pPr>
        <w:ind w:left="340"/>
        <w:spacing w:after="0"/>
        <w:rPr>
          <w:sz w:val="20"/>
          <w:szCs w:val="20"/>
          <w:color w:val="auto"/>
        </w:rPr>
      </w:pPr>
      <w:r>
        <w:rPr>
          <w:rFonts w:ascii="Times New Roman" w:cs="Times New Roman" w:eastAsia="Times New Roman" w:hAnsi="Times New Roman"/>
          <w:sz w:val="20"/>
          <w:szCs w:val="20"/>
          <w:color w:val="auto"/>
        </w:rPr>
        <w:t>Telephone: 650-289-3060</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146. If to Borrower:</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TG THERAPEUTICS, INC.</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Attention: Sean Power, Chief Financial Officer</w:t>
      </w:r>
    </w:p>
    <w:p>
      <w:pPr>
        <w:ind w:left="340"/>
        <w:spacing w:after="0" w:line="180" w:lineRule="auto"/>
        <w:rPr>
          <w:sz w:val="20"/>
          <w:szCs w:val="20"/>
          <w:color w:val="auto"/>
        </w:rPr>
      </w:pPr>
      <w:r>
        <w:rPr>
          <w:rFonts w:ascii="Times New Roman" w:cs="Times New Roman" w:eastAsia="Times New Roman" w:hAnsi="Times New Roman"/>
          <w:sz w:val="20"/>
          <w:szCs w:val="20"/>
          <w:color w:val="auto"/>
        </w:rPr>
        <w:t>2 Gansevoort St.,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Floor</w:t>
      </w:r>
    </w:p>
    <w:p>
      <w:pPr>
        <w:ind w:left="340"/>
        <w:spacing w:after="0"/>
        <w:rPr>
          <w:sz w:val="20"/>
          <w:szCs w:val="20"/>
          <w:color w:val="auto"/>
        </w:rPr>
      </w:pPr>
      <w:r>
        <w:rPr>
          <w:rFonts w:ascii="Times New Roman" w:cs="Times New Roman" w:eastAsia="Times New Roman" w:hAnsi="Times New Roman"/>
          <w:sz w:val="20"/>
          <w:szCs w:val="20"/>
          <w:color w:val="auto"/>
        </w:rPr>
        <w:t>New York, NY 10014</w:t>
      </w:r>
    </w:p>
    <w:p>
      <w:pPr>
        <w:ind w:left="340"/>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0"/>
          <w:szCs w:val="20"/>
          <w:u w:val="single" w:color="auto"/>
          <w:color w:val="0000FF"/>
        </w:rPr>
        <w:t>sp@tgtxinc.com</w:t>
      </w:r>
    </w:p>
    <w:p>
      <w:pPr>
        <w:ind w:left="340"/>
        <w:spacing w:after="0"/>
        <w:rPr>
          <w:sz w:val="20"/>
          <w:szCs w:val="20"/>
          <w:color w:val="auto"/>
        </w:rPr>
      </w:pPr>
      <w:r>
        <w:rPr>
          <w:rFonts w:ascii="Times New Roman" w:cs="Times New Roman" w:eastAsia="Times New Roman" w:hAnsi="Times New Roman"/>
          <w:sz w:val="20"/>
          <w:szCs w:val="20"/>
          <w:color w:val="auto"/>
        </w:rPr>
        <w:t>Telephone: 212-554-4484</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DLA PIPER LLP</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Attention: Richard Marks</w:t>
      </w:r>
    </w:p>
    <w:p>
      <w:pPr>
        <w:ind w:left="340"/>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0"/>
          <w:szCs w:val="20"/>
          <w:u w:val="single" w:color="auto"/>
          <w:color w:val="0000FF"/>
        </w:rPr>
        <w:t>richard.marks@us.dlapiper.co</w:t>
      </w:r>
      <w:r>
        <w:rPr>
          <w:rFonts w:ascii="Times New Roman" w:cs="Times New Roman" w:eastAsia="Times New Roman" w:hAnsi="Times New Roman"/>
          <w:sz w:val="20"/>
          <w:szCs w:val="20"/>
          <w:color w:val="auto"/>
        </w:rPr>
        <w:t>m</w:t>
      </w:r>
    </w:p>
    <w:p>
      <w:pPr>
        <w:ind w:left="340"/>
        <w:spacing w:after="0"/>
        <w:rPr>
          <w:sz w:val="20"/>
          <w:szCs w:val="20"/>
          <w:color w:val="auto"/>
        </w:rPr>
      </w:pPr>
      <w:r>
        <w:rPr>
          <w:rFonts w:ascii="Times New Roman" w:cs="Times New Roman" w:eastAsia="Times New Roman" w:hAnsi="Times New Roman"/>
          <w:sz w:val="20"/>
          <w:szCs w:val="20"/>
          <w:color w:val="auto"/>
        </w:rPr>
        <w:t>Telephone: 202-799-4202</w:t>
      </w:r>
    </w:p>
    <w:p>
      <w:pPr>
        <w:ind w:left="340"/>
        <w:spacing w:after="0"/>
        <w:rPr>
          <w:sz w:val="20"/>
          <w:szCs w:val="20"/>
          <w:color w:val="auto"/>
        </w:rPr>
      </w:pPr>
      <w:r>
        <w:rPr>
          <w:rFonts w:ascii="Times New Roman" w:cs="Times New Roman" w:eastAsia="Times New Roman" w:hAnsi="Times New Roman"/>
          <w:sz w:val="20"/>
          <w:szCs w:val="20"/>
          <w:color w:val="auto"/>
        </w:rPr>
        <w:t>Fax: 202-799-5202</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or to such other address as each party may designate for itself by like notice.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147. Entire Agreement; Amendments.</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SECTION 148. This Agreement and the other Loan Documents constitute the entire agreement and understanding of the parties hereto in respect of the subject matter hereof and thereof, and supersede and replace in their entirety any prior proposals, term sheets, non-disclosure or confidentiality agreements, letters, negotiations or other documents or agreements, whether written or oral, with respect to the subject matter hereof or thereof (including, without limitation, Agent’s proposal letter dated December 13,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36" w:name="page137"/>
    <w:bookmarkEnd w:id="136"/>
    <w:p>
      <w:pPr>
        <w:jc w:val="both"/>
        <w:spacing w:after="0" w:line="241" w:lineRule="auto"/>
        <w:rPr>
          <w:sz w:val="20"/>
          <w:szCs w:val="20"/>
          <w:color w:val="auto"/>
        </w:rPr>
      </w:pPr>
      <w:r>
        <w:rPr>
          <w:rFonts w:ascii="Times New Roman" w:cs="Times New Roman" w:eastAsia="Times New Roman" w:hAnsi="Times New Roman"/>
          <w:sz w:val="20"/>
          <w:szCs w:val="20"/>
          <w:color w:val="auto"/>
        </w:rPr>
        <w:t>SECTION 149. Neither this Agreement, any other Loan Document, nor any terms hereof or thereof may be amended, restated, amended and restated, supplemented or modified except in accordance with the provisions of this Section 11.3(b). The Required Lenders and Borrower party to the relevant Loan Document may, or, with the written consent of the Required Lenders, the Agent and the Borrower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Borrower hereunder or thereunder or (ii) waive, on such terms and conditions as the Required Lenders or the Agent, as the case may be, may specify in such instrument, any of the requirements of this Agreement or the other Loan Documents or any default or Event of Default and its consequences; provided, however, that no such waiver and no such amendment, supplement or modification shall (A) forgive the principal amount or extend the final scheduled date of maturity of any Loan, extend the scheduled date of any amortization payment in respect of any Term Loan, reduce the stated rate of any interest or fee payable hereunder or extend the scheduled date of any payment thereof, in each case without the written consent of each Lender directly affected thereby; (B) eliminate or reduce the voting rights of any Lender under this Section 11.3(b) without the written consent of such Lender; (C) reduce any percentage specified in the definition of Required Lenders, consent to the assignment or transfer by the Borrower of any of its rights and obligations under this Agreement and the other Loan Documents, release all or substantially all of the Collateral or release a Borrower from its obligations under the Loan Documents, in each case without the written consent of all Lenders; or (D) amend, modify or waive any provision of Section 11.17 without the written consent of the Agent. Any such waiver and any such amendment, supplement or modification shall apply equally to each Lender and shall be binding upon Borrower, the Lender, the Agent and all future holders of the Loans.</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SECTION 150. No Strict Construction.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SECTION 151. No Waiver. The powers conferred upon Agent and Lender by this Agreement are solely to protect its rights hereunder and under the other Loan Documents and its interest in the Collateral and shall not impose any duty upon Agent or Lender to exercise any such powers. No omission or delay by Agent or Lender at any time to enforce any right or remedy reserved to it, or to require performance of any of the terms, covenants or provisions hereof by Borrower at any time designated, shall be a waiver of any such right or remedy to which Agent or Lender is entitled, nor shall it in any way affect the right of Agent or Lender to enforce such provisions thereafter.</w:t>
      </w:r>
    </w:p>
    <w:p>
      <w:pPr>
        <w:spacing w:after="0" w:line="18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SECTION 152. Survival. All agreements, representations and warranties contained in this Agreement and the other Loan Documents or in any document delivered pursuant hereto or thereto shall be for the benefit of Agent and Lender and shall survive the execution and delivery of this Agreement. Sections 6.3 and 8.1 shall survive the termination of this Agreement (except as otherwise specified in Section 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37" w:name="page138"/>
    <w:bookmarkEnd w:id="137"/>
    <w:p>
      <w:pPr>
        <w:jc w:val="both"/>
        <w:spacing w:after="0" w:line="253" w:lineRule="auto"/>
        <w:rPr>
          <w:sz w:val="20"/>
          <w:szCs w:val="20"/>
          <w:color w:val="auto"/>
        </w:rPr>
      </w:pPr>
      <w:r>
        <w:rPr>
          <w:rFonts w:ascii="Times New Roman" w:cs="Times New Roman" w:eastAsia="Times New Roman" w:hAnsi="Times New Roman"/>
          <w:sz w:val="19"/>
          <w:szCs w:val="19"/>
          <w:color w:val="auto"/>
        </w:rPr>
        <w:t>SECTION 153. Successors and Assigns. The provisions of this Agreement and the other Loan Documents shall inure to the benefit of and be binding on Borrower and its permitted assigns (if any). Borrower shall not assign its obligations under this Agreement or any of the other Loan Documents without Agent’s express prior written consent, and any such attempted assignment shall be void and of no effect. Agent and Lender may assign, transfer, or endorse its rights hereunder and under the other Loan Documents without prior notice to Borrower, and all of such rights shall inure to the benefit of Agent’s and Lender’s successors and assigns; provided that as long as no Event of Default has occurred and is continuing, neither Agent nor any Lender may assign, transfer or endorse its rights hereunder or under the Loan Documents to any party that is a Disqualified Lender, it being acknowledged that in all cases, any transfer to an Affiliate of any Lender or Agent shall be allowed. Notwithstanding the foregoing, (x) in connection with any assignment by a Lender as a result of a forced divestiture at the request of any regulatory agency, the restrictions set forth herein shall not apply and Agent and Lender may assign, transfer or indorse its rights hereunder and under the other Loan Documents to any Person or party and (y) in connection with a Lender’s own financing or securitization transactions, the restrictions set forth herein shall not apply and Agent and Lender may assign, transfer or indorse its rights hereunder and under the other Loan Documents to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Agent shall have received and accepted an effective assignment agreement from such Person or party in form satisfactory to Agent executed, delivered and fully completed by the applicable parties thereto, and shall have received such other information regarding such assignee as Agent reasonably shall require. The Agent, acting solely for this purpose as an agent of Borrower, shall maintain at one of its offices in the United States a register for the recordation of the names and addresses of each Lender, and the Term Commitments of, and principal amounts (and stated interest) of the Loans owing to, each Lender pursuant to the terms hereof from time to time (the “Register”). The entries in the Register shall be conclusive absent manifest error, and the Borrower, the Agent and Lender shall treat each Person whose name is recorded in the Register pursuant to the terms hereof as a Lender hereunder for all purposes of this Agreement. The Register shall be available for inspection by Borrower and any Lender, at any reasonable time and from time to time upon reasonable prior notice.</w:t>
      </w:r>
    </w:p>
    <w:p>
      <w:pPr>
        <w:spacing w:after="0" w:line="200" w:lineRule="exact"/>
        <w:rPr>
          <w:sz w:val="20"/>
          <w:szCs w:val="20"/>
          <w:color w:val="auto"/>
        </w:rPr>
      </w:pPr>
    </w:p>
    <w:p>
      <w:pPr>
        <w:spacing w:after="0" w:line="22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SECTION 154. Governing Law. This Agreement and the other Loan Documents have been negotiated and delivered to Agent and Lender in the State of California, and shall have been accepted by Agent and Lender in the State of California. Payment to Agent and Lender by Borrower of the Secured Obligations is due in the State of California. This Agreement and the other Loan Documents shall be governed by, and construed and enforced in accordance with, the laws of the State of California, excluding conflict of laws principles that would cause the application of laws of any other jurisdiction.</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SECTION 155. Consent to Jurisdiction and Venue. All judicial proceedings (to the extent that the reference requirement of Section 11.10 is not applicable) arising in or under or related to this Agreement or any of the other Loan Documents may be brought in any state or federal court located in the State of California. By execution and delivery of this Agreement, each party hereto generally and unconditionally: (a) consents to nonexclusive personal jurisdiction in Santa Clara County, State of California; (b) waives any objection as to jurisdiction or venue in Santa Clara County, State of California; (c) agrees not to assert any defense based on lack of jurisdiction or venue in the aforesaid courts; and (d) irrevocably agrees to be bound by any judgment rendered thereby in connection with this Agreement or the other Loan Documents. Service of process on any party hereto in any action arising out of or relating to this Agreement shall be effective if given in accordance with the requirements for notice set forth in Section 11.2, and shall be deemed effective and received as set forth in Section 11.2. Nothing herein shall affect the right to serve process in any other manner permitted by law or shall limit the right of either party to bring proceedings in the courts of any other jurisdiction.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156. Mutual Waiver of Jury Trial / Judicial Reference.</w:t>
      </w:r>
    </w:p>
    <w:p>
      <w:pPr>
        <w:spacing w:after="0" w:line="2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SECTION 157. 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be resolved by a judge applying such applicable laws.</w:t>
      </w:r>
    </w:p>
    <w:p>
      <w:pPr>
        <w:jc w:val="both"/>
        <w:ind w:firstLine="62"/>
        <w:spacing w:after="0" w:line="261" w:lineRule="auto"/>
        <w:rPr>
          <w:sz w:val="20"/>
          <w:szCs w:val="20"/>
          <w:color w:val="auto"/>
        </w:rPr>
      </w:pPr>
      <w:r>
        <w:rPr>
          <w:rFonts w:ascii="Times New Roman" w:cs="Times New Roman" w:eastAsia="Times New Roman" w:hAnsi="Times New Roman"/>
          <w:sz w:val="19"/>
          <w:szCs w:val="19"/>
          <w:color w:val="auto"/>
        </w:rPr>
        <w:t>EACH OF BORROWER, AGENT AND LENDER SPECIFICALLY WAIVES ANY RIGHT IT MAY HAVE TO TRIAL BY JURY OF ANY CAUSE OF ACTION, CLAIM, CROSS-CLAIM, COUNTERCLAIM, THIRD PARTY CLAIM OR ANY OTHER CLAIM (COLLECTIVELY, “CLAIMS”) ASSERTED BY BORROWER AGAINST AGENT, LENDER</w:t>
      </w:r>
    </w:p>
    <w:p>
      <w:pPr>
        <w:sectPr>
          <w:pgSz w:w="11900" w:h="16838" w:orient="portrait"/>
          <w:cols w:equalWidth="0" w:num="1">
            <w:col w:w="9920"/>
          </w:cols>
          <w:pgMar w:left="980" w:top="873" w:right="99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type w:val="continuous"/>
        </w:sectPr>
      </w:pPr>
    </w:p>
    <w:bookmarkStart w:id="138" w:name="page139"/>
    <w:bookmarkEnd w:id="138"/>
    <w:p>
      <w:pPr>
        <w:jc w:val="both"/>
        <w:spacing w:after="0" w:line="246" w:lineRule="auto"/>
        <w:rPr>
          <w:sz w:val="20"/>
          <w:szCs w:val="20"/>
          <w:color w:val="auto"/>
        </w:rPr>
      </w:pPr>
      <w:r>
        <w:rPr>
          <w:rFonts w:ascii="Times New Roman" w:cs="Times New Roman" w:eastAsia="Times New Roman" w:hAnsi="Times New Roman"/>
          <w:sz w:val="20"/>
          <w:szCs w:val="20"/>
          <w:color w:val="auto"/>
        </w:rPr>
        <w:t>OR THEIR RESPECTIVE ASSIGNEE OR BY AGENT, LENDER OR THEIR RESPECTIVE ASSIGNEE AGAINST BORROWER. This waiver extends to all such Claims, including Claims that involve Persons other than Agent, Borrower and Lender; Claims that arise out of or are in any way connected to the relationship among Borrower, Agent and Lender; and any Claims for damages, breach of contract, tort, specific performance, or any equitable or legal relief of any kind, arising out of this Agreement, any other Loan Document.</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SECTION 158. If the waiver of jury trial set forth in Section 11.10(a) is ineffective or unenforceable, the parties agree that all Claims shall be resolved by reference to a private judge sitting without a jury, pursuant to Code of Civil Procedure Section 638, before a mutually acceptable referee or, if the parties cannot agree, a referee selected by the Presiding Judge of the Santa Clara County, California. Such proceeding shall be conducted in Santa Clara County, California, with California rules of evidence and discovery applicable to such proceeding.</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SECTION 159. In the event Claims are to be resolved by judicial reference, either party may seek from a court identified in Section 11.9, any prejudgment order, writ or other relief and have such prejudgment order, writ or other relief enforced to the fullest extent permitted by law notwithstanding that all Claims are otherwise subject to resolution by judicial reference.</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SECTION 160. Professional Fees. Borrower promises to pay Agent’s and Lender’s fees and expenses necessary to finalize the loan documentation, including but not limited to reasonable and invoiced attorneys’ fees, UCC searches, filing costs, and other miscellaneous expenses. In addition, Borrower promises to pay any and all reasonable and invoiced attorneys’ and other professionals’ fees and expenses incurred by Agent and Lender after the Closing Date in connection with or related to:</w:t>
      </w:r>
    </w:p>
    <w:p>
      <w:pPr>
        <w:spacing w:after="0" w:line="1" w:lineRule="exact"/>
        <w:rPr>
          <w:sz w:val="20"/>
          <w:szCs w:val="20"/>
          <w:color w:val="auto"/>
        </w:rPr>
      </w:pPr>
    </w:p>
    <w:p>
      <w:pPr>
        <w:jc w:val="both"/>
        <w:ind w:firstLine="8"/>
        <w:spacing w:after="0"/>
        <w:tabs>
          <w:tab w:leader="none" w:pos="277"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(b) the administration, collection, or enforcement of the Loan; (c) the amendment or modification of the Loan Documents; (d) any waiver, consent, release, or termination under the Loan Documents; (e) the protection, preservation, audit, field exam, sale, lease, liquidation, or disposition of Collateral or the exercise of remedies with respect to the Collateral; (f) any legal, litigation, administrative, arbitration, or out of court proceeding in connection with or related to Borrower or the Collateral, and any appeal or review thereof; and (g) any bankruptcy, restructuring, reorganization, assignment for the benefit of creditors, workout, foreclosure, or other action related to Borrower, the Collateral, the Loan Documents, including representing Agent or Lender in any adversary proceeding or contested matter commenced or continued by or on behalf of Borrower’s estate, and any appeal or review thereof.</w:t>
      </w:r>
    </w:p>
    <w:p>
      <w:pPr>
        <w:spacing w:after="0" w:line="19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SECTION 161. Confidentiality. Agent and Lender acknowledge that certain items of Collateral and information provided to Agent and Lender by Borrower are confidential and proprietary information of Borrower, if and to the extent such information either (x) is marked as confidential by Borrower at the time of disclosure, or (y) should reasonably be understood to be confidential (the “Confidential Information”). Accordingly, Agent and Lender agree that any Confidential Information it may obtain in the course of acquiring, administering, or perfecting Agent’s security interest in the Collateral shall not be disclosed to any other Person or entity in any manner whatsoever, in whole or in part, without the prior written consent of Borrower, except that Agent and Lender may disclose any such information: (a) to its own directors, officers, employees, accountants, counsel and other professional advisors and to its Affiliates if Agent or Lender in their sole discretion determines that any such party should have access to such information in connection with such party’s responsibilities in connection with the Loan or this Agreement and, provided that such recipient of such Confidential Information either (i) agrees to be bound by the confidentiality provisions of this paragraph or (ii) is otherwise subject to confidentiality restrictions that reasonably protect against the disclosure of Confidential Information; (b) if such information is generally available to the public; (c) if required or appropriate in any report, statement or testimony submitted to any governmental authority having or claiming to have jurisdiction over Agent or Lender; (d) if required or appropriate in response to any summons or subpoena or in connection with any litigation, to the extent permitted or deemed advisable by Agent’s or Lender’s counsel; (e) to comply with any legal requirement or law applicable to Agent or Lender; (f) to the extent reasonably necessary in connection with the exercise of any right or remedy under any Loan Document, including Agent’s sale, lease, or other disposition of Collateral after default; (g) to any participant or assignee of Agent or Lender or any prospective participant or assignee; provided, that such participant or assignee or prospective participant or assignee agrees in writing to be bound by this Section prior to disclosure; or (h) otherwise with the prior consent of Borrower; provided, that any disclosure made in violation of this Agreement shall not affect the obligations of Borrower or any of its Affiliates or any guarantor under this Agreement or the other Loan Documents.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39" w:name="page140"/>
    <w:bookmarkEnd w:id="139"/>
    <w:p>
      <w:pPr>
        <w:jc w:val="both"/>
        <w:spacing w:after="0" w:line="243" w:lineRule="auto"/>
        <w:rPr>
          <w:sz w:val="20"/>
          <w:szCs w:val="20"/>
          <w:color w:val="auto"/>
        </w:rPr>
      </w:pPr>
      <w:r>
        <w:rPr>
          <w:rFonts w:ascii="Times New Roman" w:cs="Times New Roman" w:eastAsia="Times New Roman" w:hAnsi="Times New Roman"/>
          <w:sz w:val="20"/>
          <w:szCs w:val="20"/>
          <w:color w:val="auto"/>
        </w:rPr>
        <w:t>SECTION 162. Assignment of Rights. Borrower acknowledges and understands that Agent or Lender may, subject to Section 11.7, sell and assign all or part of its interest hereunder and under the Loan Documents to any Person or entity (an “Assignee”). After such assignment the term “Agent” or “Lender” as used in the Loan Documents shall mean and include such Assignee, and such Assignee shall be vested with all rights, powers and remedies of Agent and Lender hereunder with respect to the interest so assigned; but with respect to any such interest not so transferred, Agent and Lender shall retain all rights, powers and remedies hereby given. No such assignment by Agent or Lender shall relieve Borrower of any of its obligations hereunder. Lender agrees that in the event of any transfer by it of the Note(s)(if any), it will endorse thereon a notation as to the portion of the principal of the Note(s), which shall have been paid at the time of such transfer and as to the date to which interest shall have been last paid thereon.</w:t>
      </w:r>
    </w:p>
    <w:p>
      <w:pPr>
        <w:spacing w:after="0" w:line="18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SECTION 163. Revival of Secured Obligations. This Agreement and the Loan Documents shall remain in full force and effect and continue to be effective if any petition is filed by or against Borrower for liquidation or reorganization, if Borrower becomes insolvent or makes an assignment for the benefit of creditors, if a receiver or trustee is appointed for all or any significant part of Borrower’s assets, or if any payment or transfer of Collateral is recovered from Agent or Lender. The Loan Documents and the Secured Obligations and Collateral security shall continue to be effective, or shall be revived or reinstated, as the case may be, if at any time payment and performance of the Secured Obligations or any transfer of Collateral to Agent, or any part thereof is rescinded, avoided or avoidable, reduced in amount, or must otherwise be restored or returned by, or is recovered from, Agent, Lender or by any obligee of the Secured Obligations, whether as a “voidable preference,” “fraudulent conveyance,” or otherwise, all as though such payment, performance, or transfer of Collateral had not been made. In the event that any payment, or any part thereof, is rescinded, reduced, avoided, avoidable, restored, returned, or recovered, the Loan Documents and the Secured Obligations shall be deemed, without any further action or documentation, to have been revived and reinstated except to the extent of the full, final, and indefeasible payment to Agent or Lender in Cash.</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SECTION 164. Counterparts. This Agreement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SECTION 165. No Third Party Beneficiaries. No provisions of the Loan Documents are intended, nor will be interpreted, to provide or create any third-party beneficiary rights or any other rights of any kind in any Person other than Agent, Lender and Borrower unless specifically provided otherwise herein, and, except as otherwise so provided, all provisions of the Loan Documents will be personal and solely among Agent, the Lender and the Borrower.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166. Agency.</w:t>
      </w:r>
    </w:p>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SECTION 167. Lender hereby irrevocably appoints Hercules Capital, Inc. to act on its behalf as the Agent hereunder and under the other Loan Documents and authorizes the Agent to take such actions on its behalf and to exercise such powers as are delegated to the Agent by the terms hereof or thereof, together with such actions and powers as are reasonably incidental thereto.</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SECTION 168. Lender agrees to indemnify the Agent in its capacity as such (to the extent not reimbursed by Borrower and without limiting the obligation of Borrower to do so), according to its respective Term Commitment percentages (based upon the total outstanding Term Commitments) in effect on the date on which indemnification is sought under this Section 11.17, from and against any and all liabilities, obligations, losses, damages, penalties, actions, judgments, suits, costs, expenses or disbursements of any kind whatsoever that may at any time be imposed on, incurred by or asserted against the Agent in any way relating to or arising out of, this Agreement, any of the other Loan Documents or any documents contemplated by or referred to herein or therein or the transactions contemplated hereby or thereby or any action taken or omitted by the Agent under or in connection with any of the foregoing; The agreements in this Section shall survive the payment of the Loans and all other amounts payable hereunder.</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SECTION 169. Agent in Its Individual Capacity. The Person serving as the Agent hereunder shall have the same rights and powers in its capacity as a Lender as any other Lender and may exercise the same as though it were not the Agent and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40" w:name="page141"/>
    <w:bookmarkEnd w:id="140"/>
    <w:p>
      <w:pPr>
        <w:jc w:val="both"/>
        <w:spacing w:after="0" w:line="269" w:lineRule="auto"/>
        <w:rPr>
          <w:sz w:val="20"/>
          <w:szCs w:val="20"/>
          <w:color w:val="auto"/>
        </w:rPr>
      </w:pPr>
      <w:r>
        <w:rPr>
          <w:rFonts w:ascii="Times New Roman" w:cs="Times New Roman" w:eastAsia="Times New Roman" w:hAnsi="Times New Roman"/>
          <w:sz w:val="20"/>
          <w:szCs w:val="20"/>
          <w:color w:val="auto"/>
        </w:rPr>
        <w:t>the term “Lender” shall, unless otherwise expressly indicated or unless the context otherwise requires, include each such Person serving as Agent hereunder in its individual capacity.</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SECTION 170. Exculpatory Provisions. The Agent shall have no duties or obligations except those expressly set forth herein and in the other Loan Documents. Without limiting the generality of the foregoing, the Agent shall not:</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SECTION 171. be subject to any fiduciary or other implied duties, regardless of whether any default or any Event of Default has occurred and is continuing;</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SECTION 172. have any duty to take any discretionary action or exercise any discretionary powers, except discretionary rights and powers expressly contemplated hereby or by the other Loan Documents that the Agent is required to exercise as directed in writing by the Lender, provided that the Agent shall not be required to take any action that, in its opinion or the opinion of its counsel, may expose the Agent to liability or that is contrary to any Loan Document or applicable law; and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SECTION 173. except as expressly set forth herein and in the other Loan Documents, have any duty to disclose, and the Agent shall not be liable for the failure to disclose, any information relating to the Borrower or any of its Affiliates that is communicated to or obtained by any Person serving as the Agent or any of its Affiliates in any capacity.</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SECTION 174. The Agent shall not be liable for any action taken or not taken by it (i) with the consent or at the request of the Lender or as the Agent shall believe in good faith shall be necessary, under the circumstances or (ii) in the absence of its own gross negligence or willful misconduct.</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SECTION 175. The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Section 4 or elsewhere herein, other than to confirm receipt of items expressly required to be delivered to the Agent.</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SECTION 176. Reliance by Agent. Agent may rely, and shall be fully protected in acting, or refraining to act, upon, any resolution, statement, certificate, instrument, opinion, report, notice, request, consent, order, bond or other paper or document that it has no reason to believe to be other than genuine and to have been signed or presented by the proper party or parties or, in the case of cables, telecopies and telexes, to have been sent by the proper party or parties. In the absence of its gross negligence or willful misconduct, Agent may conclusively rely, as to the truth of the statements and the correctness of the opinions expressed therein, upon any certificates or opinions furnished to Agent and conforming to the requirements of the Loan Agreement or any of the other Loan Documents. Agent may consult with counsel, and any opinion or legal advice of such counsel shall be full and complete authorization and protection in respect of any action taken, not taken or suffered by Agent hereunder or under any Loan Documents in accordance therewith. Agent shall have the right at any time to seek instructions concerning the administration of the Collateral from any court of competent jurisdiction. Agent shall not be under any obligation to exercise any of the rights or powers granted to Agent by this Agreement, the Loan Agreement and the other Loan Documents at the request or direction of Lenders unless Agent shall have been provided by Lender with adequate security and indemnity against the costs, expenses and liabilities that may be incurred by it in compliance with such request or direction.</w:t>
      </w:r>
    </w:p>
    <w:p>
      <w:pPr>
        <w:spacing w:after="0" w:line="19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SECTION 177. Publicity. None of the parties hereto nor any of its respective member businesses and Affiliates shall, without the other parties’ prior written consent (which shall not be unreasonably withheld or delayed), publicize or use (a) the other party’s name (including a brief description of the relationship among the parties hereto), logo or hyperlink to such other parties’ web site, separately or together, in written and oral presentations, advertising, promotional and marketing materials, client lists, public relations materials or on its web site (together, the “Publicity Materials”); (b) the names of officers of such other parties in the Publicity Materials; and (c) such other parties’ name, trademarks, servicemarks in any news or press release concerning such party; provided however, notwithstanding anything to the contrary herein, no such</w:t>
      </w:r>
    </w:p>
    <w:p>
      <w:pPr>
        <w:sectPr>
          <w:pgSz w:w="11900" w:h="16838" w:orient="portrait"/>
          <w:cols w:equalWidth="0" w:num="1">
            <w:col w:w="9920"/>
          </w:cols>
          <w:pgMar w:left="980" w:top="873" w:right="9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type w:val="continuous"/>
        </w:sectPr>
      </w:pPr>
    </w:p>
    <w:bookmarkStart w:id="141" w:name="page142"/>
    <w:bookmarkEnd w:id="141"/>
    <w:p>
      <w:pPr>
        <w:jc w:val="both"/>
        <w:ind w:right="20"/>
        <w:spacing w:after="0" w:line="274" w:lineRule="auto"/>
        <w:rPr>
          <w:sz w:val="20"/>
          <w:szCs w:val="20"/>
          <w:color w:val="auto"/>
        </w:rPr>
      </w:pPr>
      <w:r>
        <w:rPr>
          <w:rFonts w:ascii="Times New Roman" w:cs="Times New Roman" w:eastAsia="Times New Roman" w:hAnsi="Times New Roman"/>
          <w:sz w:val="19"/>
          <w:szCs w:val="19"/>
          <w:color w:val="auto"/>
        </w:rPr>
        <w:t>consent shall be required (i) to the extent necessary to comply with the requests of any regulators, legal requirements or laws applicable to such party, pursuant to any listing agreement with any national securities exchange (so long as such party provides prior notice to the other party hereto to the extent reasonably practicable) and (ii) to comply with Section 11.12.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178. Multiple Borrowers.</w:t>
      </w:r>
    </w:p>
    <w:p>
      <w:pPr>
        <w:spacing w:after="0" w:line="216" w:lineRule="exact"/>
        <w:rPr>
          <w:sz w:val="20"/>
          <w:szCs w:val="20"/>
          <w:color w:val="auto"/>
        </w:rPr>
      </w:pPr>
    </w:p>
    <w:p>
      <w:pPr>
        <w:jc w:val="both"/>
        <w:ind w:left="660" w:firstLine="644"/>
        <w:spacing w:after="0" w:line="243" w:lineRule="auto"/>
        <w:tabs>
          <w:tab w:leader="none" w:pos="195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Borrower’s Agent. Each of the Borrowers hereby irrevocably appoints Parent as its agent, attorney-in-fact and legal representative for all purposes, including requesting disbursement of the Term Loan and receiving account statements and other notices and communications to Borrowers (or any of them) from the Agent or any Lender. The Agent may rely, and shall be fully protected in relying, on any request for the Term Loan, disbursement instruction, report, information or any other notice or communication made or given by Parent, whether in its own name or on behalf of one or more of the other Borrowers, and the Agent shall not have any obligation to make any inquiry or request any confirmation from or on behalf of any other Borrower as to the binding effect on it of any such request, instruction, report, information, other notice or communication, nor shall the joint and several character of the Borrowers’ obligations hereunder be affected thereby.</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56"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Waivers. Each Borrower hereby waives: (i) any right to require the Agent to institute suit against, or to exhaust its rights and remedies against, any other Borrower or any other person, or to proceed against any property of any kind which secures all or any part of the Secured Obligations, or to exercise any right of offset or other right with respect to any reserves, credits or deposit accounts held by or maintained with the Agent or any Indebtedness of the Agent or any Lender to any other Borrower, or to exercise any other right or power, or pursue any other remedy the Agent or any Lender may have; (ii) any defense arising by reason of any disability or other defense of any other Borrower or any guarantor or any endorser, co-maker or other person, or by reason of the cessation from any cause whatsoever of any liability of any other Borrower or any guarantor or any endorser, co-maker or other person, with respect to all or any part of the Secured Obligations, or by reason of any act or omission of the Agent or others which directly or indirectly results in the discharge or release of any other Borrower or any guarantor or any other person or any Secured Obligations or any security therefor, whether by operation of law or otherwise; (iii) any defense arising by reason of any failure of the Agent to obtain, perfect, maintain or keep in force any Lien on, any property of any Borrower or any other person; (iv) any defense based upon or arising out of any bankruptcy, insolvency, reorganization, arrangement, readjustment of debt, liquidation or dissolution proceeding commenced by or against any other Borrower or any guarantor or any endorser, co-maker or other person, including without limitation any discharge of, or bar against collecting, any of the Secured Obligations (including without limitation any interest thereon), in or as a result of any such proceeding. Until all of the Secured Obligations have been paid, performed, and discharged in full, nothing shall discharge or satisfy the liability of any Borrower hereunder except the full performance and payment of all of the Secured Obligations. If any claim is ever made upon the Agent for repayment or recovery of any amount or amounts received by the Agent in payment of or on account of any of the Secured Obligations, because of any claim that any such payment constituted a preferential transfer or fraudulent conveyance, or for any other reason whatsoever, and the Agent repays all or part of said amount by reason of any judgment, decree or order of any court or administrative body having jurisdiction over the Agent or any of its property, or by reason of any settlement or compromise of any such claim effected by the Agent with any such claimant (including without limitation the any other Borrower), then and in any such event, each Borrower agrees that any such judgment, decree, order, settlement and compromise shall be binding upon such Borrower, notwithstanding any revocation or release of this Agreement or the cancellation of any note or other instrument evidencing any of the Secured Obligations, or any release of any of the Secured Obligations, and each Borrower shall be and remain liable to the Agent and the Lenders under this Agreement for the amount so repaid or recovered, to the same extent as if such amount had never originally been received by the Agent or any Lender, and the provisions of this sentence shall survive, and continue in effect, notwithstanding any revocation or release of this Agreement. Each Borrower hereby expressly and unconditionally waives all rights of subrogation, reimbursement and indemnity of every kind against any other Borrower, and all rights of recourse to any assets or property of any other Borrower, and all rights to any collateral or security held for the payment and performance of any Secured Obligations, including (but not limited to) any of the foregoing rights which Borrower may have under any present or future document or agreement with any other Borrower or other person, and including (but not limited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42" w:name="page143"/>
    <w:bookmarkEnd w:id="142"/>
    <w:p>
      <w:pPr>
        <w:ind w:left="200" w:right="20"/>
        <w:spacing w:after="0" w:line="269" w:lineRule="auto"/>
        <w:rPr>
          <w:sz w:val="20"/>
          <w:szCs w:val="20"/>
          <w:color w:val="auto"/>
        </w:rPr>
      </w:pPr>
      <w:r>
        <w:rPr>
          <w:rFonts w:ascii="Times New Roman" w:cs="Times New Roman" w:eastAsia="Times New Roman" w:hAnsi="Times New Roman"/>
          <w:sz w:val="20"/>
          <w:szCs w:val="20"/>
          <w:color w:val="auto"/>
        </w:rPr>
        <w:t>to) any of the foregoing rights which any Borrower may have under any equitable doctrine of subrogation, implied contract, or unjust enrichment, or any other equitable or legal doctrine.</w:t>
      </w:r>
    </w:p>
    <w:p>
      <w:pPr>
        <w:spacing w:after="0" w:line="159" w:lineRule="exact"/>
        <w:rPr>
          <w:sz w:val="20"/>
          <w:szCs w:val="20"/>
          <w:color w:val="auto"/>
        </w:rPr>
      </w:pPr>
    </w:p>
    <w:p>
      <w:pPr>
        <w:jc w:val="both"/>
        <w:ind w:left="200" w:firstLine="644"/>
        <w:spacing w:after="0"/>
        <w:tabs>
          <w:tab w:leader="none" w:pos="1496"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Consents. Each Borrower hereby consents and agrees that, without notice to or by Borrower and without affecting or impairing in any way the obligations or liability of Borrower hereunder, the Agent may, from time to time before or after revocation of this Agreement, do any one or more of the following in its sole and absolute discretion: (i) accept partial payments of, compromise or settle, renew, extend the time for the payment, discharge, or performance of, refuse to enforce, and release all or any parties to, any or all of the Secured Obligations; (ii) grant any other indulgence to any Borrower or any other Person in respect of any or all of the Secured Obligations or any other matter; (iii) accept, release, waive, surrender, enforce, exchange, modify, impair, or extend the time for the performance, discharge, or payment of, any and all property of any kind securing any or all of the Secured Obligations or any guaranty of any or all of the Secured Obligations, or on which the Agent at any time may have a Lien, or refuse to enforce its rights or make any compromise or settlement or agreement therefor in respect of any or all of such property; (iv) substitute or add, or take any action or omit to take any action which results in the release of, any one or more other Borrowers or any endorsers or guarantors of all or any part of the Secured Obligations, including, without limitation one or more parties to this Agreement, regardless of any destruction or impairment of any right of contribution or other right of Borrower; (v) apply any sums received from any other Borrower, any guarantor, endorser, or co-signer, or from the disposition of any Collateral or security, to any Indebtedness whatsoever owing from such person or secured by such Collateral or security, in such manner and order as the Agent determines in its sole discretion, and regardless of whether such Indebtedness is part of the Secured Obligations, is secured, or is due and payable. Each Borrower consents and agrees that the Agent shall be under no obligation to marshal any assets in favor of Borrower, or against or in payment of any or all of the Secured Obligations. Each Borrower further consents and agrees that the Agent shall have no duties or responsibilities whatsoever with respect to any property securing any or all of the Secured Obligations. Without limiting the generality of the foregoing, the Agent shall have no obligation to monitor, verify, audit, examine, or obtain or maintain any insurance with respect to, any property securing any or all of the Secured Obligations.</w:t>
      </w:r>
    </w:p>
    <w:p>
      <w:pPr>
        <w:spacing w:after="0" w:line="205" w:lineRule="exact"/>
        <w:rPr>
          <w:rFonts w:ascii="Times New Roman" w:cs="Times New Roman" w:eastAsia="Times New Roman" w:hAnsi="Times New Roman"/>
          <w:sz w:val="20"/>
          <w:szCs w:val="20"/>
          <w:color w:val="auto"/>
        </w:rPr>
      </w:pPr>
    </w:p>
    <w:p>
      <w:pPr>
        <w:jc w:val="both"/>
        <w:ind w:left="200" w:firstLine="644"/>
        <w:spacing w:after="0" w:line="242" w:lineRule="auto"/>
        <w:tabs>
          <w:tab w:leader="none" w:pos="1496"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Independent Liability. Each Borrower hereby agrees that one or more successive or concurrent actions may be brought hereon against such Borrower, in the same action in which any other Borrower may be sued or in separate actions, as often as deemed advisable by Agent. Each Borrower is fully aware of the financial condition of each other Borrower and is executing and delivering this Agreement based solely upon its own independent investigation of all matters pertinent hereto, and such Borrower is not relying in any manner upon any representation or statement of the Agent or any Lender with respect thereto. Each Borrower represents and warrants that it is in a position to obtain, and each Borrower hereby assumes full responsibility for obtaining, any additional information concerning any other Borrower’s financial condition and any other matter pertinent hereto as such Borrower may desire, and such Borrower is not relying upon or expecting the Agent to furnish to it any information now or hereafter in the Agent’s possession concerning the same or any other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sectPr>
      </w:pPr>
    </w:p>
    <w:bookmarkStart w:id="143" w:name="page144"/>
    <w:bookmarkEnd w:id="143"/>
    <w:p>
      <w:pPr>
        <w:jc w:val="both"/>
        <w:ind w:left="660" w:firstLine="644"/>
        <w:spacing w:after="0" w:line="254" w:lineRule="auto"/>
        <w:tabs>
          <w:tab w:leader="none" w:pos="1956"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Subordination. All Indebtedness of a Borrower now or hereafter arising held by another Borrower is subordinated to the Secured Obligations and the Borrower holding the Indebtedness shall take all actions reasonably requested by Agent to effect, to enforce and to give notice of such subordination.</w:t>
      </w:r>
    </w:p>
    <w:p>
      <w:pPr>
        <w:spacing w:after="0" w:line="17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SECTION 179. Amendment and Restatement; No Novation. Borrower, Agent and the Lenders, each hereby agree that, effective upon the execution and delivery of this Agreement by each such party, the terms and provisions of the Existing Loan Agreement and each other Loan Document entered into prior to the Closing Date (collectively, the “Existing Loan Documents”) shall be and hereby are amended, restated and superseded in their entirety by the terms and provisions of this Agreement and the other Loan Documents. Notwithstanding the foregoing, nothing herein contained shall be construed as a substitution or novation of the obligations of the Borrower outstanding under the Existing Loan Documents or instruments, documents or other agreements securing the same, which obligations shall remain in full force and effect, except to the extent that the terms thereof are specifically modified hereby or by instruments, documents or other agreements executed concurrently herewith. Nothing expressed or implied in this Agreement shall be construed as a release or other discharge of Borrower from any of the Secured Obligations or any liabilities under the Existing Loan Documents, except to the extent modified hereby or by instruments, documents or other agreements executed concurrently herewith. Borrower hereby (i) confirms and agrees that each Loan Document to which it is a party is, and shall continue to be, in full force and effect and is hereby ratified and confirmed in all respects except that on and after the Closing Date all references in any such Loan Document to the “Loan and Security Agreement”, the “Loan Agreement” the “Agreement”, “thereto”, “thereof”, “thereunder” or words of like import referring to the Existing Loan Agreement shall mean the Existing Loan Agreement as amended and restated by this Agreement; and (ii) confirms and agrees that to the extent that the Existing Loan Agreement or any Existing Loan Documents purports to assign or pledge to Agent or Lender, or to grant to Agent or Lender a Lien on, any collateral as security for the Secured Obligations of the Borrower from time to time existing in respect of the Existing Loan Agreement, such pledge, assignment or grant of the Lien is hereby ratified and confirmed in all respects and shall remain effective as of the first date it became effective, subject only to specific modifications in the Loan Documents applicable thereto.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44" w:name="page145"/>
    <w:bookmarkEnd w:id="144"/>
    <w:p>
      <w:pPr>
        <w:ind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Borrower, Agent and Lender have duly executed and delivered this Amended and Restated Loan and Security Agreement as of the day and year first above written.</w:t>
      </w:r>
    </w:p>
    <w:p>
      <w:pPr>
        <w:spacing w:after="0" w:line="17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BORROWER:</w:t>
      </w:r>
    </w:p>
    <w:p>
      <w:pPr>
        <w:spacing w:after="0" w:line="2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TG THERAPEUTICS, INC.</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13970</wp:posOffset>
            </wp:positionV>
            <wp:extent cx="24599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4445</wp:posOffset>
            </wp:positionV>
            <wp:extent cx="24599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jc w:val="center"/>
        <w:ind w:right="-459"/>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158750</wp:posOffset>
            </wp:positionV>
            <wp:extent cx="31375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137535" cy="8255"/>
                    </a:xfrm>
                    <a:prstGeom prst="rect">
                      <a:avLst/>
                    </a:prstGeom>
                    <a:noFill/>
                  </pic:spPr>
                </pic:pic>
              </a:graphicData>
            </a:graphic>
          </wp:anchor>
        </w:drawing>
        <w:drawing>
          <wp:anchor simplePos="0" relativeHeight="251657728" behindDoc="1" locked="0" layoutInCell="0" allowOverlap="1">
            <wp:simplePos x="0" y="0"/>
            <wp:positionH relativeFrom="column">
              <wp:posOffset>3837940</wp:posOffset>
            </wp:positionH>
            <wp:positionV relativeFrom="paragraph">
              <wp:posOffset>4445</wp:posOffset>
            </wp:positionV>
            <wp:extent cx="24599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TG BIOLOGICS, INC.</w:t>
      </w:r>
    </w:p>
    <w:p>
      <w:pPr>
        <w:spacing w:after="0" w:line="2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0</wp:posOffset>
            </wp:positionV>
            <wp:extent cx="24599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4445</wp:posOffset>
            </wp:positionV>
            <wp:extent cx="24599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jc w:val="center"/>
        <w:ind w:right="-459"/>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158750</wp:posOffset>
            </wp:positionV>
            <wp:extent cx="31375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137535" cy="8255"/>
                    </a:xfrm>
                    <a:prstGeom prst="rect">
                      <a:avLst/>
                    </a:prstGeom>
                    <a:noFill/>
                  </pic:spPr>
                </pic:pic>
              </a:graphicData>
            </a:graphic>
          </wp:anchor>
        </w:drawing>
        <w:drawing>
          <wp:anchor simplePos="0" relativeHeight="251657728" behindDoc="1" locked="0" layoutInCell="0" allowOverlap="1">
            <wp:simplePos x="0" y="0"/>
            <wp:positionH relativeFrom="column">
              <wp:posOffset>3837940</wp:posOffset>
            </wp:positionH>
            <wp:positionV relativeFrom="paragraph">
              <wp:posOffset>4445</wp:posOffset>
            </wp:positionV>
            <wp:extent cx="24599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to Amended and Restated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0"/>
          <w:szCs w:val="20"/>
          <w:color w:val="auto"/>
        </w:rPr>
        <w:t>Accepted in Palo Alto, California:</w:t>
      </w:r>
    </w:p>
    <w:p>
      <w:pPr>
        <w:spacing w:after="0" w:line="2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AGENT:</w:t>
      </w:r>
    </w:p>
    <w:p>
      <w:pPr>
        <w:spacing w:after="0" w:line="2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HERCULES CAPITAL, INC.</w:t>
      </w:r>
    </w:p>
    <w:p>
      <w:pPr>
        <w:spacing w:after="0" w:line="200" w:lineRule="exact"/>
        <w:rPr>
          <w:sz w:val="20"/>
          <w:szCs w:val="20"/>
          <w:color w:val="auto"/>
        </w:rPr>
      </w:pP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13970</wp:posOffset>
            </wp:positionV>
            <wp:extent cx="27260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Name: Seth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4445</wp:posOffset>
            </wp:positionV>
            <wp:extent cx="27260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ind w:left="4980"/>
        <w:spacing w:after="0"/>
        <w:tabs>
          <w:tab w:leader="none" w:pos="5600" w:val="left"/>
        </w:tabs>
        <w:rPr>
          <w:sz w:val="20"/>
          <w:szCs w:val="20"/>
          <w:color w:val="auto"/>
        </w:rPr>
      </w:pPr>
      <w:r>
        <w:rPr>
          <w:rFonts w:ascii="Times New Roman" w:cs="Times New Roman" w:eastAsia="Times New Roman" w:hAnsi="Times New Roman"/>
          <w:sz w:val="20"/>
          <w:szCs w:val="20"/>
          <w:color w:val="auto"/>
        </w:rPr>
        <w:t>Title:</w:t>
        <w:tab/>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4445</wp:posOffset>
            </wp:positionV>
            <wp:extent cx="27260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9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LENDER:</w:t>
      </w:r>
    </w:p>
    <w:p>
      <w:pPr>
        <w:spacing w:after="0" w:line="2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HERCULES CAPITAL, INC.</w:t>
      </w:r>
    </w:p>
    <w:p>
      <w:pPr>
        <w:spacing w:after="0" w:line="200" w:lineRule="exact"/>
        <w:rPr>
          <w:sz w:val="20"/>
          <w:szCs w:val="20"/>
          <w:color w:val="auto"/>
        </w:rPr>
      </w:pP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13970</wp:posOffset>
            </wp:positionV>
            <wp:extent cx="27260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Name: Seth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4445</wp:posOffset>
            </wp:positionV>
            <wp:extent cx="27260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4980"/>
        <w:spacing w:after="0"/>
        <w:tabs>
          <w:tab w:leader="none" w:pos="5600" w:val="left"/>
        </w:tabs>
        <w:rPr>
          <w:sz w:val="20"/>
          <w:szCs w:val="20"/>
          <w:color w:val="auto"/>
        </w:rPr>
      </w:pPr>
      <w:r>
        <w:rPr>
          <w:rFonts w:ascii="Times New Roman" w:cs="Times New Roman" w:eastAsia="Times New Roman" w:hAnsi="Times New Roman"/>
          <w:sz w:val="20"/>
          <w:szCs w:val="20"/>
          <w:color w:val="auto"/>
        </w:rPr>
        <w:t>Title:</w:t>
        <w:tab/>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4445</wp:posOffset>
            </wp:positionV>
            <wp:extent cx="272605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19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HERCULES PRIVATE GLOBAL VENTURE</w:t>
      </w:r>
    </w:p>
    <w:p>
      <w:pPr>
        <w:spacing w:after="0" w:line="2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GROWTH FUND I L.P.</w:t>
      </w:r>
    </w:p>
    <w:p>
      <w:pPr>
        <w:spacing w:after="0" w:line="203"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By:</w:t>
            </w:r>
          </w:p>
        </w:tc>
        <w:tc>
          <w:tcPr>
            <w:tcW w:w="4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Hercules Private Global Venture</w:t>
            </w:r>
          </w:p>
        </w:tc>
      </w:tr>
      <w:tr>
        <w:trPr>
          <w:trHeight w:val="229"/>
        </w:trPr>
        <w:tc>
          <w:tcPr>
            <w:tcW w:w="64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Growth Fund GP I LLC,</w:t>
            </w:r>
          </w:p>
        </w:tc>
      </w:tr>
      <w:tr>
        <w:trPr>
          <w:trHeight w:val="230"/>
        </w:trPr>
        <w:tc>
          <w:tcPr>
            <w:tcW w:w="64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its general partner</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By:</w:t>
            </w:r>
          </w:p>
        </w:tc>
        <w:tc>
          <w:tcPr>
            <w:tcW w:w="4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Hercules Adviser LLC,</w:t>
            </w:r>
          </w:p>
        </w:tc>
      </w:tr>
      <w:tr>
        <w:trPr>
          <w:trHeight w:val="256"/>
        </w:trPr>
        <w:tc>
          <w:tcPr>
            <w:tcW w:w="640" w:type="dxa"/>
            <w:vAlign w:val="bottom"/>
          </w:tcPr>
          <w:p>
            <w:pPr>
              <w:spacing w:after="0"/>
              <w:rPr>
                <w:sz w:val="22"/>
                <w:szCs w:val="22"/>
                <w:color w:val="auto"/>
              </w:rPr>
            </w:pP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its sole member</w:t>
            </w:r>
          </w:p>
        </w:tc>
      </w:tr>
    </w:tbl>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13970</wp:posOffset>
            </wp:positionV>
            <wp:extent cx="272605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Name: Seth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4445</wp:posOffset>
            </wp:positionV>
            <wp:extent cx="27260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4980"/>
        <w:spacing w:after="0"/>
        <w:tabs>
          <w:tab w:leader="none" w:pos="5600" w:val="left"/>
        </w:tabs>
        <w:rPr>
          <w:sz w:val="20"/>
          <w:szCs w:val="20"/>
          <w:color w:val="auto"/>
        </w:rPr>
      </w:pPr>
      <w:r>
        <w:rPr>
          <w:rFonts w:ascii="Times New Roman" w:cs="Times New Roman" w:eastAsia="Times New Roman" w:hAnsi="Times New Roman"/>
          <w:sz w:val="20"/>
          <w:szCs w:val="20"/>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4445</wp:posOffset>
            </wp:positionV>
            <wp:extent cx="27260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HERCULES PRIVATE CREDIT FUND 1 L.P.</w:t>
      </w:r>
    </w:p>
    <w:p>
      <w:pPr>
        <w:spacing w:after="0" w:line="25" w:lineRule="exact"/>
        <w:rPr>
          <w:sz w:val="20"/>
          <w:szCs w:val="20"/>
          <w:color w:val="auto"/>
        </w:rPr>
      </w:pPr>
    </w:p>
    <w:p>
      <w:pPr>
        <w:ind w:left="4980"/>
        <w:spacing w:after="0"/>
        <w:tabs>
          <w:tab w:leader="none" w:pos="5600" w:val="left"/>
        </w:tabs>
        <w:rPr>
          <w:sz w:val="20"/>
          <w:szCs w:val="20"/>
          <w:color w:val="auto"/>
        </w:rPr>
      </w:pPr>
      <w:r>
        <w:rPr>
          <w:rFonts w:ascii="Times New Roman" w:cs="Times New Roman" w:eastAsia="Times New Roman" w:hAnsi="Times New Roman"/>
          <w:sz w:val="20"/>
          <w:szCs w:val="20"/>
          <w:b w:val="1"/>
          <w:bCs w:val="1"/>
          <w:color w:val="auto"/>
        </w:rPr>
        <w:t>By:</w:t>
      </w:r>
      <w:r>
        <w:rPr>
          <w:sz w:val="20"/>
          <w:szCs w:val="20"/>
          <w:color w:val="auto"/>
        </w:rPr>
        <w:tab/>
      </w:r>
      <w:r>
        <w:rPr>
          <w:rFonts w:ascii="Times New Roman" w:cs="Times New Roman" w:eastAsia="Times New Roman" w:hAnsi="Times New Roman"/>
          <w:sz w:val="20"/>
          <w:szCs w:val="20"/>
          <w:b w:val="1"/>
          <w:bCs w:val="1"/>
          <w:color w:val="auto"/>
        </w:rPr>
        <w:t>Hercules Private Global Venture</w:t>
      </w:r>
    </w:p>
    <w:p>
      <w:pPr>
        <w:ind w:left="5620"/>
        <w:spacing w:after="0"/>
        <w:rPr>
          <w:sz w:val="20"/>
          <w:szCs w:val="20"/>
          <w:color w:val="auto"/>
        </w:rPr>
      </w:pPr>
      <w:r>
        <w:rPr>
          <w:rFonts w:ascii="Times New Roman" w:cs="Times New Roman" w:eastAsia="Times New Roman" w:hAnsi="Times New Roman"/>
          <w:sz w:val="20"/>
          <w:szCs w:val="20"/>
          <w:b w:val="1"/>
          <w:bCs w:val="1"/>
          <w:color w:val="auto"/>
        </w:rPr>
        <w:t>Growth Fund GP I LLC,</w:t>
      </w:r>
    </w:p>
    <w:p>
      <w:pPr>
        <w:ind w:left="5620"/>
        <w:spacing w:after="0"/>
        <w:rPr>
          <w:sz w:val="20"/>
          <w:szCs w:val="20"/>
          <w:color w:val="auto"/>
        </w:rPr>
      </w:pPr>
      <w:r>
        <w:rPr>
          <w:rFonts w:ascii="Times New Roman" w:cs="Times New Roman" w:eastAsia="Times New Roman" w:hAnsi="Times New Roman"/>
          <w:sz w:val="20"/>
          <w:szCs w:val="20"/>
          <w:b w:val="1"/>
          <w:bCs w:val="1"/>
          <w:color w:val="auto"/>
        </w:rPr>
        <w:t>its general partner</w:t>
      </w:r>
    </w:p>
    <w:p>
      <w:pPr>
        <w:jc w:val="center"/>
        <w:ind w:left="4960"/>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By:</w:t>
      </w:r>
      <w:r>
        <w:rPr>
          <w:sz w:val="20"/>
          <w:szCs w:val="20"/>
          <w:color w:val="auto"/>
        </w:rPr>
        <w:tab/>
      </w:r>
      <w:r>
        <w:rPr>
          <w:rFonts w:ascii="Times New Roman" w:cs="Times New Roman" w:eastAsia="Times New Roman" w:hAnsi="Times New Roman"/>
          <w:sz w:val="20"/>
          <w:szCs w:val="20"/>
          <w:b w:val="1"/>
          <w:bCs w:val="1"/>
          <w:color w:val="auto"/>
        </w:rPr>
        <w:t>Hercules Adviser LLC,</w:t>
      </w:r>
    </w:p>
    <w:p>
      <w:pPr>
        <w:jc w:val="center"/>
        <w:ind w:left="2620"/>
        <w:spacing w:after="0"/>
        <w:rPr>
          <w:sz w:val="20"/>
          <w:szCs w:val="20"/>
          <w:color w:val="auto"/>
        </w:rPr>
      </w:pPr>
      <w:r>
        <w:rPr>
          <w:rFonts w:ascii="Times New Roman" w:cs="Times New Roman" w:eastAsia="Times New Roman" w:hAnsi="Times New Roman"/>
          <w:sz w:val="20"/>
          <w:szCs w:val="20"/>
          <w:b w:val="1"/>
          <w:bCs w:val="1"/>
          <w:color w:val="auto"/>
        </w:rPr>
        <w:t>its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0</wp:posOffset>
            </wp:positionV>
            <wp:extent cx="27260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13970</wp:posOffset>
            </wp:positionV>
            <wp:extent cx="27260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Name: Seth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4445</wp:posOffset>
            </wp:positionV>
            <wp:extent cx="27260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4980"/>
        <w:spacing w:after="0"/>
        <w:tabs>
          <w:tab w:leader="none" w:pos="5600" w:val="left"/>
        </w:tabs>
        <w:rPr>
          <w:sz w:val="20"/>
          <w:szCs w:val="20"/>
          <w:color w:val="auto"/>
        </w:rPr>
      </w:pPr>
      <w:r>
        <w:rPr>
          <w:rFonts w:ascii="Times New Roman" w:cs="Times New Roman" w:eastAsia="Times New Roman" w:hAnsi="Times New Roman"/>
          <w:sz w:val="20"/>
          <w:szCs w:val="20"/>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4445</wp:posOffset>
            </wp:positionV>
            <wp:extent cx="27260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to Amended and Restated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color w:val="auto"/>
        </w:rPr>
        <w:t>Table of Addenda, Exhibits and Schedules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Addendum 1:</w:t>
            </w:r>
          </w:p>
        </w:tc>
        <w:tc>
          <w:tcPr>
            <w:tcW w:w="8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SBA Provisions</w:t>
            </w:r>
          </w:p>
        </w:tc>
      </w:tr>
      <w:tr>
        <w:trPr>
          <w:trHeight w:val="229"/>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Exhibit A:</w:t>
            </w:r>
          </w:p>
        </w:tc>
        <w:tc>
          <w:tcPr>
            <w:tcW w:w="8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Advance Request</w:t>
            </w:r>
          </w:p>
        </w:tc>
      </w:tr>
      <w:tr>
        <w:trPr>
          <w:trHeight w:val="229"/>
        </w:trPr>
        <w:tc>
          <w:tcPr>
            <w:tcW w:w="1220" w:type="dxa"/>
            <w:vAlign w:val="bottom"/>
          </w:tcPr>
          <w:p>
            <w:pPr>
              <w:spacing w:after="0"/>
              <w:rPr>
                <w:sz w:val="19"/>
                <w:szCs w:val="19"/>
                <w:color w:val="auto"/>
              </w:rPr>
            </w:pPr>
          </w:p>
        </w:tc>
        <w:tc>
          <w:tcPr>
            <w:tcW w:w="8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Attachment to Advance Request</w:t>
            </w:r>
          </w:p>
        </w:tc>
      </w:tr>
      <w:tr>
        <w:trPr>
          <w:trHeight w:val="230"/>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Exhibit B:</w:t>
            </w:r>
          </w:p>
        </w:tc>
        <w:tc>
          <w:tcPr>
            <w:tcW w:w="8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Term Note</w:t>
            </w:r>
          </w:p>
        </w:tc>
      </w:tr>
      <w:tr>
        <w:trPr>
          <w:trHeight w:val="229"/>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Exhibit C:</w:t>
            </w:r>
          </w:p>
        </w:tc>
        <w:tc>
          <w:tcPr>
            <w:tcW w:w="8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Name, Locations, and Other Information for Borrower</w:t>
            </w:r>
          </w:p>
        </w:tc>
      </w:tr>
      <w:tr>
        <w:trPr>
          <w:trHeight w:val="230"/>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Exhibit D:</w:t>
            </w:r>
          </w:p>
        </w:tc>
        <w:tc>
          <w:tcPr>
            <w:tcW w:w="8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Borrower’s Patents, Trademarks, Copyrights and Licenses</w:t>
            </w:r>
          </w:p>
        </w:tc>
      </w:tr>
      <w:tr>
        <w:trPr>
          <w:trHeight w:val="229"/>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Exhibit E:</w:t>
            </w:r>
          </w:p>
        </w:tc>
        <w:tc>
          <w:tcPr>
            <w:tcW w:w="8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Borrower’s Deposit Accounts and Investment Accounts</w:t>
            </w:r>
          </w:p>
        </w:tc>
      </w:tr>
      <w:tr>
        <w:trPr>
          <w:trHeight w:val="229"/>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Exhibit F:</w:t>
            </w:r>
          </w:p>
        </w:tc>
        <w:tc>
          <w:tcPr>
            <w:tcW w:w="8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Compliance Certificate</w:t>
            </w:r>
          </w:p>
        </w:tc>
      </w:tr>
      <w:tr>
        <w:trPr>
          <w:trHeight w:val="230"/>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Exhibit G:</w:t>
            </w:r>
          </w:p>
        </w:tc>
        <w:tc>
          <w:tcPr>
            <w:tcW w:w="8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Joinder Agreement</w:t>
            </w:r>
          </w:p>
        </w:tc>
      </w:tr>
      <w:tr>
        <w:trPr>
          <w:trHeight w:val="229"/>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Exhibit H:</w:t>
            </w:r>
          </w:p>
        </w:tc>
        <w:tc>
          <w:tcPr>
            <w:tcW w:w="8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[Reserved]</w:t>
            </w:r>
          </w:p>
        </w:tc>
      </w:tr>
      <w:tr>
        <w:trPr>
          <w:trHeight w:val="230"/>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Exhibit I:</w:t>
            </w:r>
          </w:p>
        </w:tc>
        <w:tc>
          <w:tcPr>
            <w:tcW w:w="8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ACH Debit Authorization Agreement</w:t>
            </w:r>
          </w:p>
        </w:tc>
      </w:tr>
      <w:tr>
        <w:trPr>
          <w:trHeight w:val="229"/>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Exhibit J:</w:t>
            </w:r>
          </w:p>
        </w:tc>
        <w:tc>
          <w:tcPr>
            <w:tcW w:w="8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[Reserved]</w:t>
            </w:r>
          </w:p>
        </w:tc>
      </w:tr>
      <w:tr>
        <w:trPr>
          <w:trHeight w:val="229"/>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Exhibit K:</w:t>
            </w:r>
          </w:p>
        </w:tc>
        <w:tc>
          <w:tcPr>
            <w:tcW w:w="8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of U.S. Tax Compliance Certificate</w:t>
            </w:r>
          </w:p>
        </w:tc>
      </w:tr>
      <w:tr>
        <w:trPr>
          <w:trHeight w:val="230"/>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Schedule 1</w:t>
            </w:r>
          </w:p>
        </w:tc>
        <w:tc>
          <w:tcPr>
            <w:tcW w:w="8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Subsidiaries</w:t>
            </w:r>
          </w:p>
        </w:tc>
      </w:tr>
      <w:tr>
        <w:trPr>
          <w:trHeight w:val="229"/>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Schedule 1.1</w:t>
            </w:r>
          </w:p>
        </w:tc>
        <w:tc>
          <w:tcPr>
            <w:tcW w:w="8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Commitments</w:t>
            </w:r>
          </w:p>
        </w:tc>
      </w:tr>
      <w:tr>
        <w:trPr>
          <w:trHeight w:val="229"/>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Schedule 1A</w:t>
            </w:r>
          </w:p>
        </w:tc>
        <w:tc>
          <w:tcPr>
            <w:tcW w:w="8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Existing Permitted Indebtedness</w:t>
            </w:r>
          </w:p>
        </w:tc>
      </w:tr>
      <w:tr>
        <w:trPr>
          <w:trHeight w:val="230"/>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Schedule 1B</w:t>
            </w:r>
          </w:p>
        </w:tc>
        <w:tc>
          <w:tcPr>
            <w:tcW w:w="8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Existing Permitted Investments</w:t>
            </w:r>
          </w:p>
        </w:tc>
      </w:tr>
      <w:tr>
        <w:trPr>
          <w:trHeight w:val="229"/>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Schedule 1C</w:t>
            </w:r>
          </w:p>
        </w:tc>
        <w:tc>
          <w:tcPr>
            <w:tcW w:w="8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Existing Permitted Liens</w:t>
            </w:r>
          </w:p>
        </w:tc>
      </w:tr>
      <w:tr>
        <w:trPr>
          <w:trHeight w:val="230"/>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Schedule 5.3</w:t>
            </w:r>
          </w:p>
        </w:tc>
        <w:tc>
          <w:tcPr>
            <w:tcW w:w="8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Consents, Etc.</w:t>
            </w:r>
          </w:p>
        </w:tc>
      </w:tr>
      <w:tr>
        <w:trPr>
          <w:trHeight w:val="229"/>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Schedule 5.8</w:t>
            </w:r>
          </w:p>
        </w:tc>
        <w:tc>
          <w:tcPr>
            <w:tcW w:w="8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Tax Matters</w:t>
            </w:r>
          </w:p>
        </w:tc>
      </w:tr>
      <w:tr>
        <w:trPr>
          <w:trHeight w:val="229"/>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Schedule 5.9</w:t>
            </w:r>
          </w:p>
        </w:tc>
        <w:tc>
          <w:tcPr>
            <w:tcW w:w="8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Intellectual Property Claims</w:t>
            </w:r>
          </w:p>
        </w:tc>
      </w:tr>
      <w:tr>
        <w:trPr>
          <w:trHeight w:val="230"/>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Schedule 5.10</w:t>
            </w:r>
          </w:p>
        </w:tc>
        <w:tc>
          <w:tcPr>
            <w:tcW w:w="8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Intellectual Property</w:t>
            </w:r>
          </w:p>
        </w:tc>
      </w:tr>
      <w:tr>
        <w:trPr>
          <w:trHeight w:val="229"/>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Schedule 5.11</w:t>
            </w:r>
          </w:p>
        </w:tc>
        <w:tc>
          <w:tcPr>
            <w:tcW w:w="8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Borrower Products</w:t>
            </w: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Schedule 5.14</w:t>
            </w:r>
          </w:p>
        </w:tc>
        <w:tc>
          <w:tcPr>
            <w:tcW w:w="8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Capitalization</w:t>
            </w:r>
          </w:p>
        </w:tc>
      </w:tr>
      <w:tr>
        <w:trPr>
          <w:trHeight w:val="1230"/>
        </w:trPr>
        <w:tc>
          <w:tcPr>
            <w:tcW w:w="122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3"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b w:val="1"/>
          <w:bCs w:val="1"/>
          <w:color w:val="auto"/>
        </w:rPr>
        <w:t>ADDENDUM 1 to LOAN AND SECURITY AGREEMENT</w:t>
      </w:r>
    </w:p>
    <w:p>
      <w:pPr>
        <w:spacing w:after="0" w:line="229" w:lineRule="exact"/>
        <w:rPr>
          <w:sz w:val="20"/>
          <w:szCs w:val="20"/>
          <w:color w:val="auto"/>
        </w:rPr>
      </w:pPr>
    </w:p>
    <w:p>
      <w:pPr>
        <w:jc w:val="both"/>
        <w:ind w:firstLine="1304"/>
        <w:spacing w:after="0" w:line="250" w:lineRule="auto"/>
        <w:tabs>
          <w:tab w:leader="none" w:pos="194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Borrower’s Business</w:t>
      </w:r>
      <w:r>
        <w:rPr>
          <w:rFonts w:ascii="Times New Roman" w:cs="Times New Roman" w:eastAsia="Times New Roman" w:hAnsi="Times New Roman"/>
          <w:sz w:val="20"/>
          <w:szCs w:val="20"/>
          <w:color w:val="auto"/>
        </w:rPr>
        <w:t>. For purposes of this Addendum 1, Borrower shall be deemed to include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“affiliates” as defined in Title 13 Code of Federal Regulations Section 121.103. Borrower represents and warrants to Agent and Lender as of the Closing Date and covenants to Agent and Lender for a period of one year after the Closing Date with respect to subsections 2, 3, 4, 5, 6 and 7 below, as follows:</w:t>
      </w:r>
    </w:p>
    <w:p>
      <w:pPr>
        <w:spacing w:after="0" w:line="179"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Size Status.  Borrower’s primary NAICS code is 541714 and has less than 1,000</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employees in the aggregate;</w:t>
      </w:r>
    </w:p>
    <w:p>
      <w:pPr>
        <w:spacing w:after="0" w:line="193" w:lineRule="exact"/>
        <w:rPr>
          <w:rFonts w:ascii="Times New Roman" w:cs="Times New Roman" w:eastAsia="Times New Roman" w:hAnsi="Times New Roman"/>
          <w:sz w:val="20"/>
          <w:szCs w:val="20"/>
          <w:color w:val="auto"/>
        </w:rPr>
      </w:pPr>
    </w:p>
    <w:p>
      <w:pPr>
        <w:jc w:val="both"/>
        <w:ind w:firstLine="2600"/>
        <w:spacing w:after="0" w:line="254" w:lineRule="auto"/>
        <w:tabs>
          <w:tab w:leader="none" w:pos="324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Relender. Borrower’s primary business activity does not involve, directly or indirectly, providing funds to others, purchasing debt obligations, factoring, or long-term leasing of equipment with no provision for maintenance or repair;</w:t>
      </w:r>
    </w:p>
    <w:p>
      <w:pPr>
        <w:spacing w:after="0" w:line="174" w:lineRule="exact"/>
        <w:rPr>
          <w:rFonts w:ascii="Times New Roman" w:cs="Times New Roman" w:eastAsia="Times New Roman" w:hAnsi="Times New Roman"/>
          <w:sz w:val="20"/>
          <w:szCs w:val="20"/>
          <w:color w:val="auto"/>
        </w:rPr>
      </w:pPr>
    </w:p>
    <w:p>
      <w:pPr>
        <w:jc w:val="both"/>
        <w:ind w:firstLine="2600"/>
        <w:spacing w:after="0" w:line="249" w:lineRule="auto"/>
        <w:tabs>
          <w:tab w:leader="none" w:pos="324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Passive Business. Borrower is engaged in a regular and continuous business operation (excluding the mere receipt of payments such as dividends, rents, lease payments, or royalties). Borrower’s employees are carrying on the majority of day to day operations. Borrower will not pass through substantially all of the proceeds of the Loan to another entity;</w:t>
      </w:r>
    </w:p>
    <w:p>
      <w:pPr>
        <w:spacing w:after="0" w:line="179" w:lineRule="exact"/>
        <w:rPr>
          <w:rFonts w:ascii="Times New Roman" w:cs="Times New Roman" w:eastAsia="Times New Roman" w:hAnsi="Times New Roman"/>
          <w:sz w:val="20"/>
          <w:szCs w:val="20"/>
          <w:color w:val="auto"/>
        </w:rPr>
      </w:pPr>
    </w:p>
    <w:p>
      <w:pPr>
        <w:jc w:val="both"/>
        <w:ind w:firstLine="2600"/>
        <w:spacing w:after="0" w:line="245" w:lineRule="auto"/>
        <w:tabs>
          <w:tab w:leader="none" w:pos="324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Real Estate Business. Borrower is not classified under Major Group 65 (Real Estate) or Industry No. 1531 (Operative Builders) of the SIC Manual. The proceeds of the Loan will not be used to acquire or refinance real property unless Borrower (x) is acquiring an existing property and will use at least 51 percent of the usable square footage for its business purposes; (y) is building or renovating a building and will use at least 67 percent of the usable square footage for its business purposes; or (z) occupies the subject property and uses at least 67 percent of the usable square footage for its business purposes.</w:t>
      </w:r>
    </w:p>
    <w:p>
      <w:pPr>
        <w:spacing w:after="0" w:line="184" w:lineRule="exact"/>
        <w:rPr>
          <w:rFonts w:ascii="Times New Roman" w:cs="Times New Roman" w:eastAsia="Times New Roman" w:hAnsi="Times New Roman"/>
          <w:sz w:val="20"/>
          <w:szCs w:val="20"/>
          <w:color w:val="auto"/>
        </w:rPr>
      </w:pPr>
    </w:p>
    <w:p>
      <w:pPr>
        <w:jc w:val="both"/>
        <w:ind w:firstLine="2600"/>
        <w:spacing w:after="0" w:line="245" w:lineRule="auto"/>
        <w:tabs>
          <w:tab w:leader="none" w:pos="324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Project Finance. Borrower’s assets are not intended to be reduced or consumed, generally without replacement, as the life of its business progresses, and the nature of Borrower’s business does not require that a stream of cash payments be made to the business’s financing sources, on a basis associated with the continuing sale of assets (e.g., real estate development projects and oil and gas wells). The primary purpose of the Loan is not to fund production of a single item or defined limited number of items, generally over a defined production period, where such production will constitute the majority of the activities of Borrower (e.g., motion pictures and electric generating plants).</w:t>
      </w:r>
    </w:p>
    <w:p>
      <w:pPr>
        <w:spacing w:after="0" w:line="184" w:lineRule="exact"/>
        <w:rPr>
          <w:rFonts w:ascii="Times New Roman" w:cs="Times New Roman" w:eastAsia="Times New Roman" w:hAnsi="Times New Roman"/>
          <w:sz w:val="20"/>
          <w:szCs w:val="20"/>
          <w:color w:val="auto"/>
        </w:rPr>
      </w:pPr>
    </w:p>
    <w:p>
      <w:pPr>
        <w:jc w:val="both"/>
        <w:ind w:firstLine="2600"/>
        <w:spacing w:after="0" w:line="254" w:lineRule="auto"/>
        <w:tabs>
          <w:tab w:leader="none" w:pos="324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Farm Land Purchases. Borrower will not use the proceeds of the Loan to acquire farm land which is or is intended to be used for agricultural or forestry purposes, such as the production of food, fiber, or wood, or is so taxed or zoned.</w:t>
      </w:r>
    </w:p>
    <w:p>
      <w:pPr>
        <w:spacing w:after="0" w:line="174" w:lineRule="exact"/>
        <w:rPr>
          <w:rFonts w:ascii="Times New Roman" w:cs="Times New Roman" w:eastAsia="Times New Roman" w:hAnsi="Times New Roman"/>
          <w:sz w:val="20"/>
          <w:szCs w:val="20"/>
          <w:color w:val="auto"/>
        </w:rPr>
      </w:pPr>
    </w:p>
    <w:p>
      <w:pPr>
        <w:jc w:val="both"/>
        <w:ind w:firstLine="2600"/>
        <w:spacing w:after="0" w:line="249" w:lineRule="auto"/>
        <w:tabs>
          <w:tab w:leader="none" w:pos="324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Foreign Investment. The proceeds of the Loan will not be used substantially for a foreign operation. At the time of the Loan, Borrower will not have more than 49 percent of its employees or tangible assets located outside the United States of America. The representation in this subsection (7) is made only as of the date hereof and shall not continue for one year as contemplated in the first sentence of this Section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754380</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148" w:name="page149"/>
    <w:bookmarkEnd w:id="148"/>
    <w:p>
      <w:pPr>
        <w:jc w:val="both"/>
        <w:ind w:left="-460" w:firstLine="1304"/>
        <w:spacing w:after="0" w:line="244" w:lineRule="auto"/>
        <w:tabs>
          <w:tab w:leader="none" w:pos="148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Small Business Administration Documentation</w:t>
      </w:r>
      <w:r>
        <w:rPr>
          <w:rFonts w:ascii="Times New Roman" w:cs="Times New Roman" w:eastAsia="Times New Roman" w:hAnsi="Times New Roman"/>
          <w:sz w:val="20"/>
          <w:szCs w:val="20"/>
          <w:color w:val="auto"/>
        </w:rPr>
        <w:t>. Agent and Lender acknowledge that Borrower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completed, executed and delivered to Agent SBA Forms 480, 652 and 1031 (Parts A and B) together with a business plan showing Borrower’s financial projections (including balance sheets and income and cash flows statements) for the period described therein and a written statement (whether included in the purchase agreement or pursuant to a separate statement) from Agent regarding its intended use of proceeds from the sale of securities to Lender (the “Use of Proceeds Statement”). Borrower represents and warrants to Agent and Lender that the information regarding Borrower and its affiliates set forth in the SBA Form 480, Form 652 and Form 1031 and the Use of Proceeds Statement delivered as of the Closing Date is accurate and complete.</w:t>
      </w:r>
    </w:p>
    <w:p>
      <w:pPr>
        <w:spacing w:after="0" w:line="181" w:lineRule="exact"/>
        <w:rPr>
          <w:rFonts w:ascii="Times New Roman" w:cs="Times New Roman" w:eastAsia="Times New Roman" w:hAnsi="Times New Roman"/>
          <w:sz w:val="20"/>
          <w:szCs w:val="20"/>
          <w:color w:val="auto"/>
        </w:rPr>
      </w:pPr>
    </w:p>
    <w:p>
      <w:pPr>
        <w:jc w:val="both"/>
        <w:ind w:left="-460" w:firstLine="1304"/>
        <w:spacing w:after="0" w:line="246" w:lineRule="auto"/>
        <w:tabs>
          <w:tab w:leader="none" w:pos="148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Inspection</w:t>
      </w:r>
      <w:r>
        <w:rPr>
          <w:rFonts w:ascii="Times New Roman" w:cs="Times New Roman" w:eastAsia="Times New Roman" w:hAnsi="Times New Roman"/>
          <w:sz w:val="20"/>
          <w:szCs w:val="20"/>
          <w:color w:val="auto"/>
        </w:rPr>
        <w:t>. The following covenants contained in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are intended to supplement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to restrict the related provisions of the Loan Documents. Subject to the preceding sentence, Borrower will permit, for so long as Lender holds any debt or equity securities of Borrower, Agent, Lender or their representative, at Agent’s or Lenders’ expense, and examiners of the SBA to visit and inspect the properties and assets of Borrower, to examine its books of account and records, and to discuss Borrower’s affairs, finances and accounts with Borrower’s officers, senior management and accountants, all at such reasonable times as may be requested by Agent or Lender or the SBA.</w:t>
      </w:r>
    </w:p>
    <w:p>
      <w:pPr>
        <w:spacing w:after="0" w:line="178" w:lineRule="exact"/>
        <w:rPr>
          <w:rFonts w:ascii="Times New Roman" w:cs="Times New Roman" w:eastAsia="Times New Roman" w:hAnsi="Times New Roman"/>
          <w:sz w:val="20"/>
          <w:szCs w:val="20"/>
          <w:color w:val="auto"/>
        </w:rPr>
      </w:pPr>
    </w:p>
    <w:p>
      <w:pPr>
        <w:jc w:val="both"/>
        <w:ind w:left="-460" w:firstLine="1304"/>
        <w:spacing w:after="0" w:line="242" w:lineRule="auto"/>
        <w:tabs>
          <w:tab w:leader="none" w:pos="148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Annual Assessment</w:t>
      </w:r>
      <w:r>
        <w:rPr>
          <w:rFonts w:ascii="Times New Roman" w:cs="Times New Roman" w:eastAsia="Times New Roman" w:hAnsi="Times New Roman"/>
          <w:sz w:val="20"/>
          <w:szCs w:val="20"/>
          <w:color w:val="auto"/>
        </w:rPr>
        <w:t>. Promptly after the end of each calendar year (but in any event prior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February 28 of each year) and at such other times as may be reasonably requested by Agent or Lender, Borrower will deliver to Agent a written assessment of the economic impact of Lender’s investment in Borrower, specifying the full-time equivalent jobs created or retained in connection with the investment, the impact of the investment on the businesses of Borrower in terms of expanded revenue and taxes, other economic benefits resulting from the investment (such as technology development or commercialization, minority business development, or expansion of exports) and such other information as may be required regarding Borrower in connection with the filing of Lender’s SBA Form 468. Lender will assist Borrower with preparing such assessment. In addition to any other rights granted hereunder, Borrower will grant Agent and Lender and the SBA access to Borrower’s books and records for the purpose of verifying the use of such proceeds. Borrower also will furnish or cause to be furnished to Agent and Lender such other information regarding the business, affairs and condition of Borrower as Agent or Lender may from time to time reasonably request.</w:t>
      </w:r>
    </w:p>
    <w:p>
      <w:pPr>
        <w:spacing w:after="0" w:line="189" w:lineRule="exact"/>
        <w:rPr>
          <w:rFonts w:ascii="Times New Roman" w:cs="Times New Roman" w:eastAsia="Times New Roman" w:hAnsi="Times New Roman"/>
          <w:sz w:val="20"/>
          <w:szCs w:val="20"/>
          <w:color w:val="auto"/>
        </w:rPr>
      </w:pPr>
    </w:p>
    <w:p>
      <w:pPr>
        <w:jc w:val="both"/>
        <w:ind w:left="-460" w:firstLine="1304"/>
        <w:spacing w:after="0" w:line="245" w:lineRule="auto"/>
        <w:tabs>
          <w:tab w:leader="none" w:pos="148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Use of Proceeds. </w:t>
      </w:r>
      <w:r>
        <w:rPr>
          <w:rFonts w:ascii="Times New Roman" w:cs="Times New Roman" w:eastAsia="Times New Roman" w:hAnsi="Times New Roman"/>
          <w:sz w:val="20"/>
          <w:szCs w:val="20"/>
          <w:color w:val="auto"/>
        </w:rPr>
        <w:t>Borrower will use the proceeds from the Loan only for purposes set forth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Section 7.17. Borrower will deliver to Agent from time to time promptly following Agent’s request, a written report, certified as correct by Borrower’s Chief Financial Officer, verifying the purposes and amounts for which proceeds from the Loan have been disbursed. Borrower will supply to Agent such additional information and documents as Agent reasonably requests with respect to its use of proceeds and will permit Agent and Lender and the SBA to have access to any and all Borrower records and information and personnel as Agent deems necessary to verify how such proceeds have been or are being used, and to assure that the proceeds have been used for the purposes specified in Section 7.17.</w:t>
      </w:r>
    </w:p>
    <w:p>
      <w:pPr>
        <w:spacing w:after="0" w:line="179" w:lineRule="exact"/>
        <w:rPr>
          <w:rFonts w:ascii="Times New Roman" w:cs="Times New Roman" w:eastAsia="Times New Roman" w:hAnsi="Times New Roman"/>
          <w:sz w:val="20"/>
          <w:szCs w:val="20"/>
          <w:color w:val="auto"/>
        </w:rPr>
      </w:pPr>
    </w:p>
    <w:p>
      <w:pPr>
        <w:ind w:left="-460" w:right="20" w:firstLine="1304"/>
        <w:spacing w:after="0" w:line="273" w:lineRule="auto"/>
        <w:tabs>
          <w:tab w:leader="none" w:pos="148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Activities and Proceeds</w:t>
      </w:r>
      <w:r>
        <w:rPr>
          <w:rFonts w:ascii="Times New Roman" w:cs="Times New Roman" w:eastAsia="Times New Roman" w:hAnsi="Times New Roman"/>
          <w:sz w:val="20"/>
          <w:szCs w:val="20"/>
          <w:color w:val="auto"/>
        </w:rPr>
        <w:t>. Neither Borrower nor any of its affiliates (if any) will engage in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activities or use directly or indirectly the proceeds from the Loan for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739140</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9" w:right="999" w:bottom="1440" w:gutter="0" w:footer="0" w:header="0"/>
        </w:sectPr>
      </w:pPr>
    </w:p>
    <w:bookmarkStart w:id="149" w:name="page150"/>
    <w:bookmarkEnd w:id="149"/>
    <w:p>
      <w:pPr>
        <w:jc w:val="both"/>
        <w:spacing w:after="0" w:line="249" w:lineRule="auto"/>
        <w:rPr>
          <w:sz w:val="20"/>
          <w:szCs w:val="20"/>
          <w:color w:val="auto"/>
        </w:rPr>
      </w:pPr>
      <w:r>
        <w:rPr>
          <w:rFonts w:ascii="Times New Roman" w:cs="Times New Roman" w:eastAsia="Times New Roman" w:hAnsi="Times New Roman"/>
          <w:sz w:val="20"/>
          <w:szCs w:val="20"/>
          <w:color w:val="auto"/>
        </w:rPr>
        <w:t>purpose for which a small business investment company is prohibited from providing funds by the SBIC Act, including 13 C.F.R. §107.720. Without obtaining the prior written approval of Agent, Borrower will not change within 1 year of the date hereof, Borrower’s current business activity to a business activity which a licensee under the SBIC Act is prohibited from providing funds by the SBIC Act.</w:t>
      </w:r>
    </w:p>
    <w:p>
      <w:pPr>
        <w:spacing w:after="0" w:line="176" w:lineRule="exact"/>
        <w:rPr>
          <w:sz w:val="20"/>
          <w:szCs w:val="20"/>
          <w:color w:val="auto"/>
        </w:rPr>
      </w:pPr>
    </w:p>
    <w:p>
      <w:pPr>
        <w:jc w:val="both"/>
        <w:ind w:firstLine="1304"/>
        <w:spacing w:after="0" w:line="242" w:lineRule="auto"/>
        <w:tabs>
          <w:tab w:leader="none" w:pos="194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Redemption Provisions. </w:t>
      </w:r>
      <w:r>
        <w:rPr>
          <w:rFonts w:ascii="Times New Roman" w:cs="Times New Roman" w:eastAsia="Times New Roman" w:hAnsi="Times New Roman"/>
          <w:sz w:val="20"/>
          <w:szCs w:val="20"/>
          <w:color w:val="auto"/>
        </w:rPr>
        <w:t>Notwithstanding any provision to the contrary contained in the Certificate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Incorporation of Borrower, as amended from time to time (the “Charter”), if, pursuant to the redemption provisions contained in the Charter, Lender is entitled to a redemption of its Warrant, such redemption (in the case of Lender) will be at a price equal to the redemption price set forth in the Charter (the “Existing Redemption Price”). If, however, Lender delivers written notice to Borrower that the then current regulations promulgated under the SBIC Act prohibit payment of the Existing Redemption Price in the case of an SBIC (or, if applied, the Existing Redemption Price would cause the applicable stock to lose its classification as an “equity security” and Lender has determined that such classification is unadvisable), the amount Lender will be entitled to receive shall be the greater of (i) fair market value of the securities being redeemed taking into account the rights and preferences of such securities plus any costs and expenses of the Lender incurred in making or maintaining the Warrant, and (ii) the Existing Redemption Price where the amount of accrued but unpaid dividends payable to the Lender is limited to Borrower’s earnings plus any costs and expenses of the Lender incurred in making or maintaining the Warrant; provided, however, the amount calculated in subsections (i) or (ii) above shall not exceed the Existing Redemption Price.</w:t>
      </w:r>
    </w:p>
    <w:p>
      <w:pPr>
        <w:spacing w:after="0" w:line="184"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Compliance and Resolution. </w:t>
      </w:r>
      <w:r>
        <w:rPr>
          <w:rFonts w:ascii="Times New Roman" w:cs="Times New Roman" w:eastAsia="Times New Roman" w:hAnsi="Times New Roman"/>
          <w:sz w:val="20"/>
          <w:szCs w:val="20"/>
          <w:color w:val="auto"/>
        </w:rPr>
        <w:t>Borrower agrees that a failure to comply with Borrower’s obligations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under this Addendum, or any other set of facts or circumstances where it has been asserted by any governmental regulatory agency (or Agent or Lender believes that there is a substantial risk of such assertion) that Agent, Lender and their affiliates are not entitled to hold, or exercise any significant right with respect to, any securities issued to Lender by Borrower, will constitute a breach of the obligations of Borrower under the financing agreements among Borrower, Agent and Lender. In the event of (i) a failure to comply with Borrower’s obligations under this Addendum; or (ii) an assertion by any governmental regulatory agency (or Agent or Lender believes that there is a substantial risk of such assertion) of a failure to comply with Borrower’s obligations under this Addendum, then (i) Agent, Lender and Borrower will meet and resolve any such issue in good faith to the satisfaction of Borrower, Agent, Lender, and any governmental regulatory agency, and (ii) upon request of Lender or Agent, Borrower will cooperate and assist with any assignment of the financing agreements among Hercules Capital, Inc., Hercules Private Credit Fund 1 L.P., Hercules Private Global Venture Growth Fund I L.P. and Hercules Funding 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899160</wp:posOffset>
            </wp:positionV>
            <wp:extent cx="629221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50" w:name="page151"/>
    <w:bookmarkEnd w:id="15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504190</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69" w:right="1440"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9"/>
          <w:szCs w:val="19"/>
          <w:b w:val="1"/>
          <w:bCs w:val="1"/>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923925</wp:posOffset>
            </wp:positionV>
            <wp:extent cx="629221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69" w:right="1440" w:bottom="1440" w:gutter="0" w:footer="0" w:header="0"/>
        </w:sectPr>
      </w:pPr>
    </w:p>
    <w:bookmarkStart w:id="152" w:name="page153"/>
    <w:bookmarkEnd w:id="152"/>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641350</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69" w:right="1440" w:bottom="1440" w:gutter="0" w:footer="0" w:header="0"/>
        </w:sectPr>
      </w:pPr>
    </w:p>
    <w:bookmarkStart w:id="153" w:name="page154"/>
    <w:bookmarkEnd w:id="153"/>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641350</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69" w:right="1440"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9"/>
          <w:szCs w:val="19"/>
          <w:b w:val="1"/>
          <w:bCs w:val="1"/>
          <w:color w:val="auto"/>
        </w:rPr>
        <w:t>EXHIBIT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641350</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69" w:right="1440" w:bottom="1440" w:gutter="0" w:footer="0" w:header="0"/>
        </w:sectPr>
      </w:pPr>
    </w:p>
    <w:bookmarkStart w:id="155" w:name="page156"/>
    <w:bookmarkEnd w:id="15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F</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JOINDER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364490</wp:posOffset>
            </wp:positionV>
            <wp:extent cx="629221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69" w:right="1440" w:bottom="1440" w:gutter="0" w:footer="0" w:header="0"/>
        </w:sectPr>
      </w:pPr>
    </w:p>
    <w:bookmarkStart w:id="156" w:name="page157"/>
    <w:bookmarkEnd w:id="15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G</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JOINDER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364490</wp:posOffset>
            </wp:positionV>
            <wp:extent cx="629221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69" w:right="1440" w:bottom="1440" w:gutter="0" w:footer="0" w:header="0"/>
        </w:sectPr>
      </w:pPr>
    </w:p>
    <w:bookmarkStart w:id="157" w:name="page158"/>
    <w:bookmarkEnd w:id="157"/>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EXHIBIT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641350</wp:posOffset>
            </wp:positionV>
            <wp:extent cx="629221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69" w:right="1440"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9"/>
          <w:szCs w:val="19"/>
          <w:b w:val="1"/>
          <w:bCs w:val="1"/>
          <w:color w:val="auto"/>
        </w:rPr>
        <w:t>EXHIBIT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641350</wp:posOffset>
            </wp:positionV>
            <wp:extent cx="629221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69" w:right="1440" w:bottom="1440" w:gutter="0" w:footer="0" w:header="0"/>
        </w:sectPr>
      </w:pPr>
    </w:p>
    <w:bookmarkStart w:id="159" w:name="page160"/>
    <w:bookmarkEnd w:id="159"/>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0000FF"/>
        </w:rPr>
        <w:t>EXHIBIT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641350</wp:posOffset>
            </wp:positionV>
            <wp:extent cx="629221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69" w:right="1440"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0000FF"/>
        </w:rPr>
        <w:t>EXHIBIT K-1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641350</wp:posOffset>
            </wp:positionV>
            <wp:extent cx="629221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69" w:right="1440"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0000FF"/>
        </w:rPr>
        <w:t>EXHIBIT K-2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641350</wp:posOffset>
            </wp:positionV>
            <wp:extent cx="629221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69" w:right="1440"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0000FF"/>
        </w:rPr>
        <w:t>EXHIBIT K-3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641350</wp:posOffset>
            </wp:positionV>
            <wp:extent cx="629221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69" w:right="1440"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0000FF"/>
        </w:rPr>
        <w:t>EXHIBIT K-4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641350</wp:posOffset>
            </wp:positionV>
            <wp:extent cx="629221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69" w:right="14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20"/>
          <w:szCs w:val="20"/>
          <w:color w:val="auto"/>
        </w:rPr>
        <w:t>SCHEDULE 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1A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1B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1C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5.3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5.8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5.9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5.10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5.11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5.14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7.21(B)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501650</wp:posOffset>
            </wp:positionV>
            <wp:extent cx="629221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165" w:name="page166"/>
    <w:bookmarkEnd w:id="165"/>
    <w:p>
      <w:pPr>
        <w:ind w:left="8900"/>
        <w:spacing w:after="0"/>
        <w:rPr>
          <w:sz w:val="20"/>
          <w:szCs w:val="20"/>
          <w:color w:val="auto"/>
        </w:rPr>
      </w:pPr>
      <w:r>
        <w:rPr>
          <w:rFonts w:ascii="Times New Roman" w:cs="Times New Roman" w:eastAsia="Times New Roman" w:hAnsi="Times New Roman"/>
          <w:sz w:val="19"/>
          <w:szCs w:val="19"/>
          <w:b w:val="1"/>
          <w:bCs w:val="1"/>
          <w:color w:val="auto"/>
        </w:rPr>
        <w:t>Exhibit 10.2</w:t>
      </w:r>
    </w:p>
    <w:p>
      <w:pPr>
        <w:spacing w:after="0" w:line="2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WARRANT AND THE SHARES ISSUABLE UPON EXERCISE HEREOF HAVE NOT BEEN REGISTERED UNDER THE SECURITIES ACT OF 1933, AS AMENDED (THE “ACT”), OR ANY STATE SECURITIES LAWS, AND MAY NOT BE SOLD, OFFERED FOR SALE, PLEDGED, OR HYPOTHECATED IN THE ABSENCE OF AN EFFECTIVE REGISTRATION STATEMENT RELATED THERETO OR, SUBJECT TO SECTION 11 HEREOF, AN OPINION OF COUNSEL (WHICH MAY BE COMPANY COUNSEL) REASONABLY SATISFACTORY TO THE COMPANY THAT SUCH REGISTRATION IS NOT REQUIRED UNDER THE ACT, OR ANY APPLICABLE STATE SECURITIES LAWS.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AMENDED AND RESTATED WARRANT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To Purchase Shares of the Common Stock of</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TG THERAPEUTICS,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as of March 31, 2023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this Amended and Restated Warrant Agreement (this “</w:t>
      </w:r>
      <w:r>
        <w:rPr>
          <w:rFonts w:ascii="Times New Roman" w:cs="Times New Roman" w:eastAsia="Times New Roman" w:hAnsi="Times New Roman"/>
          <w:sz w:val="20"/>
          <w:szCs w:val="20"/>
          <w:u w:val="single" w:color="auto"/>
          <w:color w:val="auto"/>
        </w:rPr>
        <w:t>Warrant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Warrant Agreement</w:t>
      </w:r>
      <w:r>
        <w:rPr>
          <w:rFonts w:ascii="Times New Roman" w:cs="Times New Roman" w:eastAsia="Times New Roman" w:hAnsi="Times New Roman"/>
          <w:sz w:val="20"/>
          <w:szCs w:val="20"/>
          <w:color w:val="auto"/>
        </w:rPr>
        <w:t>”, or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amends and restates the Warrant Agreement, dated December 30, 2021 (the “</w:t>
      </w:r>
      <w:r>
        <w:rPr>
          <w:rFonts w:ascii="Times New Roman" w:cs="Times New Roman" w:eastAsia="Times New Roman" w:hAnsi="Times New Roman"/>
          <w:sz w:val="20"/>
          <w:szCs w:val="20"/>
          <w:u w:val="single" w:color="auto"/>
          <w:color w:val="auto"/>
        </w:rPr>
        <w:t>Original Issue Date</w:t>
      </w:r>
      <w:r>
        <w:rPr>
          <w:rFonts w:ascii="Times New Roman" w:cs="Times New Roman" w:eastAsia="Times New Roman" w:hAnsi="Times New Roman"/>
          <w:sz w:val="20"/>
          <w:szCs w:val="20"/>
          <w:color w:val="auto"/>
        </w:rPr>
        <w:t>”), by and</w:t>
      </w:r>
    </w:p>
    <w:p>
      <w:pPr>
        <w:spacing w:after="0"/>
        <w:rPr>
          <w:sz w:val="20"/>
          <w:szCs w:val="20"/>
          <w:color w:val="auto"/>
        </w:rPr>
      </w:pPr>
      <w:r>
        <w:rPr>
          <w:rFonts w:ascii="Times New Roman" w:cs="Times New Roman" w:eastAsia="Times New Roman" w:hAnsi="Times New Roman"/>
          <w:sz w:val="19"/>
          <w:szCs w:val="19"/>
          <w:color w:val="auto"/>
        </w:rPr>
        <w:t>between TG Therapeutics, Inc., a Delaware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Hercules Capital, Inc., a Maryland corporation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u w:val="single" w:color="auto"/>
          <w:color w:val="auto"/>
        </w:rPr>
        <w:t>Warrantholder</w:t>
      </w:r>
      <w:r>
        <w:rPr>
          <w:rFonts w:ascii="Times New Roman" w:cs="Times New Roman" w:eastAsia="Times New Roman" w:hAnsi="Times New Roman"/>
          <w:sz w:val="19"/>
          <w:szCs w:val="19"/>
          <w:color w:val="auto"/>
        </w:rPr>
        <w:t>”), to purchase shares of Common Stock of the Company (the “</w:t>
      </w:r>
      <w:r>
        <w:rPr>
          <w:rFonts w:ascii="Times New Roman" w:cs="Times New Roman" w:eastAsia="Times New Roman" w:hAnsi="Times New Roman"/>
          <w:sz w:val="19"/>
          <w:szCs w:val="19"/>
          <w:u w:val="single" w:color="auto"/>
          <w:color w:val="auto"/>
        </w:rPr>
        <w:t>Prior Warrant</w:t>
      </w:r>
      <w:r>
        <w:rPr>
          <w:rFonts w:ascii="Times New Roman" w:cs="Times New Roman" w:eastAsia="Times New Roman" w:hAnsi="Times New Roman"/>
          <w:sz w:val="19"/>
          <w:szCs w:val="19"/>
          <w:color w:val="auto"/>
        </w:rPr>
        <w:t>”), and the Prior Warrant is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superseded and replaced by this Agreement in all respects;</w:t>
      </w:r>
    </w:p>
    <w:p>
      <w:pPr>
        <w:spacing w:after="0" w:line="194"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20"/>
          <w:szCs w:val="20"/>
          <w:color w:val="auto"/>
        </w:rPr>
        <w:t>WHEREAS, the Company has entered into an Amended and Restated Loan and Security Agreement dated as of the Original Issue Date (as amended and in effect from time to time, the “</w:t>
      </w:r>
      <w:r>
        <w:rPr>
          <w:rFonts w:ascii="Times New Roman" w:cs="Times New Roman" w:eastAsia="Times New Roman" w:hAnsi="Times New Roman"/>
          <w:sz w:val="20"/>
          <w:szCs w:val="20"/>
          <w:u w:val="single" w:color="auto"/>
          <w:color w:val="auto"/>
        </w:rPr>
        <w:t>Loan Agreement</w:t>
      </w:r>
      <w:r>
        <w:rPr>
          <w:rFonts w:ascii="Times New Roman" w:cs="Times New Roman" w:eastAsia="Times New Roman" w:hAnsi="Times New Roman"/>
          <w:sz w:val="20"/>
          <w:szCs w:val="20"/>
          <w:color w:val="auto"/>
        </w:rPr>
        <w:t>”) with the Warrantholder, in its capacity as administrative and collateral agent, and the other lenders from time to time party thereto;</w:t>
      </w:r>
    </w:p>
    <w:p>
      <w:pPr>
        <w:spacing w:after="0" w:line="174" w:lineRule="exact"/>
        <w:rPr>
          <w:sz w:val="20"/>
          <w:szCs w:val="20"/>
          <w:color w:val="auto"/>
        </w:rPr>
      </w:pPr>
    </w:p>
    <w:p>
      <w:pPr>
        <w:jc w:val="both"/>
        <w:ind w:right="500" w:firstLine="1296"/>
        <w:spacing w:after="0" w:line="254" w:lineRule="auto"/>
        <w:rPr>
          <w:sz w:val="20"/>
          <w:szCs w:val="20"/>
          <w:color w:val="auto"/>
        </w:rPr>
      </w:pPr>
      <w:r>
        <w:rPr>
          <w:rFonts w:ascii="Times New Roman" w:cs="Times New Roman" w:eastAsia="Times New Roman" w:hAnsi="Times New Roman"/>
          <w:sz w:val="20"/>
          <w:szCs w:val="20"/>
          <w:color w:val="auto"/>
        </w:rPr>
        <w:t>WHEREAS, pursuant to the Loan Agreement and as additional consideration to the Warrantholder for, among other things, its agreements in the Loan Agreement, the Company has agreed to issue to the Warrantholder this Warrant Agreement, evidencing the right to purchase shares of the Company’s Common Stock;</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NOW, THEREFORE, in consideration of the mutual covenants and agreements contained herein,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and Warrantholder agree as follows:</w:t>
      </w:r>
    </w:p>
    <w:p>
      <w:pPr>
        <w:spacing w:after="0" w:line="19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color w:val="auto"/>
        </w:rPr>
        <w:t>GRANT OF THE RIGHT TO PURCHASE COMMON STOCK.</w:t>
      </w:r>
    </w:p>
    <w:p>
      <w:pPr>
        <w:spacing w:after="0" w:line="220" w:lineRule="exact"/>
        <w:rPr>
          <w:sz w:val="20"/>
          <w:szCs w:val="20"/>
          <w:color w:val="auto"/>
        </w:rPr>
      </w:pPr>
    </w:p>
    <w:p>
      <w:pPr>
        <w:ind w:right="20" w:firstLine="1304"/>
        <w:spacing w:after="0" w:line="245" w:lineRule="auto"/>
        <w:tabs>
          <w:tab w:leader="none" w:pos="194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value received, the Company hereby grants to the Warrantholder, and the Warrantholder is entitled, upon the terms and subject to the conditions hereinafter set forth, to subscribe for and purchase, from the Company, up to the aggregate number of fully paid and non-assessable shares of Common Stock (as defined below) as determined pursuant to Section 1(b) below, at a purchase price per share equal to the Exercise Price (as defined below). The number and Exercise Price of such shares are subject to adjustment as provided in Section 8. As used herein, the following terms shall have the following meanings:</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means the Securities Act of 1933, as amended.</w:t>
      </w:r>
    </w:p>
    <w:p>
      <w:pPr>
        <w:spacing w:after="0" w:line="216" w:lineRule="exact"/>
        <w:rPr>
          <w:sz w:val="20"/>
          <w:szCs w:val="20"/>
          <w:color w:val="auto"/>
        </w:rPr>
      </w:pPr>
    </w:p>
    <w:p>
      <w:pPr>
        <w:ind w:left="660" w:right="3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Charter</w:t>
      </w:r>
      <w:r>
        <w:rPr>
          <w:rFonts w:ascii="Times New Roman" w:cs="Times New Roman" w:eastAsia="Times New Roman" w:hAnsi="Times New Roman"/>
          <w:sz w:val="20"/>
          <w:szCs w:val="20"/>
          <w:color w:val="auto"/>
        </w:rPr>
        <w:t>” means the Company’s Certificate of Incorporation or other constitutional document, as may be amended and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604520</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66" w:name="page167"/>
    <w:bookmarkEnd w:id="166"/>
    <w:p>
      <w:pPr>
        <w:ind w:left="200" w:right="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means the Company’s common stock, $0.001 par value per share, as presently constituted under the Charter, and any class and/or series of Company capital stock for or into which such common stock may be converted or exchanged in a reorganization, recapitalization or similar transaction.</w:t>
      </w:r>
    </w:p>
    <w:p>
      <w:pPr>
        <w:spacing w:after="0" w:line="174" w:lineRule="exact"/>
        <w:rPr>
          <w:sz w:val="20"/>
          <w:szCs w:val="20"/>
          <w:color w:val="auto"/>
        </w:rPr>
      </w:pPr>
    </w:p>
    <w:p>
      <w:pPr>
        <w:ind w:left="200" w:right="100"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Registration</w:t>
      </w:r>
      <w:r>
        <w:rPr>
          <w:rFonts w:ascii="Times New Roman" w:cs="Times New Roman" w:eastAsia="Times New Roman" w:hAnsi="Times New Roman"/>
          <w:sz w:val="20"/>
          <w:szCs w:val="20"/>
          <w:color w:val="auto"/>
        </w:rPr>
        <w:t xml:space="preserve">” means (i) a registration relating to the sale of securities to employees of the Company or a subsidiary pursuant to an equity option, equity purchase, or similar plan; (ii) a registration relating to an SEC Rule 145 transaction; or (iii) a registration on any form that does not include substantially the same information as would be required to be included in a registration statement covering the sale of the Registrable Securities,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the inclusion of information regarding this Warrant and the plan of distribution of and selling securityholder information related to the Common Shares issuable upon exercise of this Warrant, shall not constitute a basis for excluding the Registrable Securities from a registration pursuant to this clause (iii).</w:t>
      </w:r>
    </w:p>
    <w:p>
      <w:pPr>
        <w:spacing w:after="0" w:line="189" w:lineRule="exact"/>
        <w:rPr>
          <w:sz w:val="20"/>
          <w:szCs w:val="20"/>
          <w:color w:val="auto"/>
        </w:rPr>
      </w:pPr>
    </w:p>
    <w:p>
      <w:pPr>
        <w:ind w:left="200" w:right="1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means $17.95, subject to adjustment from time to time in accordance with the provisions of this Warrant.</w:t>
      </w:r>
    </w:p>
    <w:p>
      <w:pPr>
        <w:spacing w:after="0" w:line="159" w:lineRule="exact"/>
        <w:rPr>
          <w:sz w:val="20"/>
          <w:szCs w:val="20"/>
          <w:color w:val="auto"/>
        </w:rPr>
      </w:pPr>
    </w:p>
    <w:p>
      <w:pPr>
        <w:ind w:left="200" w:right="3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 Sale</w:t>
      </w:r>
      <w:r>
        <w:rPr>
          <w:rFonts w:ascii="Times New Roman" w:cs="Times New Roman" w:eastAsia="Times New Roman" w:hAnsi="Times New Roman"/>
          <w:sz w:val="20"/>
          <w:szCs w:val="20"/>
          <w:color w:val="auto"/>
        </w:rPr>
        <w:t>” means the closing of a Merger Event in which the consideration received by the Company and/or its stockholders, as applicable, consists solely of cash and/or Marketable Securities.</w:t>
      </w:r>
    </w:p>
    <w:p>
      <w:pPr>
        <w:spacing w:after="0" w:line="159" w:lineRule="exact"/>
        <w:rPr>
          <w:sz w:val="20"/>
          <w:szCs w:val="20"/>
          <w:color w:val="auto"/>
        </w:rPr>
      </w:pPr>
    </w:p>
    <w:p>
      <w:pPr>
        <w:ind w:left="200"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Marketable Securities</w:t>
      </w:r>
      <w:r>
        <w:rPr>
          <w:rFonts w:ascii="Times New Roman" w:cs="Times New Roman" w:eastAsia="Times New Roman" w:hAnsi="Times New Roman"/>
          <w:sz w:val="20"/>
          <w:szCs w:val="20"/>
          <w:color w:val="auto"/>
        </w:rPr>
        <w:t>” in connection with a Merger Event means securities meeting all of the following requirements: (i) the issuer thereof is then subject to the reporting requirements of Section 13 or Section 15(d)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is then current in its filing of all required reports and other information under the Act and the Exchange Act; (ii) the class and series of shares or other security of the issuer that would be received by the Warrantholder in connection with the Merger Event were the Warrantholder to exercise this Warrant on or prior to the closing thereof is then traded on a national securities exchange or over-the-counter market, and (iii) following the closing of such Merger Event, the Warrantholder would not be restricted from publicly re-selling all of the issuer’s shares and/or other securities that would be received by the Warrantholder in such Merger Event were the Warrantholder to exercise this Warrant in full on or prior to the closing of such Merger Event, except to the extent that any such restriction (x) arises solely under federal or state securities laws, rules or regulations, and (y) does not extend beyond six (6) months from the closing of such Merger Event.</w:t>
      </w:r>
    </w:p>
    <w:p>
      <w:pPr>
        <w:spacing w:after="0" w:line="187" w:lineRule="exact"/>
        <w:rPr>
          <w:sz w:val="20"/>
          <w:szCs w:val="20"/>
          <w:color w:val="auto"/>
        </w:rPr>
      </w:pPr>
    </w:p>
    <w:p>
      <w:pPr>
        <w:ind w:left="200"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Merger Event</w:t>
      </w:r>
      <w:r>
        <w:rPr>
          <w:rFonts w:ascii="Times New Roman" w:cs="Times New Roman" w:eastAsia="Times New Roman" w:hAnsi="Times New Roman"/>
          <w:sz w:val="20"/>
          <w:szCs w:val="20"/>
          <w:color w:val="auto"/>
        </w:rPr>
        <w:t>” means any of the following: (i) a sale, lease or other transfer of all or substantially all assets of the Company, (ii) any merger or consolidation involving the Company in which the Company is not the surviving entity or in which the outstanding shares of the Company’s capital stock are otherwise converted into or exchanged for shares of capital stock or other securities or property of another entity, or (iii) any sale by holders of the outstanding voting equity securities of the Company in a single transaction or series of related transactions of shares constituting a majority of the outstanding combined voting power of the Company.</w:t>
      </w:r>
    </w:p>
    <w:p>
      <w:pPr>
        <w:spacing w:after="0" w:line="184" w:lineRule="exact"/>
        <w:rPr>
          <w:sz w:val="20"/>
          <w:szCs w:val="20"/>
          <w:color w:val="auto"/>
        </w:rPr>
      </w:pPr>
    </w:p>
    <w:p>
      <w:pPr>
        <w:ind w:left="200" w:right="120"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Purchase Price</w:t>
      </w:r>
      <w:r>
        <w:rPr>
          <w:rFonts w:ascii="Times New Roman" w:cs="Times New Roman" w:eastAsia="Times New Roman" w:hAnsi="Times New Roman"/>
          <w:sz w:val="19"/>
          <w:szCs w:val="19"/>
          <w:color w:val="auto"/>
        </w:rPr>
        <w:t>” means, with respect to any exercise of this Warrant, an amount equal to the then-effective Exercise Price multiplied by the number of shares of Common Stock as to which this Warrant is then exercised.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346" w:right="1019" w:bottom="1440" w:gutter="0" w:footer="0" w:header="0"/>
        </w:sectPr>
      </w:pPr>
    </w:p>
    <w:bookmarkStart w:id="167" w:name="page168"/>
    <w:bookmarkEnd w:id="167"/>
    <w:p>
      <w:pPr>
        <w:ind w:left="660" w:right="80"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Registrable Securities</w:t>
      </w:r>
      <w:r>
        <w:rPr>
          <w:rFonts w:ascii="Times New Roman" w:cs="Times New Roman" w:eastAsia="Times New Roman" w:hAnsi="Times New Roman"/>
          <w:sz w:val="20"/>
          <w:szCs w:val="20"/>
          <w:color w:val="auto"/>
        </w:rPr>
        <w:t xml:space="preserve">” means (i) the shares issuable upon exercise of this Warrant and (ii) any other Common Shares issued as a dividend or other distribution with respect to, in exchange for or in replacement of such shares;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securities referred to in (i)-(ii) above shall cease to be Registrable Securities (A) upon the sale of such securities pursuant to a registration statement or (B) upon the sale of such securities pursuant to Rule 144.</w:t>
      </w:r>
    </w:p>
    <w:p>
      <w:pPr>
        <w:spacing w:after="0" w:line="184" w:lineRule="exact"/>
        <w:rPr>
          <w:sz w:val="20"/>
          <w:szCs w:val="20"/>
          <w:color w:val="auto"/>
        </w:rPr>
      </w:pPr>
    </w:p>
    <w:p>
      <w:pPr>
        <w:jc w:val="both"/>
        <w:ind w:left="660"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Warrant Coverage</w:t>
      </w:r>
      <w:r>
        <w:rPr>
          <w:rFonts w:ascii="Times New Roman" w:cs="Times New Roman" w:eastAsia="Times New Roman" w:hAnsi="Times New Roman"/>
          <w:sz w:val="20"/>
          <w:szCs w:val="20"/>
          <w:color w:val="auto"/>
        </w:rPr>
        <w:t xml:space="preserve">” means (a) 2.95%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aggregate principal amount of Term Loan Advances (as defined in the Loan Agreement) made and funded by the Warrantholder prior to (but not including) the Effective Date, minus (b) 12,853 (which amount being deducted in this clause (b), for the avoidance of doubt, reflects the warrant coverage amount transferred to Hercules Funding IV LLC on December 30, 2021 pursuant to a Transfer Notice from Warrantholder to Hercules Funding IV LLC).</w:t>
      </w:r>
    </w:p>
    <w:p>
      <w:pPr>
        <w:spacing w:after="0" w:line="185" w:lineRule="exact"/>
        <w:rPr>
          <w:sz w:val="20"/>
          <w:szCs w:val="20"/>
          <w:color w:val="auto"/>
        </w:rPr>
      </w:pPr>
    </w:p>
    <w:p>
      <w:pPr>
        <w:ind w:right="20" w:firstLine="656"/>
        <w:spacing w:after="0" w:line="254" w:lineRule="auto"/>
        <w:tabs>
          <w:tab w:leader="none" w:pos="129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color w:val="auto"/>
        </w:rPr>
        <w:t>. This Warrant shall be exercisable for a number of shares of Common Stock equal to the quotient derived by dividing (i) the Warrant Coverage by (ii) the Exercise Price, subject to adjustment from time to time in accordance with the provisions of this Warrant.</w:t>
      </w:r>
    </w:p>
    <w:p>
      <w:pPr>
        <w:spacing w:after="0" w:line="184"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color w:val="auto"/>
        </w:rPr>
        <w:t>TERM OF THE AGREEMENT.</w:t>
      </w:r>
    </w:p>
    <w:p>
      <w:pPr>
        <w:spacing w:after="0" w:line="112" w:lineRule="exact"/>
        <w:rPr>
          <w:sz w:val="20"/>
          <w:szCs w:val="20"/>
          <w:color w:val="auto"/>
        </w:rPr>
      </w:pPr>
    </w:p>
    <w:p>
      <w:pPr>
        <w:jc w:val="both"/>
        <w:ind w:right="60" w:firstLine="1296"/>
        <w:spacing w:after="0" w:line="254" w:lineRule="auto"/>
        <w:rPr>
          <w:sz w:val="20"/>
          <w:szCs w:val="20"/>
          <w:color w:val="auto"/>
        </w:rPr>
      </w:pPr>
      <w:r>
        <w:rPr>
          <w:rFonts w:ascii="Times New Roman" w:cs="Times New Roman" w:eastAsia="Times New Roman" w:hAnsi="Times New Roman"/>
          <w:sz w:val="20"/>
          <w:szCs w:val="20"/>
          <w:color w:val="auto"/>
        </w:rPr>
        <w:t>The term of this Agreement and the right to purchase Common Stock as granted herein shall commence on the Original Issue Date and, subject to Section 8(a) below, shall be exercisable until 5:00 p.m. (Eastern Time) on the seventh (7th) anniversary of the Original Issue Date.</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19"/>
          <w:szCs w:val="19"/>
          <w:color w:val="auto"/>
        </w:rPr>
        <w:t>EXERCISE OF THE PURCHASE RIGHTS.</w:t>
      </w:r>
    </w:p>
    <w:p>
      <w:pPr>
        <w:spacing w:after="0" w:line="112" w:lineRule="exact"/>
        <w:rPr>
          <w:sz w:val="20"/>
          <w:szCs w:val="20"/>
          <w:color w:val="auto"/>
        </w:rPr>
      </w:pPr>
    </w:p>
    <w:p>
      <w:pPr>
        <w:ind w:right="20" w:firstLine="656"/>
        <w:spacing w:after="0" w:line="256" w:lineRule="auto"/>
        <w:tabs>
          <w:tab w:leader="none" w:pos="1296" w:val="left"/>
        </w:tabs>
        <w:numPr>
          <w:ilvl w:val="1"/>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Exercise</w:t>
      </w:r>
      <w:r>
        <w:rPr>
          <w:rFonts w:ascii="Times New Roman" w:cs="Times New Roman" w:eastAsia="Times New Roman" w:hAnsi="Times New Roman"/>
          <w:sz w:val="19"/>
          <w:szCs w:val="19"/>
          <w:color w:val="auto"/>
        </w:rPr>
        <w:t xml:space="preserve">. The purchase rights set forth in this Agreement are exercisable by the Warrantholder, in whole or in part, at any time, or from time to time, prior to the expiration of the term set forth in Section 2, by tendering to the Company at its principal office a notice of exercise in the form attached hereto as </w:t>
      </w:r>
      <w:r>
        <w:rPr>
          <w:rFonts w:ascii="Times New Roman" w:cs="Times New Roman" w:eastAsia="Times New Roman" w:hAnsi="Times New Roman"/>
          <w:sz w:val="19"/>
          <w:szCs w:val="19"/>
          <w:u w:val="single" w:color="auto"/>
          <w:color w:val="auto"/>
        </w:rPr>
        <w:t>Exhibit I</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Notice of Exercise</w:t>
      </w:r>
      <w:r>
        <w:rPr>
          <w:rFonts w:ascii="Times New Roman" w:cs="Times New Roman" w:eastAsia="Times New Roman" w:hAnsi="Times New Roman"/>
          <w:sz w:val="19"/>
          <w:szCs w:val="19"/>
          <w:color w:val="auto"/>
        </w:rPr>
        <w:t>”), duly completed and executed. Promptly upon receipt of the Notice of Exercise and the payment of the Purchase Price in accordance with the terms set forth below, and in no event later than three (3) business days thereafter, the Company or its transfer agent shall either (i) issue to the Warrantholder a certificate for the number of shares of Common Stock purchased or</w:t>
      </w:r>
    </w:p>
    <w:p>
      <w:pPr>
        <w:ind w:right="180" w:firstLine="8"/>
        <w:spacing w:after="0" w:line="242" w:lineRule="auto"/>
        <w:tabs>
          <w:tab w:leader="none" w:pos="291"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credit the same via book entry to the Warrantholder, and the Company shall execute the acknowledgment of exercise in the form attached hereto as </w:t>
      </w:r>
      <w:r>
        <w:rPr>
          <w:rFonts w:ascii="Times New Roman" w:cs="Times New Roman" w:eastAsia="Times New Roman" w:hAnsi="Times New Roman"/>
          <w:sz w:val="20"/>
          <w:szCs w:val="20"/>
          <w:u w:val="single" w:color="auto"/>
          <w:color w:val="auto"/>
        </w:rPr>
        <w:t>Exhibit II</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Acknowledgment of Exercise</w:t>
      </w:r>
      <w:r>
        <w:rPr>
          <w:rFonts w:ascii="Times New Roman" w:cs="Times New Roman" w:eastAsia="Times New Roman" w:hAnsi="Times New Roman"/>
          <w:sz w:val="20"/>
          <w:szCs w:val="20"/>
          <w:color w:val="auto"/>
        </w:rPr>
        <w:t>”) indicating the number of shares which remain subject to future purchases under this Warrant, if any.</w:t>
      </w:r>
    </w:p>
    <w:p>
      <w:pPr>
        <w:spacing w:after="0" w:line="200" w:lineRule="exact"/>
        <w:rPr>
          <w:sz w:val="20"/>
          <w:szCs w:val="20"/>
          <w:color w:val="auto"/>
        </w:rPr>
      </w:pPr>
    </w:p>
    <w:p>
      <w:pPr>
        <w:ind w:right="300" w:firstLine="1296"/>
        <w:spacing w:after="0" w:line="246" w:lineRule="auto"/>
        <w:rPr>
          <w:sz w:val="20"/>
          <w:szCs w:val="20"/>
          <w:color w:val="auto"/>
        </w:rPr>
      </w:pPr>
      <w:r>
        <w:rPr>
          <w:rFonts w:ascii="Times New Roman" w:cs="Times New Roman" w:eastAsia="Times New Roman" w:hAnsi="Times New Roman"/>
          <w:sz w:val="20"/>
          <w:szCs w:val="20"/>
          <w:color w:val="auto"/>
        </w:rPr>
        <w:t>The Purchase Price may be paid at the Warrantholder’s election either (i) by cash or check, or (ii) by surrender of all or a portion of the Warrant for shares of Common Stock to be exercised under this Agreement and, if applicable, an amended Agreement setting forth the remaining number of shares purchasable hereunder, as determined below (“</w:t>
      </w:r>
      <w:r>
        <w:rPr>
          <w:rFonts w:ascii="Times New Roman" w:cs="Times New Roman" w:eastAsia="Times New Roman" w:hAnsi="Times New Roman"/>
          <w:sz w:val="20"/>
          <w:szCs w:val="20"/>
          <w:u w:val="single" w:color="auto"/>
          <w:color w:val="auto"/>
        </w:rPr>
        <w:t>Net Issuance</w:t>
      </w:r>
      <w:r>
        <w:rPr>
          <w:rFonts w:ascii="Times New Roman" w:cs="Times New Roman" w:eastAsia="Times New Roman" w:hAnsi="Times New Roman"/>
          <w:sz w:val="20"/>
          <w:szCs w:val="20"/>
          <w:color w:val="auto"/>
        </w:rPr>
        <w:t>”). If the Warrantholder elects the Net Issuance method, the Company will issue shares of Common Stock in accordance with the following formula:</w:t>
      </w:r>
    </w:p>
    <w:p>
      <w:pPr>
        <w:spacing w:after="0" w:line="23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39"/>
          <w:szCs w:val="39"/>
          <w:color w:val="auto"/>
          <w:vertAlign w:val="subscript"/>
        </w:rPr>
        <w:t>X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Y(A-B)</w:t>
      </w:r>
    </w:p>
    <w:p>
      <w:pPr>
        <w:ind w:left="2760"/>
        <w:spacing w:after="0"/>
        <w:rPr>
          <w:sz w:val="20"/>
          <w:szCs w:val="20"/>
          <w:color w:val="auto"/>
        </w:rPr>
      </w:pPr>
      <w:r>
        <w:rPr>
          <w:rFonts w:ascii="Times New Roman" w:cs="Times New Roman" w:eastAsia="Times New Roman" w:hAnsi="Times New Roman"/>
          <w:sz w:val="20"/>
          <w:szCs w:val="20"/>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8" w:name="page169"/>
    <w:bookmarkEnd w:id="168"/>
    <w:p>
      <w:pPr>
        <w:spacing w:after="0"/>
        <w:tabs>
          <w:tab w:leader="none" w:pos="820" w:val="left"/>
          <w:tab w:leader="none" w:pos="1460" w:val="left"/>
        </w:tabs>
        <w:rPr>
          <w:sz w:val="20"/>
          <w:szCs w:val="20"/>
          <w:color w:val="auto"/>
        </w:rPr>
      </w:pPr>
      <w:r>
        <w:rPr>
          <w:rFonts w:ascii="Times New Roman" w:cs="Times New Roman" w:eastAsia="Times New Roman" w:hAnsi="Times New Roman"/>
          <w:sz w:val="20"/>
          <w:szCs w:val="20"/>
          <w:color w:val="auto"/>
        </w:rPr>
        <w:t>Where:</w:t>
        <w:tab/>
        <w:t>X =</w:t>
      </w:r>
      <w:r>
        <w:rPr>
          <w:sz w:val="20"/>
          <w:szCs w:val="20"/>
          <w:color w:val="auto"/>
        </w:rPr>
        <w:tab/>
      </w:r>
      <w:r>
        <w:rPr>
          <w:rFonts w:ascii="Times New Roman" w:cs="Times New Roman" w:eastAsia="Times New Roman" w:hAnsi="Times New Roman"/>
          <w:sz w:val="19"/>
          <w:szCs w:val="19"/>
          <w:color w:val="auto"/>
        </w:rPr>
        <w:t>the number of shares of Common Stock to be issued to the Warrantholder</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ind w:left="840"/>
        <w:spacing w:after="0"/>
        <w:tabs>
          <w:tab w:leader="none" w:pos="1460" w:val="left"/>
        </w:tabs>
        <w:rPr>
          <w:sz w:val="20"/>
          <w:szCs w:val="20"/>
          <w:color w:val="auto"/>
        </w:rPr>
      </w:pPr>
      <w:r>
        <w:rPr>
          <w:rFonts w:ascii="Times New Roman" w:cs="Times New Roman" w:eastAsia="Times New Roman" w:hAnsi="Times New Roman"/>
          <w:sz w:val="20"/>
          <w:szCs w:val="20"/>
          <w:color w:val="auto"/>
        </w:rPr>
        <w:t>Y =</w:t>
      </w:r>
      <w:r>
        <w:rPr>
          <w:sz w:val="20"/>
          <w:szCs w:val="20"/>
          <w:color w:val="auto"/>
        </w:rPr>
        <w:tab/>
      </w:r>
      <w:r>
        <w:rPr>
          <w:rFonts w:ascii="Times New Roman" w:cs="Times New Roman" w:eastAsia="Times New Roman" w:hAnsi="Times New Roman"/>
          <w:sz w:val="19"/>
          <w:szCs w:val="19"/>
          <w:color w:val="auto"/>
        </w:rPr>
        <w:t>the number of shares of Common Stock requested to be exercised under this Agreement.</w:t>
      </w:r>
    </w:p>
    <w:p>
      <w:pPr>
        <w:spacing w:after="0" w:line="108" w:lineRule="exact"/>
        <w:rPr>
          <w:sz w:val="20"/>
          <w:szCs w:val="20"/>
          <w:color w:val="auto"/>
        </w:rPr>
      </w:pPr>
    </w:p>
    <w:p>
      <w:pPr>
        <w:ind w:left="840" w:right="620"/>
        <w:spacing w:after="0" w:line="269" w:lineRule="auto"/>
        <w:rPr>
          <w:sz w:val="20"/>
          <w:szCs w:val="20"/>
          <w:color w:val="auto"/>
        </w:rPr>
      </w:pPr>
      <w:r>
        <w:rPr>
          <w:rFonts w:ascii="Times New Roman" w:cs="Times New Roman" w:eastAsia="Times New Roman" w:hAnsi="Times New Roman"/>
          <w:sz w:val="20"/>
          <w:szCs w:val="20"/>
          <w:color w:val="auto"/>
        </w:rPr>
        <w:t>A = the then-current fair market value of one (1) share of Common Stock at the time of exercise of this Warrant.</w:t>
      </w:r>
    </w:p>
    <w:p>
      <w:pPr>
        <w:spacing w:after="0" w:line="51" w:lineRule="exact"/>
        <w:rPr>
          <w:sz w:val="20"/>
          <w:szCs w:val="20"/>
          <w:color w:val="auto"/>
        </w:rPr>
      </w:pPr>
    </w:p>
    <w:p>
      <w:pPr>
        <w:ind w:left="840"/>
        <w:spacing w:after="0"/>
        <w:tabs>
          <w:tab w:leader="none" w:pos="1460" w:val="left"/>
        </w:tabs>
        <w:rPr>
          <w:sz w:val="20"/>
          <w:szCs w:val="20"/>
          <w:color w:val="auto"/>
        </w:rPr>
      </w:pPr>
      <w:r>
        <w:rPr>
          <w:rFonts w:ascii="Times New Roman" w:cs="Times New Roman" w:eastAsia="Times New Roman" w:hAnsi="Times New Roman"/>
          <w:sz w:val="20"/>
          <w:szCs w:val="20"/>
          <w:color w:val="auto"/>
        </w:rPr>
        <w:t>B =</w:t>
      </w:r>
      <w:r>
        <w:rPr>
          <w:sz w:val="20"/>
          <w:szCs w:val="20"/>
          <w:color w:val="auto"/>
        </w:rPr>
        <w:tab/>
      </w:r>
      <w:r>
        <w:rPr>
          <w:rFonts w:ascii="Times New Roman" w:cs="Times New Roman" w:eastAsia="Times New Roman" w:hAnsi="Times New Roman"/>
          <w:sz w:val="19"/>
          <w:szCs w:val="19"/>
          <w:color w:val="auto"/>
        </w:rPr>
        <w:t>the then-effective Exercise Price.</w:t>
      </w:r>
    </w:p>
    <w:p>
      <w:pPr>
        <w:spacing w:after="0" w:line="216" w:lineRule="exact"/>
        <w:rPr>
          <w:sz w:val="20"/>
          <w:szCs w:val="20"/>
          <w:color w:val="auto"/>
        </w:rPr>
      </w:pPr>
    </w:p>
    <w:p>
      <w:pPr>
        <w:ind w:right="360" w:firstLine="648"/>
        <w:spacing w:after="0" w:line="269" w:lineRule="auto"/>
        <w:rPr>
          <w:sz w:val="20"/>
          <w:szCs w:val="20"/>
          <w:color w:val="auto"/>
        </w:rPr>
      </w:pPr>
      <w:r>
        <w:rPr>
          <w:rFonts w:ascii="Times New Roman" w:cs="Times New Roman" w:eastAsia="Times New Roman" w:hAnsi="Times New Roman"/>
          <w:sz w:val="20"/>
          <w:szCs w:val="20"/>
          <w:color w:val="auto"/>
        </w:rPr>
        <w:t>For purposes of the above calculation, the current fair market value of shares of Common Stock shall mean with respect to each share of Common Stock:</w:t>
      </w:r>
    </w:p>
    <w:p>
      <w:pPr>
        <w:spacing w:after="0" w:line="159" w:lineRule="exact"/>
        <w:rPr>
          <w:sz w:val="20"/>
          <w:szCs w:val="20"/>
          <w:color w:val="auto"/>
        </w:rPr>
      </w:pPr>
    </w:p>
    <w:p>
      <w:pPr>
        <w:ind w:right="480" w:firstLine="1304"/>
        <w:spacing w:after="0" w:line="254" w:lineRule="auto"/>
        <w:tabs>
          <w:tab w:leader="none" w:pos="194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when the Common Stock is traded on a national securities exchange, inter-dealer quotation system or over-the-counter bulletin board service, the average of the closing prices over a five (5) day period ending three days before the day the current fair market value of the securities is being determined;</w:t>
      </w:r>
    </w:p>
    <w:p>
      <w:pPr>
        <w:spacing w:after="0" w:line="174" w:lineRule="exact"/>
        <w:rPr>
          <w:rFonts w:ascii="Times New Roman" w:cs="Times New Roman" w:eastAsia="Times New Roman" w:hAnsi="Times New Roman"/>
          <w:sz w:val="20"/>
          <w:szCs w:val="20"/>
          <w:color w:val="auto"/>
        </w:rPr>
      </w:pPr>
    </w:p>
    <w:p>
      <w:pPr>
        <w:ind w:firstLine="1304"/>
        <w:spacing w:after="0" w:line="249" w:lineRule="auto"/>
        <w:tabs>
          <w:tab w:leader="none" w:pos="194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exercise is in connection with a Merger Event, the fair market value of a share of Common Stock shall be deemed to be the per share value received by the holders of the outstanding shares of Common Stock pursuant to such Merger Event as determined in accordance with the definitive transaction documents executed among the parties in connection therewith; or</w:t>
      </w:r>
    </w:p>
    <w:p>
      <w:pPr>
        <w:spacing w:after="0" w:line="179" w:lineRule="exact"/>
        <w:rPr>
          <w:rFonts w:ascii="Times New Roman" w:cs="Times New Roman" w:eastAsia="Times New Roman" w:hAnsi="Times New Roman"/>
          <w:sz w:val="20"/>
          <w:szCs w:val="20"/>
          <w:color w:val="auto"/>
        </w:rPr>
      </w:pPr>
    </w:p>
    <w:p>
      <w:pPr>
        <w:ind w:right="100" w:firstLine="1304"/>
        <w:spacing w:after="0" w:line="269" w:lineRule="auto"/>
        <w:tabs>
          <w:tab w:leader="none" w:pos="194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cases other than as described in the foregoing clauses (i) and (ii), the current fair market value of a share of Common Stock shall be determined in good faith by the Company’s Board of Directors.</w:t>
      </w:r>
    </w:p>
    <w:p>
      <w:pPr>
        <w:spacing w:after="0" w:line="159" w:lineRule="exact"/>
        <w:rPr>
          <w:sz w:val="20"/>
          <w:szCs w:val="20"/>
          <w:color w:val="auto"/>
        </w:rPr>
      </w:pPr>
    </w:p>
    <w:p>
      <w:pPr>
        <w:ind w:right="20" w:firstLine="1296"/>
        <w:spacing w:after="0" w:line="249" w:lineRule="auto"/>
        <w:rPr>
          <w:sz w:val="20"/>
          <w:szCs w:val="20"/>
          <w:color w:val="auto"/>
        </w:rPr>
      </w:pPr>
      <w:r>
        <w:rPr>
          <w:rFonts w:ascii="Times New Roman" w:cs="Times New Roman" w:eastAsia="Times New Roman" w:hAnsi="Times New Roman"/>
          <w:sz w:val="20"/>
          <w:szCs w:val="20"/>
          <w:color w:val="auto"/>
        </w:rPr>
        <w:t>Upon partial exercise by either cash or Net Issuance, prior to the expiration or earlier termination hereof, the Company shall promptly issue an amended Agreement representing the remaining number of shares purchasable hereunder. All other terms and conditions of such amended Agreement shall be identical to those contained herein, including, but not limited to the date hereof.</w:t>
      </w:r>
    </w:p>
    <w:p>
      <w:pPr>
        <w:spacing w:after="0" w:line="180" w:lineRule="exact"/>
        <w:rPr>
          <w:sz w:val="20"/>
          <w:szCs w:val="20"/>
          <w:color w:val="auto"/>
        </w:rPr>
      </w:pPr>
    </w:p>
    <w:p>
      <w:pPr>
        <w:ind w:right="40" w:firstLine="656"/>
        <w:spacing w:after="0" w:line="242" w:lineRule="auto"/>
        <w:tabs>
          <w:tab w:leader="none" w:pos="129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Prior to Expiration</w:t>
      </w:r>
      <w:r>
        <w:rPr>
          <w:rFonts w:ascii="Times New Roman" w:cs="Times New Roman" w:eastAsia="Times New Roman" w:hAnsi="Times New Roman"/>
          <w:sz w:val="20"/>
          <w:szCs w:val="20"/>
          <w:color w:val="auto"/>
        </w:rPr>
        <w:t>. To the extent this Warrant is not previously exercised as to all shares of Common Stock subject hereto, and if the then-current fair market value of one share of Common Stock is greater than the Exercise Price then in effect, or, in the case of a Liquid Sale, where the value per share of Common Stock (as determined as of the closing of such Liquid Sale in accordance with the definitive agreements executed by the parties in connection with such Merger Event) to be paid to the holders thereof is greater than the Exercise Price then in effect, this Agreement shall be deemed automatically exercised on a Net Issuance basis pursuant to Section 3(a) (even if not surrendered) as of immediately before its expiration determined in accordance with Section 2. For purposes of such automatic exercise, the fair market value of one share of Common Stock upon such expiration shall be determined pursuant to Section 3(a). To the extent this Warrant or any portion hereof is deemed automatically exercised pursuant to this Section 3(b), the Company agrees to promptly notify the Warrantholder of the number of shares of Common Stock if any, the Warrantholder is to receive by reason of such automatic exercise, and to issue or cause its transfer agent to issue a certificate or a book-entry credit to the Warrantholder evidencing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30" w:right="1019" w:bottom="1440" w:gutter="0" w:footer="0" w:header="0"/>
        </w:sectPr>
      </w:pPr>
    </w:p>
    <w:bookmarkStart w:id="169" w:name="page170"/>
    <w:bookmarkEnd w:id="169"/>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19"/>
          <w:szCs w:val="19"/>
          <w:color w:val="auto"/>
        </w:rPr>
        <w:t>RESERVATION OF SHARES.</w:t>
      </w:r>
    </w:p>
    <w:p>
      <w:pPr>
        <w:spacing w:after="0" w:line="220" w:lineRule="exact"/>
        <w:rPr>
          <w:sz w:val="20"/>
          <w:szCs w:val="20"/>
          <w:color w:val="auto"/>
        </w:rPr>
      </w:pPr>
    </w:p>
    <w:p>
      <w:pPr>
        <w:ind w:right="40" w:firstLine="1296"/>
        <w:spacing w:after="0" w:line="245" w:lineRule="auto"/>
        <w:rPr>
          <w:sz w:val="20"/>
          <w:szCs w:val="20"/>
          <w:color w:val="auto"/>
        </w:rPr>
      </w:pPr>
      <w:r>
        <w:rPr>
          <w:rFonts w:ascii="Times New Roman" w:cs="Times New Roman" w:eastAsia="Times New Roman" w:hAnsi="Times New Roman"/>
          <w:sz w:val="20"/>
          <w:szCs w:val="20"/>
          <w:color w:val="auto"/>
        </w:rPr>
        <w:t>During the term of this Agreement, the Company will at all times have authorized and reserved a sufficient number of shares of its Common Stock to provide for the exercise of the rights to purchase Common Stock as provided for herein. If at any time during the term hereof the number of authorized but unissued shares of Common Stock shall not be sufficient to permit exercise of this Warrant in full, the Company will take such corporate action as may, in the opinion of its counsel, be necessary to increase its authorized but unissued shares of Common Stock to such number of shares as shall be sufficient for such purposes.</w:t>
      </w:r>
    </w:p>
    <w:p>
      <w:pPr>
        <w:spacing w:after="0" w:line="18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19"/>
          <w:szCs w:val="19"/>
          <w:color w:val="auto"/>
        </w:rPr>
        <w:t>NO FRACTIONAL SHARES OR SCRIP.</w:t>
      </w:r>
    </w:p>
    <w:p>
      <w:pPr>
        <w:spacing w:after="0" w:line="220" w:lineRule="exact"/>
        <w:rPr>
          <w:sz w:val="20"/>
          <w:szCs w:val="20"/>
          <w:color w:val="auto"/>
        </w:rPr>
      </w:pPr>
    </w:p>
    <w:p>
      <w:pPr>
        <w:ind w:right="120" w:firstLine="1296"/>
        <w:spacing w:after="0" w:line="254" w:lineRule="auto"/>
        <w:rPr>
          <w:sz w:val="20"/>
          <w:szCs w:val="20"/>
          <w:color w:val="auto"/>
        </w:rPr>
      </w:pPr>
      <w:r>
        <w:rPr>
          <w:rFonts w:ascii="Times New Roman" w:cs="Times New Roman" w:eastAsia="Times New Roman" w:hAnsi="Times New Roman"/>
          <w:sz w:val="20"/>
          <w:szCs w:val="20"/>
          <w:color w:val="auto"/>
        </w:rPr>
        <w:t>No fractional shares or scrip representing fractional shares shall be issued upon the exercise of this Agreement, but in lieu of such fractional shares the Company shall make a cash payment therefor in an amount equal to the product of (a) the Exercise Price then in effect multiplied by (b) the fraction of a share.</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6.</w:t>
      </w:r>
      <w:r>
        <w:rPr>
          <w:sz w:val="20"/>
          <w:szCs w:val="20"/>
          <w:color w:val="auto"/>
        </w:rPr>
        <w:tab/>
      </w:r>
      <w:r>
        <w:rPr>
          <w:rFonts w:ascii="Times New Roman" w:cs="Times New Roman" w:eastAsia="Times New Roman" w:hAnsi="Times New Roman"/>
          <w:sz w:val="19"/>
          <w:szCs w:val="19"/>
          <w:color w:val="auto"/>
        </w:rPr>
        <w:t>NO RIGHTS AS SHAREHOLDER/STOCKHOLDER.</w:t>
      </w:r>
    </w:p>
    <w:p>
      <w:pPr>
        <w:spacing w:after="0" w:line="220"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20"/>
          <w:szCs w:val="20"/>
          <w:color w:val="auto"/>
        </w:rPr>
        <w:t>Without limitation of any provision hereof, the Warrantholder agrees that this Agreement does not entitle the Warrantholder to any voting rights or other rights as a shareholder/stockholder of the Company prior to the exercise of any of the purchase rights set forth in this Agreement.</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7.</w:t>
      </w:r>
      <w:r>
        <w:rPr>
          <w:sz w:val="20"/>
          <w:szCs w:val="20"/>
          <w:color w:val="auto"/>
        </w:rPr>
        <w:tab/>
      </w:r>
      <w:r>
        <w:rPr>
          <w:rFonts w:ascii="Times New Roman" w:cs="Times New Roman" w:eastAsia="Times New Roman" w:hAnsi="Times New Roman"/>
          <w:sz w:val="19"/>
          <w:szCs w:val="19"/>
          <w:color w:val="auto"/>
        </w:rPr>
        <w:t>WARRANTHOLDER REGISTRY.</w:t>
      </w:r>
    </w:p>
    <w:p>
      <w:pPr>
        <w:spacing w:after="0" w:line="220" w:lineRule="exact"/>
        <w:rPr>
          <w:sz w:val="20"/>
          <w:szCs w:val="20"/>
          <w:color w:val="auto"/>
        </w:rPr>
      </w:pPr>
    </w:p>
    <w:p>
      <w:pPr>
        <w:ind w:right="500" w:firstLine="1296"/>
        <w:spacing w:after="0" w:line="254" w:lineRule="auto"/>
        <w:rPr>
          <w:sz w:val="20"/>
          <w:szCs w:val="20"/>
          <w:color w:val="auto"/>
        </w:rPr>
      </w:pPr>
      <w:r>
        <w:rPr>
          <w:rFonts w:ascii="Times New Roman" w:cs="Times New Roman" w:eastAsia="Times New Roman" w:hAnsi="Times New Roman"/>
          <w:sz w:val="20"/>
          <w:szCs w:val="20"/>
          <w:color w:val="auto"/>
        </w:rPr>
        <w:t>The Company shall maintain a registry showing the name and address of the registered holder of this Agreement. The Warrantholder’s initial address, for purposes of such registry, is set forth in Section 12(g) below. The Warrantholder may change such address by giving written notice of such changed address to the Company.</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8.</w:t>
      </w:r>
      <w:r>
        <w:rPr>
          <w:sz w:val="20"/>
          <w:szCs w:val="20"/>
          <w:color w:val="auto"/>
        </w:rPr>
        <w:tab/>
      </w:r>
      <w:r>
        <w:rPr>
          <w:rFonts w:ascii="Times New Roman" w:cs="Times New Roman" w:eastAsia="Times New Roman" w:hAnsi="Times New Roman"/>
          <w:sz w:val="19"/>
          <w:szCs w:val="19"/>
          <w:color w:val="auto"/>
        </w:rPr>
        <w:t>ADJUSTMENT RIGHTS.</w:t>
      </w:r>
    </w:p>
    <w:p>
      <w:pPr>
        <w:spacing w:after="0" w:line="220" w:lineRule="exact"/>
        <w:rPr>
          <w:sz w:val="20"/>
          <w:szCs w:val="20"/>
          <w:color w:val="auto"/>
        </w:rPr>
      </w:pPr>
    </w:p>
    <w:p>
      <w:pPr>
        <w:ind w:right="620" w:firstLine="1296"/>
        <w:spacing w:after="0" w:line="269" w:lineRule="auto"/>
        <w:rPr>
          <w:sz w:val="20"/>
          <w:szCs w:val="20"/>
          <w:color w:val="auto"/>
        </w:rPr>
      </w:pPr>
      <w:r>
        <w:rPr>
          <w:rFonts w:ascii="Times New Roman" w:cs="Times New Roman" w:eastAsia="Times New Roman" w:hAnsi="Times New Roman"/>
          <w:sz w:val="20"/>
          <w:szCs w:val="20"/>
          <w:color w:val="auto"/>
        </w:rPr>
        <w:t>The Exercise Price and the number of shares of Common Stock purchasable hereunder are subject to adjustment from time to time, as follows:</w:t>
      </w:r>
    </w:p>
    <w:p>
      <w:pPr>
        <w:spacing w:after="0" w:line="159" w:lineRule="exact"/>
        <w:rPr>
          <w:sz w:val="20"/>
          <w:szCs w:val="20"/>
          <w:color w:val="auto"/>
        </w:rPr>
      </w:pPr>
    </w:p>
    <w:p>
      <w:pPr>
        <w:ind w:right="40" w:firstLine="1304"/>
        <w:spacing w:after="0" w:line="241" w:lineRule="auto"/>
        <w:tabs>
          <w:tab w:leader="none" w:pos="194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Merger Event</w:t>
      </w:r>
      <w:r>
        <w:rPr>
          <w:rFonts w:ascii="Times New Roman" w:cs="Times New Roman" w:eastAsia="Times New Roman" w:hAnsi="Times New Roman"/>
          <w:sz w:val="20"/>
          <w:szCs w:val="20"/>
          <w:color w:val="auto"/>
        </w:rPr>
        <w:t>. In connection with a Merger Event that is a Liquid Sale, this Warrant shall, on and after the closing thereof, automatically and without further action on the part of any party or other person, represent the right to receive the consideration payable on or in respect of all shares of Common Stock that are issuable hereunder as of immediately prior to the closing of such Merger Event less the Purchase Price for all such shares of Common Stock (such consideration to include both the consideration payable at the closing of such Merger Event and all deferred consideration payable thereafter, if any, including, but not limited to, payments of amounts deposited at such closing into escrow and payments in the nature of earn-outs, milestone payments or other performance-based payments), and such Merger Event consideration shall be paid to the Warrantholder as and when it is paid to the holders of the outstanding shares of Common Stock. In connection with a Merger Event that is not a Liquid Sale, the Company shall cause the successor or surviving entity to assume this Warrant and the obligations of the Company hereunder on the closing thereof, and thereafter this Warrant shall be exercisable for the same number and type of securities or other property as the Warrantholder would have received in consideration for the shares of Common Stock issuable hereunder had it exercised this Warrant in full as of immediately prior to such closing, at an aggregate Exercise Price no greater than the aggregate Exercise Price in effect as of immediately prior to such closing, and subject to further adjustment from time to time in accordance with the provisions of this Warrant. The provisions of this Section 8(a) shall similarly apply to successive Merger Events.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42" w:right="1019" w:bottom="1440" w:gutter="0" w:footer="0" w:header="0"/>
        </w:sectPr>
      </w:pPr>
    </w:p>
    <w:bookmarkStart w:id="170" w:name="page171"/>
    <w:bookmarkEnd w:id="170"/>
    <w:p>
      <w:pPr>
        <w:ind w:left="-40" w:firstLine="1304"/>
        <w:spacing w:after="0" w:line="243" w:lineRule="auto"/>
        <w:tabs>
          <w:tab w:leader="none" w:pos="190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Reclassification of Shares</w:t>
      </w:r>
      <w:r>
        <w:rPr>
          <w:rFonts w:ascii="Times New Roman" w:cs="Times New Roman" w:eastAsia="Times New Roman" w:hAnsi="Times New Roman"/>
          <w:sz w:val="20"/>
          <w:szCs w:val="20"/>
          <w:color w:val="auto"/>
        </w:rPr>
        <w:t>. Except for Merger Events subject to Section 8(a), if the Company at any time shall, by combination, reclassification, exchange or subdivision of securities or otherwise, change any of the securities as to which purchase rights under this Agreement exist into the same or a different number of securities of any other class or classes of securities, this Agreement shall thereafter represent the right to acquire such number and kind of securities as would have been issuable as the result of such change with respect to the securities which were subject to the purchase rights under this Agreement immediately prior to such combination, reclassification, exchange, subdivision or other change. The provisions of this Section 8(b) shall similarly apply to successive combination, reclassification, exchange, subdivision or other change.</w:t>
      </w:r>
    </w:p>
    <w:p>
      <w:pPr>
        <w:spacing w:after="0" w:line="188" w:lineRule="exact"/>
        <w:rPr>
          <w:rFonts w:ascii="Times New Roman" w:cs="Times New Roman" w:eastAsia="Times New Roman" w:hAnsi="Times New Roman"/>
          <w:sz w:val="20"/>
          <w:szCs w:val="20"/>
          <w:color w:val="auto"/>
        </w:rPr>
      </w:pPr>
    </w:p>
    <w:p>
      <w:pPr>
        <w:ind w:left="-40" w:right="180" w:firstLine="1304"/>
        <w:spacing w:after="0" w:line="246" w:lineRule="auto"/>
        <w:tabs>
          <w:tab w:leader="none" w:pos="190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Subdivision or Combination of Shares</w:t>
      </w:r>
      <w:r>
        <w:rPr>
          <w:rFonts w:ascii="Times New Roman" w:cs="Times New Roman" w:eastAsia="Times New Roman" w:hAnsi="Times New Roman"/>
          <w:sz w:val="20"/>
          <w:szCs w:val="20"/>
          <w:color w:val="auto"/>
        </w:rPr>
        <w:t>. If the Company at any time shall combine or subdivide its Common Stock, (i) in the case of a subdivision, the Exercise Price shall be proportionately decreased and the number of shares for which this Warrant is exercisable shall be proportionately increased, or (ii) in the case of a combination, the Exercise Price shall be proportionately increased and the number of shares for which this Warrant is exercisable shall be proportionately decreased.</w:t>
      </w:r>
    </w:p>
    <w:p>
      <w:pPr>
        <w:spacing w:after="0" w:line="184" w:lineRule="exact"/>
        <w:rPr>
          <w:rFonts w:ascii="Times New Roman" w:cs="Times New Roman" w:eastAsia="Times New Roman" w:hAnsi="Times New Roman"/>
          <w:sz w:val="20"/>
          <w:szCs w:val="20"/>
          <w:color w:val="auto"/>
        </w:rPr>
      </w:pPr>
    </w:p>
    <w:p>
      <w:pPr>
        <w:ind w:left="1920" w:hanging="656"/>
        <w:spacing w:after="0"/>
        <w:tabs>
          <w:tab w:leader="none" w:pos="192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 If the Company at any time while this Agreement is outstanding and unexpired shall:</w:t>
      </w:r>
    </w:p>
    <w:p>
      <w:pPr>
        <w:spacing w:after="0" w:line="215" w:lineRule="exact"/>
        <w:rPr>
          <w:rFonts w:ascii="Times New Roman" w:cs="Times New Roman" w:eastAsia="Times New Roman" w:hAnsi="Times New Roman"/>
          <w:sz w:val="20"/>
          <w:szCs w:val="20"/>
          <w:color w:val="auto"/>
        </w:rPr>
      </w:pPr>
    </w:p>
    <w:p>
      <w:pPr>
        <w:ind w:left="-40" w:right="40" w:firstLine="1952"/>
        <w:spacing w:after="0" w:line="244" w:lineRule="auto"/>
        <w:tabs>
          <w:tab w:leader="none" w:pos="2552"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a dividend with respect to the Common Stock payable in additional shares of Common Stock, then the Exercise Price shall be adjusted, from and after the date of determination of stockholders entitled to receive such dividend, to that price determined by multiplying the Exercise Price in effect immediately prior to such date of determination by a fraction (A) the numerator of which shall be the total number of shares of Common Stock outstanding immediately prior to such dividend or distribution, and (B) the denominator of which shall be the total number of shares of Common Stock outstanding immediately after such dividend or distribution, and the number of shares of Common Stock for which this Warrant is exercisable shall be proportionately increased; or</w:t>
      </w:r>
    </w:p>
    <w:p>
      <w:pPr>
        <w:spacing w:after="0" w:line="185" w:lineRule="exact"/>
        <w:rPr>
          <w:rFonts w:ascii="Times New Roman" w:cs="Times New Roman" w:eastAsia="Times New Roman" w:hAnsi="Times New Roman"/>
          <w:sz w:val="20"/>
          <w:szCs w:val="20"/>
          <w:color w:val="auto"/>
        </w:rPr>
      </w:pPr>
    </w:p>
    <w:p>
      <w:pPr>
        <w:ind w:left="-40" w:right="240" w:firstLine="1952"/>
        <w:spacing w:after="0" w:line="245" w:lineRule="auto"/>
        <w:tabs>
          <w:tab w:leader="none" w:pos="2552"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other dividend or distribution on or with respect to Common Stock, except any dividend or distribution specifically provided for in any other clause of this Section 8, then, in each such case, provision shall be made by the Company such that the Warrantholder shall receive upon exercise or conversion of this Warrant a proportionate share of any such dividend or distribution as though it were the holder of the Common Stock (or other stock for which the Common Stock is convertible) as of the record date fixed for the determination of the stockholders of the Company entitled to receive such dividend or distribution.</w:t>
      </w:r>
    </w:p>
    <w:p>
      <w:pPr>
        <w:spacing w:after="0" w:line="184" w:lineRule="exact"/>
        <w:rPr>
          <w:rFonts w:ascii="Times New Roman" w:cs="Times New Roman" w:eastAsia="Times New Roman" w:hAnsi="Times New Roman"/>
          <w:sz w:val="20"/>
          <w:szCs w:val="20"/>
          <w:color w:val="auto"/>
        </w:rPr>
      </w:pPr>
    </w:p>
    <w:p>
      <w:pPr>
        <w:ind w:left="-40" w:right="100" w:firstLine="1304"/>
        <w:spacing w:after="0" w:line="242" w:lineRule="auto"/>
        <w:tabs>
          <w:tab w:leader="none" w:pos="190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Certain Events</w:t>
      </w:r>
      <w:r>
        <w:rPr>
          <w:rFonts w:ascii="Times New Roman" w:cs="Times New Roman" w:eastAsia="Times New Roman" w:hAnsi="Times New Roman"/>
          <w:sz w:val="20"/>
          <w:szCs w:val="20"/>
          <w:color w:val="auto"/>
        </w:rPr>
        <w:t>. If: (i) the Company shall declare any dividend or distribution upon its outstanding Common Stock, payable in stock, cash, property or other securities (provided that the Warrantholder in its capacity as lender under the Loan Agreement consents to such dividend); (ii) the Company shall offer for subscription pro rata to the holders of its Common Stock any additional shares of stock of any class or other rights; (iii) there shall be any Merger Event; or (iv) there shall be any voluntary dissolution, liquidation or winding up of the Company; then, in connection with each such event, the Company shall give the Warrantholder notice thereof at the same time and in the same manner as it gives notice thereof to the holders of outstanding Common Stock. In addition, if at any time the number of shares of Common Stock (or other securities of any other class or classes of securities of the Company for which this Warrant is then exercisable) outstanding is reduced such that the number of shares of Common Stock or other securities issuable upon exercise of this Warrant shall exceed five percent (5%) of the then outstanding class of such securities, then, within three (3) business days of such event, the Company shall give the Warrantholder written notice thereof.</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356870</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1020" w:top="118" w:right="1019" w:bottom="1440" w:gutter="0" w:footer="0" w:header="0"/>
        </w:sectPr>
      </w:pPr>
    </w:p>
    <w:bookmarkStart w:id="171" w:name="page172"/>
    <w:bookmarkEnd w:id="171"/>
    <w:p>
      <w:pPr>
        <w:ind w:left="652"/>
        <w:spacing w:after="0"/>
        <w:tabs>
          <w:tab w:leader="none" w:pos="2411" w:val="left"/>
        </w:tabs>
        <w:rPr>
          <w:sz w:val="20"/>
          <w:szCs w:val="20"/>
          <w:color w:val="auto"/>
        </w:rPr>
      </w:pPr>
      <w:r>
        <w:rPr>
          <w:rFonts w:ascii="Times New Roman" w:cs="Times New Roman" w:eastAsia="Times New Roman" w:hAnsi="Times New Roman"/>
          <w:sz w:val="20"/>
          <w:szCs w:val="20"/>
          <w:b w:val="1"/>
          <w:bCs w:val="1"/>
          <w:color w:val="auto"/>
        </w:rPr>
        <w:t>SECTION 9.</w:t>
      </w:r>
      <w:r>
        <w:rPr>
          <w:sz w:val="20"/>
          <w:szCs w:val="20"/>
          <w:color w:val="auto"/>
        </w:rPr>
        <w:tab/>
      </w:r>
      <w:r>
        <w:rPr>
          <w:rFonts w:ascii="Times New Roman" w:cs="Times New Roman" w:eastAsia="Times New Roman" w:hAnsi="Times New Roman"/>
          <w:sz w:val="19"/>
          <w:szCs w:val="19"/>
          <w:color w:val="auto"/>
        </w:rPr>
        <w:t>REPRESENTATIONS, WARRANTIES AND COVENANTS OF THE COMPANY.</w:t>
      </w:r>
    </w:p>
    <w:p>
      <w:pPr>
        <w:spacing w:after="0" w:line="219" w:lineRule="exact"/>
        <w:rPr>
          <w:sz w:val="20"/>
          <w:szCs w:val="20"/>
          <w:color w:val="auto"/>
        </w:rPr>
      </w:pPr>
    </w:p>
    <w:p>
      <w:pPr>
        <w:ind w:left="-8" w:right="40" w:firstLine="656"/>
        <w:spacing w:after="0" w:line="242" w:lineRule="auto"/>
        <w:tabs>
          <w:tab w:leader="none" w:pos="964"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Reservation of Common Stock</w:t>
      </w:r>
      <w:r>
        <w:rPr>
          <w:rFonts w:ascii="Times New Roman" w:cs="Times New Roman" w:eastAsia="Times New Roman" w:hAnsi="Times New Roman"/>
          <w:sz w:val="20"/>
          <w:szCs w:val="20"/>
          <w:color w:val="auto"/>
        </w:rPr>
        <w:t>. The Company covenants and agrees that all shares of Common Stock that may be issued upon the exercise of the rights represented by this Warrant will, upon issuance, be validly issued and outstanding, fully paid and non-assessable, and will be free of any taxes, liens, charges or encumbrances of any nature whatsoever; provided, that the Common Stock issuable pursuant to this Agreement may be subject to restrictions on transfer under state and/or federal securities laws. The Company has made available to the Warrantholder true, correct and complete copies of its Charter and bylaws currently in effect. The issuance of certificates or book-entry credit for shares of Common Stock upon exercise of this Warrant shall be made without charge to the Warrantholder for any issuance tax in respect thereof, or other cost incurred by the Company in connection with such exercise and related issuance of shares of Common Stock. The Company further covenants and agrees that the Company will, at all times during the term hereof, have authorized and reserved, free from preemptive rights, a sufficient number of shares of Common Stock to provide for the exercise of the rights represented by this Warrant.</w:t>
      </w:r>
    </w:p>
    <w:p>
      <w:pPr>
        <w:spacing w:after="0" w:line="189" w:lineRule="exact"/>
        <w:rPr>
          <w:rFonts w:ascii="Times New Roman" w:cs="Times New Roman" w:eastAsia="Times New Roman" w:hAnsi="Times New Roman"/>
          <w:sz w:val="20"/>
          <w:szCs w:val="20"/>
          <w:color w:val="auto"/>
        </w:rPr>
      </w:pPr>
    </w:p>
    <w:p>
      <w:pPr>
        <w:jc w:val="both"/>
        <w:ind w:left="-8" w:right="140" w:firstLine="656"/>
        <w:spacing w:after="0" w:line="260" w:lineRule="auto"/>
        <w:tabs>
          <w:tab w:leader="none" w:pos="964"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Due Authority</w:t>
      </w:r>
      <w:r>
        <w:rPr>
          <w:rFonts w:ascii="Times New Roman" w:cs="Times New Roman" w:eastAsia="Times New Roman" w:hAnsi="Times New Roman"/>
          <w:sz w:val="19"/>
          <w:szCs w:val="19"/>
          <w:color w:val="auto"/>
        </w:rPr>
        <w:t>. The execution and delivery by the Company of this Agreement and the performance of all obligations of the Company hereunder, including the issuance to the Warrantholder of the right to acquire the shares of Common Stock, have been duly authorized by all necessary corporate action on the part of the Company. This Agreement:</w:t>
      </w:r>
    </w:p>
    <w:p>
      <w:pPr>
        <w:ind w:left="-8" w:firstLine="8"/>
        <w:spacing w:after="0"/>
        <w:tabs>
          <w:tab w:leader="none" w:pos="228"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violate the Charter or the Company’s current bylaws; (ii) does not contravene any law or governmental rule, regulation or order applicable to the Company; and (iii) except as could not reasonably be expected to have a Material Adverse Effect (as defined in the Loan Agreement), does not and will not contravene any provision of, or constitute a default under, any indenture, mortgage, contract or other instrument to which the Company is a party or by which it is bound. This Agreement constitutes a legal, valid and binding agreement of the Company, enforceable in accordance with its terms, except as may be limited by bankruptcy, insolvency, reorganization, moratorium or similar laws relating to or affecting creditors’ rights generally (including, without limitation, fraudulent conveyance laws) and by general principles of equity, regardless of whether considered in a proceeding in equity or at law.</w:t>
      </w:r>
    </w:p>
    <w:p>
      <w:pPr>
        <w:spacing w:after="0" w:line="190" w:lineRule="exact"/>
        <w:rPr>
          <w:rFonts w:ascii="Times New Roman" w:cs="Times New Roman" w:eastAsia="Times New Roman" w:hAnsi="Times New Roman"/>
          <w:sz w:val="20"/>
          <w:szCs w:val="20"/>
          <w:color w:val="auto"/>
        </w:rPr>
      </w:pPr>
    </w:p>
    <w:p>
      <w:pPr>
        <w:ind w:left="-8" w:firstLine="656"/>
        <w:spacing w:after="0" w:line="246" w:lineRule="auto"/>
        <w:tabs>
          <w:tab w:leader="none" w:pos="964"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Consents and Approvals</w:t>
      </w:r>
      <w:r>
        <w:rPr>
          <w:rFonts w:ascii="Times New Roman" w:cs="Times New Roman" w:eastAsia="Times New Roman" w:hAnsi="Times New Roman"/>
          <w:sz w:val="20"/>
          <w:szCs w:val="20"/>
          <w:color w:val="auto"/>
        </w:rPr>
        <w:t>. No consent or approval of, giving of notice to, registration with, or taking of any other action in respect of any state, federal or other governmental authority or agency is required with respect to the execution, delivery and performance by the Company of its obligations under this Agreement, except for the filing of notices pursuant to Regulation D under the Act and any filing required by applicable state securities law, which filings will be effective by the time required thereby.</w:t>
      </w:r>
    </w:p>
    <w:p>
      <w:pPr>
        <w:spacing w:after="0" w:line="184" w:lineRule="exact"/>
        <w:rPr>
          <w:rFonts w:ascii="Times New Roman" w:cs="Times New Roman" w:eastAsia="Times New Roman" w:hAnsi="Times New Roman"/>
          <w:sz w:val="20"/>
          <w:szCs w:val="20"/>
          <w:color w:val="auto"/>
        </w:rPr>
      </w:pPr>
    </w:p>
    <w:p>
      <w:pPr>
        <w:ind w:left="-8" w:right="100" w:firstLine="656"/>
        <w:spacing w:after="0" w:line="249" w:lineRule="auto"/>
        <w:tabs>
          <w:tab w:leader="none" w:pos="964"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Exempt Transaction</w:t>
      </w:r>
      <w:r>
        <w:rPr>
          <w:rFonts w:ascii="Times New Roman" w:cs="Times New Roman" w:eastAsia="Times New Roman" w:hAnsi="Times New Roman"/>
          <w:sz w:val="20"/>
          <w:szCs w:val="20"/>
          <w:color w:val="auto"/>
        </w:rPr>
        <w:t>. Subject to the accuracy of the Warrantholder’s representations in Section 10, the issuance of the Common Stock upon exercise of this Agreement will constitute a transaction exempt from (i) the registration requirements of Section 5 of the Act, in reliance upon Section 4(a)(2) thereof, and (ii) the qualification requirements of the applicable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92"/>
          </w:cols>
          <w:pgMar w:left="988" w:top="114" w:right="1019" w:bottom="1440" w:gutter="0" w:footer="0" w:header="0"/>
        </w:sectPr>
      </w:pPr>
    </w:p>
    <w:bookmarkStart w:id="172" w:name="page173"/>
    <w:bookmarkEnd w:id="172"/>
    <w:p>
      <w:pPr>
        <w:ind w:right="20" w:firstLine="656"/>
        <w:spacing w:after="0" w:line="258" w:lineRule="auto"/>
        <w:tabs>
          <w:tab w:leader="none" w:pos="972"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Information Rights</w:t>
      </w:r>
      <w:r>
        <w:rPr>
          <w:rFonts w:ascii="Times New Roman" w:cs="Times New Roman" w:eastAsia="Times New Roman" w:hAnsi="Times New Roman"/>
          <w:sz w:val="19"/>
          <w:szCs w:val="19"/>
          <w:color w:val="auto"/>
        </w:rPr>
        <w:t>. At all times (if any) prior to the earlier to occur of (x) the date on which all shares of Common Stock issued on exercise of this Warrant have been sold, or (y) the expiration or earlier termination of this Warrant, when the Company shall not be required to file reports pursuant to Section 13 or 15(d) of the Exchange Act or shall not have timely filed all such required reports, the Warrantholder shall be entitled to the information rights contained in Section 7.1(b)</w:t>
      </w:r>
    </w:p>
    <w:p>
      <w:pPr>
        <w:ind w:right="100"/>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(f) of the Loan Agreement, and in any such event Section 7.1(b) – (f) of the Loan Agreement is hereby incorporated into this Agreement by this reference as though fully set forth herein, provided, however, that the Company shall not be required to deliver a Compliance Certificate once all Indebtedness (as defined in the Loan Agreement) owed by the Company and its Subsidiaries to Warrantholder has been repaid.</w:t>
      </w:r>
    </w:p>
    <w:p>
      <w:pPr>
        <w:spacing w:after="0" w:line="188" w:lineRule="exact"/>
        <w:rPr>
          <w:rFonts w:ascii="Times New Roman" w:cs="Times New Roman" w:eastAsia="Times New Roman" w:hAnsi="Times New Roman"/>
          <w:sz w:val="19"/>
          <w:szCs w:val="19"/>
          <w:color w:val="auto"/>
        </w:rPr>
      </w:pPr>
    </w:p>
    <w:p>
      <w:pPr>
        <w:ind w:right="100" w:firstLine="656"/>
        <w:spacing w:after="0" w:line="242" w:lineRule="auto"/>
        <w:tabs>
          <w:tab w:leader="none" w:pos="972"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of Shares</w:t>
      </w:r>
      <w:r>
        <w:rPr>
          <w:rFonts w:ascii="Times New Roman" w:cs="Times New Roman" w:eastAsia="Times New Roman" w:hAnsi="Times New Roman"/>
          <w:sz w:val="20"/>
          <w:szCs w:val="20"/>
          <w:color w:val="auto"/>
        </w:rPr>
        <w:t xml:space="preserve">. If the Company proposes to register (including, for this purpose, a registration effected by the Company for the sale by the Company of its securities and/or the resale of securities of the Company by security holders other than the Warrantholder) the sale or resale of any of its Common Shares or other securities under the Act in connection with the public offering of such securities (other than in an Excluded Registration), the Company shall cause to be registered all of the Registrable Securities in such registration. The Company shall have the right to terminate or withdraw any registration initiated by it under this Section 9(f) before the effective date of such registration,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Company’s obligations to register the Registrable Securities under this Section 9(f) in any subsequent registration (other than in an Excluded Registration) shall continue following any such termination or withdrawal. All fees and expenses incident to the Company’s performance of or compliance with its obligations under this Section 9(f) (excluding any underwriting discounts and selling commissions) shall be borne by the Company.</w:t>
      </w:r>
    </w:p>
    <w:p>
      <w:pPr>
        <w:spacing w:after="0" w:line="192" w:lineRule="exact"/>
        <w:rPr>
          <w:rFonts w:ascii="Times New Roman" w:cs="Times New Roman" w:eastAsia="Times New Roman" w:hAnsi="Times New Roman"/>
          <w:sz w:val="20"/>
          <w:szCs w:val="20"/>
          <w:color w:val="auto"/>
        </w:rPr>
      </w:pPr>
    </w:p>
    <w:p>
      <w:pPr>
        <w:ind w:firstLine="656"/>
        <w:spacing w:after="0" w:line="242" w:lineRule="auto"/>
        <w:tabs>
          <w:tab w:leader="none" w:pos="972"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Rule 144 Compliance</w:t>
      </w:r>
      <w:r>
        <w:rPr>
          <w:rFonts w:ascii="Times New Roman" w:cs="Times New Roman" w:eastAsia="Times New Roman" w:hAnsi="Times New Roman"/>
          <w:sz w:val="20"/>
          <w:szCs w:val="20"/>
          <w:color w:val="auto"/>
        </w:rPr>
        <w:t>. The Company shall, at all times prior to the earlier to occur of (i) the date of sale or other disposition by Warrantholder of this Warrant or all shares of Common Stock issued on exercise of this Warrant, (ii) the registration pursuant to subsection (f) above of the shares issued on exercise of this Warrant, or (iii) the expiration or earlier termination of this Warrant if the Warrant has not been exercised in full or in part on such date, use all commercially reasonable efforts to timely file all reports required under the Exchange Act and otherwise timely take all actions necessary to permit the Warrantholder to sell or otherwise dispose of this Warrant and the shares of Common Stock issued on exercise hereof pursuant to Rule 144 promulgated under the Act (“Rule 144”), provided that the foregoing shall not apply in the event of a Merger Event following which the successor or surviving entity is not subject to the reporting requirements of the Exchange Act. If the Warrantholder proposes to sell Common Stock issuable upon the exercise of this Agreement in compliance with Rule 144, then, upon the Warrantholder’s written request to the Company, the Company shall furnish to the Warrantholder, within five (5) business days after receipt of such request, a written statement confirming the Company’s compliance with the filing and other requirements of such Rule 144.</w:t>
      </w:r>
    </w:p>
    <w:p>
      <w:pPr>
        <w:spacing w:after="0" w:line="183" w:lineRule="exact"/>
        <w:rPr>
          <w:sz w:val="20"/>
          <w:szCs w:val="20"/>
          <w:color w:val="auto"/>
        </w:rPr>
      </w:pPr>
    </w:p>
    <w:p>
      <w:pPr>
        <w:ind w:left="66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10.</w:t>
      </w:r>
      <w:r>
        <w:rPr>
          <w:sz w:val="20"/>
          <w:szCs w:val="20"/>
          <w:color w:val="auto"/>
        </w:rPr>
        <w:tab/>
      </w:r>
      <w:r>
        <w:rPr>
          <w:rFonts w:ascii="Times New Roman" w:cs="Times New Roman" w:eastAsia="Times New Roman" w:hAnsi="Times New Roman"/>
          <w:sz w:val="19"/>
          <w:szCs w:val="19"/>
          <w:color w:val="auto"/>
        </w:rPr>
        <w:t>REPRESENTATIONS AND COVENANTS OF THE WARRANTHOLDER.</w:t>
      </w:r>
    </w:p>
    <w:p>
      <w:pPr>
        <w:spacing w:after="0" w:line="220" w:lineRule="exact"/>
        <w:rPr>
          <w:sz w:val="20"/>
          <w:szCs w:val="20"/>
          <w:color w:val="auto"/>
        </w:rPr>
      </w:pPr>
    </w:p>
    <w:p>
      <w:pPr>
        <w:ind w:right="240" w:firstLine="1296"/>
        <w:spacing w:after="0" w:line="269" w:lineRule="auto"/>
        <w:rPr>
          <w:sz w:val="20"/>
          <w:szCs w:val="20"/>
          <w:color w:val="auto"/>
        </w:rPr>
      </w:pPr>
      <w:r>
        <w:rPr>
          <w:rFonts w:ascii="Times New Roman" w:cs="Times New Roman" w:eastAsia="Times New Roman" w:hAnsi="Times New Roman"/>
          <w:sz w:val="20"/>
          <w:szCs w:val="20"/>
          <w:color w:val="auto"/>
        </w:rPr>
        <w:t>This Agreement has been entered into by the Company in reliance upon the following representations and covenants of the Warrantholder:</w:t>
      </w:r>
    </w:p>
    <w:p>
      <w:pPr>
        <w:spacing w:after="0" w:line="159" w:lineRule="exact"/>
        <w:rPr>
          <w:sz w:val="20"/>
          <w:szCs w:val="20"/>
          <w:color w:val="auto"/>
        </w:rPr>
      </w:pPr>
    </w:p>
    <w:p>
      <w:pPr>
        <w:jc w:val="both"/>
        <w:ind w:right="120" w:firstLine="656"/>
        <w:spacing w:after="0" w:line="249" w:lineRule="auto"/>
        <w:tabs>
          <w:tab w:leader="none" w:pos="972"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Investment Purpose</w:t>
      </w:r>
      <w:r>
        <w:rPr>
          <w:rFonts w:ascii="Times New Roman" w:cs="Times New Roman" w:eastAsia="Times New Roman" w:hAnsi="Times New Roman"/>
          <w:sz w:val="20"/>
          <w:szCs w:val="20"/>
          <w:color w:val="auto"/>
        </w:rPr>
        <w:t>. This Warrant and the shares issued on exercise hereof will be acquired for investment and not with a view to the sale or distribution of any part thereof in violation of applicable federal and state securities laws, and the Warrantholder has no present intention of selling or engaging in any public distribution of the same except pursuant to a registration or exemption.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173" w:name="page174"/>
    <w:bookmarkEnd w:id="173"/>
    <w:p>
      <w:pPr>
        <w:ind w:right="120" w:firstLine="656"/>
        <w:spacing w:after="0" w:line="249" w:lineRule="auto"/>
        <w:tabs>
          <w:tab w:leader="none" w:pos="97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Private Issue</w:t>
      </w:r>
      <w:r>
        <w:rPr>
          <w:rFonts w:ascii="Times New Roman" w:cs="Times New Roman" w:eastAsia="Times New Roman" w:hAnsi="Times New Roman"/>
          <w:sz w:val="20"/>
          <w:szCs w:val="20"/>
          <w:color w:val="auto"/>
        </w:rPr>
        <w:t>. The Warrantholder understands that (i) the Common Stock issuable upon exercise of this Agreement is not, as of the Original Issue or Effective Date, registered under the Act or qualified under applicable state securities laws, and (ii) the Company’s reliance on exemption from such registration is predicated on the representations set forth in this Section 10.</w:t>
      </w:r>
    </w:p>
    <w:p>
      <w:pPr>
        <w:spacing w:after="0" w:line="179" w:lineRule="exact"/>
        <w:rPr>
          <w:rFonts w:ascii="Times New Roman" w:cs="Times New Roman" w:eastAsia="Times New Roman" w:hAnsi="Times New Roman"/>
          <w:sz w:val="20"/>
          <w:szCs w:val="20"/>
          <w:color w:val="auto"/>
        </w:rPr>
      </w:pPr>
    </w:p>
    <w:p>
      <w:pPr>
        <w:ind w:right="220" w:firstLine="656"/>
        <w:spacing w:after="0" w:line="254" w:lineRule="auto"/>
        <w:tabs>
          <w:tab w:leader="none" w:pos="97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Risk</w:t>
      </w:r>
      <w:r>
        <w:rPr>
          <w:rFonts w:ascii="Times New Roman" w:cs="Times New Roman" w:eastAsia="Times New Roman" w:hAnsi="Times New Roman"/>
          <w:sz w:val="20"/>
          <w:szCs w:val="20"/>
          <w:color w:val="auto"/>
        </w:rPr>
        <w:t>. The Warrantholder has such knowledge and experience­ in financial and business matters as to be capable of evaluating the merits and risks of its investment, and has the ability to bear the economic risks of its investment.</w:t>
      </w:r>
    </w:p>
    <w:p>
      <w:pPr>
        <w:spacing w:after="0" w:line="174" w:lineRule="exact"/>
        <w:rPr>
          <w:rFonts w:ascii="Times New Roman" w:cs="Times New Roman" w:eastAsia="Times New Roman" w:hAnsi="Times New Roman"/>
          <w:sz w:val="20"/>
          <w:szCs w:val="20"/>
          <w:color w:val="auto"/>
        </w:rPr>
      </w:pPr>
    </w:p>
    <w:p>
      <w:pPr>
        <w:ind w:right="820" w:firstLine="656"/>
        <w:spacing w:after="0" w:line="269" w:lineRule="auto"/>
        <w:tabs>
          <w:tab w:leader="none" w:pos="97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Accredited Investor</w:t>
      </w:r>
      <w:r>
        <w:rPr>
          <w:rFonts w:ascii="Times New Roman" w:cs="Times New Roman" w:eastAsia="Times New Roman" w:hAnsi="Times New Roman"/>
          <w:sz w:val="20"/>
          <w:szCs w:val="20"/>
          <w:color w:val="auto"/>
        </w:rPr>
        <w:t>. The Warrantholder is an “accredited investor” within the meaning of Rule 501 of Regulation D promulgated under the Act, as presently in effect (“Regulation D”).</w:t>
      </w:r>
    </w:p>
    <w:p>
      <w:pPr>
        <w:spacing w:after="0" w:line="159" w:lineRule="exact"/>
        <w:rPr>
          <w:rFonts w:ascii="Times New Roman" w:cs="Times New Roman" w:eastAsia="Times New Roman" w:hAnsi="Times New Roman"/>
          <w:sz w:val="20"/>
          <w:szCs w:val="20"/>
          <w:color w:val="auto"/>
        </w:rPr>
      </w:pPr>
    </w:p>
    <w:p>
      <w:pPr>
        <w:ind w:right="80" w:firstLine="656"/>
        <w:spacing w:after="0" w:line="249" w:lineRule="auto"/>
        <w:tabs>
          <w:tab w:leader="none" w:pos="97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Short Sales</w:t>
      </w:r>
      <w:r>
        <w:rPr>
          <w:rFonts w:ascii="Times New Roman" w:cs="Times New Roman" w:eastAsia="Times New Roman" w:hAnsi="Times New Roman"/>
          <w:sz w:val="20"/>
          <w:szCs w:val="20"/>
          <w:color w:val="auto"/>
        </w:rPr>
        <w:t>. The Warrantholder has not at any time on or prior to the Original Issue or Effective Date engaged in any short sales or equivalent transactions in the Common Stock. Warrantholder agrees that at all times from and after the Effective Date and on or before the expiration or earlier termination of this Warrant, it shall not engage in any short sales or equivalent transactions in the Common Stock.</w:t>
      </w:r>
    </w:p>
    <w:p>
      <w:pPr>
        <w:spacing w:after="0" w:line="1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 xml:space="preserve">SECTION 11. </w:t>
      </w:r>
      <w:r>
        <w:rPr>
          <w:rFonts w:ascii="Times New Roman" w:cs="Times New Roman" w:eastAsia="Times New Roman" w:hAnsi="Times New Roman"/>
          <w:sz w:val="20"/>
          <w:szCs w:val="20"/>
          <w:color w:val="auto"/>
        </w:rPr>
        <w:t>TRANSFERS.</w:t>
      </w:r>
    </w:p>
    <w:p>
      <w:pPr>
        <w:spacing w:after="0" w:line="220" w:lineRule="exact"/>
        <w:rPr>
          <w:sz w:val="20"/>
          <w:szCs w:val="20"/>
          <w:color w:val="auto"/>
        </w:rPr>
      </w:pPr>
    </w:p>
    <w:p>
      <w:pPr>
        <w:ind w:right="80" w:firstLine="1296"/>
        <w:spacing w:after="0" w:line="241" w:lineRule="auto"/>
        <w:rPr>
          <w:sz w:val="20"/>
          <w:szCs w:val="20"/>
          <w:color w:val="auto"/>
        </w:rPr>
      </w:pPr>
      <w:r>
        <w:rPr>
          <w:rFonts w:ascii="Times New Roman" w:cs="Times New Roman" w:eastAsia="Times New Roman" w:hAnsi="Times New Roman"/>
          <w:sz w:val="20"/>
          <w:szCs w:val="20"/>
          <w:color w:val="auto"/>
        </w:rPr>
        <w:t>Subject to compliance with applicable federal and state securities laws, this Agreement and all rights hereunder are transferable, in whole or in part, without charge to the holder hereof (except for transfer taxes) upon surrender of this Agreement properly endorsed. Each taker and holder of this Agreement, by taking or holding the same, consents and agrees that this Agreement, when endorsed in blank, shall be deemed negotiable, and that the holder hereof, when this Agreement shall have been so endorsed and its transfer recorded on the Company’s books, shall be treated by the Company and all other persons dealing with this Agreement as the absolute owner hereof for any purpose and as the person entitled to exercise the rights represented by this Agreement. The transfer of this Agreement shall be recorded on the books of the Company upon receipt by the Company of a notice of transfer in the form attached hereto as Exhibit III (the “</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at its principal offices and the payment to the Company of all transfer taxes and other governmental charges imposed on such transfer. Until the Company receives such Transfer Notice, the Company may treat the registered owner hereof as the owner for all purposes. Notwithstanding anything herein or in any legend to the contrary, the Company shall not require an opinion of counsel in connection with any sale, assignment or other transfer by the Warrantholder of this Warrant (or any portion hereof or any interest herein) or of any shares of Common Stock issued upon any exercise hereof to an affiliate (as defined in Regulation D) of the Warrantholder, provided that such affiliate is an “accredited investor” as defined in Regulation D.</w:t>
      </w:r>
    </w:p>
    <w:p>
      <w:pPr>
        <w:spacing w:after="0" w:line="19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 xml:space="preserve">SECTION 12. </w:t>
      </w:r>
      <w:r>
        <w:rPr>
          <w:rFonts w:ascii="Times New Roman" w:cs="Times New Roman" w:eastAsia="Times New Roman" w:hAnsi="Times New Roman"/>
          <w:sz w:val="20"/>
          <w:szCs w:val="20"/>
          <w:color w:val="auto"/>
        </w:rPr>
        <w:t>MISCELLANEOUS.</w:t>
      </w:r>
    </w:p>
    <w:p>
      <w:pPr>
        <w:spacing w:after="0" w:line="220" w:lineRule="exact"/>
        <w:rPr>
          <w:sz w:val="20"/>
          <w:szCs w:val="20"/>
          <w:color w:val="auto"/>
        </w:rPr>
      </w:pPr>
    </w:p>
    <w:p>
      <w:pPr>
        <w:ind w:right="520" w:firstLine="656"/>
        <w:spacing w:after="0" w:line="254" w:lineRule="auto"/>
        <w:tabs>
          <w:tab w:leader="none" w:pos="972"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Original Issue Date</w:t>
      </w:r>
      <w:r>
        <w:rPr>
          <w:rFonts w:ascii="Times New Roman" w:cs="Times New Roman" w:eastAsia="Times New Roman" w:hAnsi="Times New Roman"/>
          <w:sz w:val="20"/>
          <w:szCs w:val="20"/>
          <w:color w:val="auto"/>
        </w:rPr>
        <w:t>. The provisions of this Agreement shall be construed and shall be given effect in all respects as if it had been executed and delivered by the Company on the Original Issue Date. This Agreement shall be binding upon any successors or assigns of the Company.</w:t>
      </w:r>
    </w:p>
    <w:p>
      <w:pPr>
        <w:spacing w:after="0" w:line="174" w:lineRule="exact"/>
        <w:rPr>
          <w:rFonts w:ascii="Times New Roman" w:cs="Times New Roman" w:eastAsia="Times New Roman" w:hAnsi="Times New Roman"/>
          <w:sz w:val="20"/>
          <w:szCs w:val="20"/>
          <w:color w:val="auto"/>
        </w:rPr>
      </w:pPr>
    </w:p>
    <w:p>
      <w:pPr>
        <w:ind w:firstLine="656"/>
        <w:spacing w:after="0" w:line="249" w:lineRule="auto"/>
        <w:tabs>
          <w:tab w:leader="none" w:pos="972"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In the event of any default hereunder, the non-defaulting party may proceed to protect and enforce its rights either by suit in equity and/or by action at law, including but not limited to an action for damages as a result of any such default, and/or an action for specific performance for any default where the Warrantholder will not have an adequate remedy at law and where damages will not be readily ascertainable.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174" w:name="page175"/>
    <w:bookmarkEnd w:id="174"/>
    <w:p>
      <w:pPr>
        <w:jc w:val="both"/>
        <w:ind w:left="-8" w:right="280" w:firstLine="656"/>
        <w:spacing w:after="0" w:line="249" w:lineRule="auto"/>
        <w:tabs>
          <w:tab w:leader="none" w:pos="964"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Impairment of Rights</w:t>
      </w:r>
      <w:r>
        <w:rPr>
          <w:rFonts w:ascii="Times New Roman" w:cs="Times New Roman" w:eastAsia="Times New Roman" w:hAnsi="Times New Roman"/>
          <w:sz w:val="20"/>
          <w:szCs w:val="20"/>
          <w:color w:val="auto"/>
        </w:rPr>
        <w:t>. The Company will not, by amendment of its Charter or through any other means, avoid or seek to avoid the observance or performance of any of the terms of this Agreement, but will at all times in good faith assist in the carrying out of all such terms and in the taking of all such actions as may be necessary or appropriate in order to protect the rights of the Warrantholder against impairment.</w:t>
      </w:r>
    </w:p>
    <w:p>
      <w:pPr>
        <w:spacing w:after="0" w:line="179" w:lineRule="exact"/>
        <w:rPr>
          <w:rFonts w:ascii="Times New Roman" w:cs="Times New Roman" w:eastAsia="Times New Roman" w:hAnsi="Times New Roman"/>
          <w:sz w:val="20"/>
          <w:szCs w:val="20"/>
          <w:color w:val="auto"/>
        </w:rPr>
      </w:pPr>
    </w:p>
    <w:p>
      <w:pPr>
        <w:ind w:left="-8" w:right="200" w:firstLine="656"/>
        <w:spacing w:after="0" w:line="269" w:lineRule="auto"/>
        <w:tabs>
          <w:tab w:leader="none" w:pos="964"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Documents</w:t>
      </w:r>
      <w:r>
        <w:rPr>
          <w:rFonts w:ascii="Times New Roman" w:cs="Times New Roman" w:eastAsia="Times New Roman" w:hAnsi="Times New Roman"/>
          <w:sz w:val="20"/>
          <w:szCs w:val="20"/>
          <w:color w:val="auto"/>
        </w:rPr>
        <w:t>. The Company agrees to supply such other documents as the Warrantholder may from time to time reasonably request.</w:t>
      </w:r>
    </w:p>
    <w:p>
      <w:pPr>
        <w:spacing w:after="0" w:line="159" w:lineRule="exact"/>
        <w:rPr>
          <w:rFonts w:ascii="Times New Roman" w:cs="Times New Roman" w:eastAsia="Times New Roman" w:hAnsi="Times New Roman"/>
          <w:sz w:val="20"/>
          <w:szCs w:val="20"/>
          <w:color w:val="auto"/>
        </w:rPr>
      </w:pPr>
    </w:p>
    <w:p>
      <w:pPr>
        <w:ind w:left="-8" w:firstLine="656"/>
        <w:spacing w:after="0" w:line="244" w:lineRule="auto"/>
        <w:tabs>
          <w:tab w:leader="none" w:pos="964"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Attorneys’ Fees</w:t>
      </w:r>
      <w:r>
        <w:rPr>
          <w:rFonts w:ascii="Times New Roman" w:cs="Times New Roman" w:eastAsia="Times New Roman" w:hAnsi="Times New Roman"/>
          <w:sz w:val="20"/>
          <w:szCs w:val="20"/>
          <w:color w:val="auto"/>
        </w:rPr>
        <w:t>. In any litigation, arbitration or court proceeding between the Company and the Warrantholder relating hereto, the prevailing party shall be entitled to attorneys’ fees and expenses and all costs of proceedings incurred in enforcing this Agreement. For the purposes of this Section 12(e), attorneys’ fees shall include without limitation fees incurred in connection with the following: (i) contempt proceedings; (ii) discovery; (iii) any motion, proceeding or other activity of any kind in connection with an insolvency proceeding; (iv) garnishment, levy, and debtor and third party examinations; and (v) post-judgment motions and proceedings of any kind, including without limitation any activity taken to collect or enforce any judgment.</w:t>
      </w:r>
    </w:p>
    <w:p>
      <w:pPr>
        <w:spacing w:after="0" w:line="185" w:lineRule="exact"/>
        <w:rPr>
          <w:rFonts w:ascii="Times New Roman" w:cs="Times New Roman" w:eastAsia="Times New Roman" w:hAnsi="Times New Roman"/>
          <w:sz w:val="20"/>
          <w:szCs w:val="20"/>
          <w:color w:val="auto"/>
        </w:rPr>
      </w:pPr>
    </w:p>
    <w:p>
      <w:pPr>
        <w:ind w:left="-8" w:right="100" w:firstLine="656"/>
        <w:spacing w:after="0" w:line="249" w:lineRule="auto"/>
        <w:tabs>
          <w:tab w:leader="none" w:pos="964"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any one or more of the provisions of this Agreement shall for any reason be held invalid, illegal or unenforceable, the remaining provisions of this Agreement shall be unimpaired, and the invalid, illegal or unenforceable provision shall be replaced by a mutually acceptable valid, legal and enforceable provision, which comes closest to the intention of the parties underlying the invalid, illegal or unenforceable provision.</w:t>
      </w:r>
    </w:p>
    <w:p>
      <w:pPr>
        <w:spacing w:after="0" w:line="179" w:lineRule="exact"/>
        <w:rPr>
          <w:rFonts w:ascii="Times New Roman" w:cs="Times New Roman" w:eastAsia="Times New Roman" w:hAnsi="Times New Roman"/>
          <w:sz w:val="20"/>
          <w:szCs w:val="20"/>
          <w:color w:val="auto"/>
        </w:rPr>
      </w:pPr>
    </w:p>
    <w:p>
      <w:pPr>
        <w:ind w:left="-8" w:right="20" w:firstLine="656"/>
        <w:spacing w:after="0" w:line="256" w:lineRule="auto"/>
        <w:tabs>
          <w:tab w:leader="none" w:pos="964" w:val="left"/>
        </w:tabs>
        <w:numPr>
          <w:ilvl w:val="1"/>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Except as otherwise provided herein, any notice, demand, request, consent, approval, declaration, service of process or other communication that is required, contemplated, or permitted under this Agreement or with respect to the subject matter hereof shall be in writing, and shall be deemed to have been validly served, given, delivered, and received upon the earlier of: (i) personal delivery to the party to be notified, (ii) when sent by confirmed telex, electronic transmission or facsimile if sent during normal business hours of the recipient, if not, then on the next business day, (iii) five</w:t>
      </w:r>
    </w:p>
    <w:p>
      <w:pPr>
        <w:spacing w:after="0" w:line="4" w:lineRule="exact"/>
        <w:rPr>
          <w:rFonts w:ascii="Times New Roman" w:cs="Times New Roman" w:eastAsia="Times New Roman" w:hAnsi="Times New Roman"/>
          <w:sz w:val="19"/>
          <w:szCs w:val="19"/>
          <w:color w:val="auto"/>
        </w:rPr>
      </w:pPr>
    </w:p>
    <w:p>
      <w:pPr>
        <w:jc w:val="both"/>
        <w:ind w:left="-8" w:right="40" w:firstLine="8"/>
        <w:spacing w:after="0" w:line="242" w:lineRule="auto"/>
        <w:tabs>
          <w:tab w:leader="none" w:pos="272"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having been sent by registered or certified mail, return receipt requested, postage prepaid, or (iv) one day after deposit with a nationally recognized overnight courier, specifying next day delivery, with written verification of receipt, and shall be addressed to the party to be notified as follows:</w:t>
      </w:r>
    </w:p>
    <w:p>
      <w:pPr>
        <w:spacing w:after="0" w:line="18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0"/>
          <w:szCs w:val="20"/>
          <w:color w:val="auto"/>
        </w:rPr>
        <w:t>If to the Warrantholder:</w:t>
      </w:r>
    </w:p>
    <w:p>
      <w:pPr>
        <w:spacing w:after="0" w:line="216"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20"/>
          <w:szCs w:val="20"/>
          <w:color w:val="auto"/>
        </w:rPr>
        <w:t>HERCULES CAPITAL, INC.</w:t>
      </w:r>
    </w:p>
    <w:p>
      <w:pPr>
        <w:spacing w:after="0" w:line="21"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20"/>
          <w:szCs w:val="20"/>
          <w:color w:val="auto"/>
        </w:rPr>
        <w:t>Legal Department</w:t>
      </w:r>
    </w:p>
    <w:p>
      <w:pPr>
        <w:ind w:left="2592"/>
        <w:spacing w:after="0"/>
        <w:rPr>
          <w:sz w:val="20"/>
          <w:szCs w:val="20"/>
          <w:color w:val="auto"/>
        </w:rPr>
      </w:pPr>
      <w:r>
        <w:rPr>
          <w:rFonts w:ascii="Times New Roman" w:cs="Times New Roman" w:eastAsia="Times New Roman" w:hAnsi="Times New Roman"/>
          <w:sz w:val="20"/>
          <w:szCs w:val="20"/>
          <w:color w:val="auto"/>
        </w:rPr>
        <w:t>Attention: Chief Legal Officer and Michael Dutra and John Miotti</w:t>
      </w:r>
    </w:p>
    <w:p>
      <w:pPr>
        <w:ind w:left="2592"/>
        <w:spacing w:after="0"/>
        <w:rPr>
          <w:sz w:val="20"/>
          <w:szCs w:val="20"/>
          <w:color w:val="auto"/>
        </w:rPr>
      </w:pPr>
      <w:r>
        <w:rPr>
          <w:rFonts w:ascii="Times New Roman" w:cs="Times New Roman" w:eastAsia="Times New Roman" w:hAnsi="Times New Roman"/>
          <w:sz w:val="20"/>
          <w:szCs w:val="20"/>
          <w:color w:val="auto"/>
        </w:rPr>
        <w:t>400 Hamilton Avenue, Suite 310</w:t>
      </w:r>
    </w:p>
    <w:p>
      <w:pPr>
        <w:ind w:left="2592"/>
        <w:spacing w:after="0"/>
        <w:rPr>
          <w:sz w:val="20"/>
          <w:szCs w:val="20"/>
          <w:color w:val="auto"/>
        </w:rPr>
      </w:pPr>
      <w:r>
        <w:rPr>
          <w:rFonts w:ascii="Times New Roman" w:cs="Times New Roman" w:eastAsia="Times New Roman" w:hAnsi="Times New Roman"/>
          <w:sz w:val="20"/>
          <w:szCs w:val="20"/>
          <w:color w:val="auto"/>
        </w:rPr>
        <w:t>Palo Alto, CA 94301</w:t>
      </w:r>
    </w:p>
    <w:p>
      <w:pPr>
        <w:ind w:left="2592"/>
        <w:spacing w:after="0"/>
        <w:rPr>
          <w:sz w:val="20"/>
          <w:szCs w:val="20"/>
          <w:color w:val="auto"/>
        </w:rPr>
      </w:pPr>
      <w:r>
        <w:rPr>
          <w:rFonts w:ascii="Times New Roman" w:cs="Times New Roman" w:eastAsia="Times New Roman" w:hAnsi="Times New Roman"/>
          <w:sz w:val="20"/>
          <w:szCs w:val="20"/>
          <w:color w:val="auto"/>
        </w:rPr>
        <w:t>Facsimile: 650-473-9194</w:t>
      </w:r>
    </w:p>
    <w:p>
      <w:pPr>
        <w:ind w:left="2592"/>
        <w:spacing w:after="0"/>
        <w:rPr>
          <w:sz w:val="20"/>
          <w:szCs w:val="20"/>
          <w:color w:val="auto"/>
        </w:rPr>
      </w:pPr>
      <w:r>
        <w:rPr>
          <w:rFonts w:ascii="Times New Roman" w:cs="Times New Roman" w:eastAsia="Times New Roman" w:hAnsi="Times New Roman"/>
          <w:sz w:val="20"/>
          <w:szCs w:val="20"/>
          <w:color w:val="auto"/>
        </w:rPr>
        <w:t>Telephone: 650-289-3060</w:t>
      </w:r>
    </w:p>
    <w:p>
      <w:pPr>
        <w:ind w:left="2592"/>
        <w:spacing w:after="0"/>
        <w:rPr>
          <w:sz w:val="20"/>
          <w:szCs w:val="20"/>
          <w:color w:val="auto"/>
        </w:rPr>
      </w:pPr>
      <w:r>
        <w:rPr>
          <w:rFonts w:ascii="Times New Roman" w:cs="Times New Roman" w:eastAsia="Times New Roman" w:hAnsi="Times New Roman"/>
          <w:sz w:val="20"/>
          <w:szCs w:val="20"/>
          <w:color w:val="auto"/>
        </w:rPr>
        <w:t>Email : legal@herculestech.com; mdutra@htgc.com; jmiotti@htgc.com</w:t>
      </w:r>
    </w:p>
    <w:p>
      <w:pPr>
        <w:spacing w:after="0" w:line="194"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 xml:space="preserve">With </w:t>
      </w:r>
      <w:r>
        <w:rPr>
          <w:rFonts w:ascii="Times New Roman" w:cs="Times New Roman" w:eastAsia="Times New Roman" w:hAnsi="Times New Roman"/>
          <w:sz w:val="19"/>
          <w:szCs w:val="19"/>
          <w:color w:val="auto"/>
        </w:rPr>
        <w:t>a copy to:</w:t>
      </w:r>
    </w:p>
    <w:p>
      <w:pPr>
        <w:spacing w:after="0" w:line="241"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20"/>
          <w:szCs w:val="20"/>
          <w:color w:val="auto"/>
        </w:rPr>
        <w:t>LATHAM &amp; WATKINS</w:t>
      </w:r>
    </w:p>
    <w:p>
      <w:pPr>
        <w:spacing w:after="0" w:line="21"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20"/>
          <w:szCs w:val="20"/>
          <w:color w:val="auto"/>
        </w:rPr>
        <w:t>Attn: Haim Zaltzman</w:t>
      </w:r>
    </w:p>
    <w:p>
      <w:pPr>
        <w:ind w:left="2592"/>
        <w:spacing w:after="0"/>
        <w:rPr>
          <w:sz w:val="20"/>
          <w:szCs w:val="20"/>
          <w:color w:val="auto"/>
        </w:rPr>
      </w:pPr>
      <w:r>
        <w:rPr>
          <w:rFonts w:ascii="Times New Roman" w:cs="Times New Roman" w:eastAsia="Times New Roman" w:hAnsi="Times New Roman"/>
          <w:sz w:val="20"/>
          <w:szCs w:val="20"/>
          <w:color w:val="auto"/>
        </w:rPr>
        <w:t>505 Montgomery Street, Suite 2000</w:t>
      </w:r>
    </w:p>
    <w:p>
      <w:pPr>
        <w:ind w:left="2592"/>
        <w:spacing w:after="0"/>
        <w:rPr>
          <w:sz w:val="20"/>
          <w:szCs w:val="20"/>
          <w:color w:val="auto"/>
        </w:rPr>
      </w:pPr>
      <w:r>
        <w:rPr>
          <w:rFonts w:ascii="Times New Roman" w:cs="Times New Roman" w:eastAsia="Times New Roman" w:hAnsi="Times New Roman"/>
          <w:sz w:val="20"/>
          <w:szCs w:val="20"/>
          <w:color w:val="auto"/>
        </w:rPr>
        <w:t>San Francisco, CA 94111</w:t>
      </w:r>
    </w:p>
    <w:p>
      <w:pPr>
        <w:ind w:left="2592"/>
        <w:spacing w:after="0"/>
        <w:rPr>
          <w:sz w:val="20"/>
          <w:szCs w:val="20"/>
          <w:color w:val="auto"/>
        </w:rPr>
      </w:pPr>
      <w:r>
        <w:rPr>
          <w:rFonts w:ascii="Times New Roman" w:cs="Times New Roman" w:eastAsia="Times New Roman" w:hAnsi="Times New Roman"/>
          <w:sz w:val="20"/>
          <w:szCs w:val="20"/>
          <w:color w:val="auto"/>
        </w:rPr>
        <w:t>Facsimile: (415) 395-8095</w:t>
      </w:r>
    </w:p>
    <w:p>
      <w:pPr>
        <w:ind w:left="2592"/>
        <w:spacing w:after="0"/>
        <w:rPr>
          <w:sz w:val="20"/>
          <w:szCs w:val="20"/>
          <w:color w:val="auto"/>
        </w:rPr>
      </w:pPr>
      <w:r>
        <w:rPr>
          <w:rFonts w:ascii="Times New Roman" w:cs="Times New Roman" w:eastAsia="Times New Roman" w:hAnsi="Times New Roman"/>
          <w:sz w:val="20"/>
          <w:szCs w:val="20"/>
          <w:color w:val="auto"/>
        </w:rPr>
        <w:t>Telephone: (415) 395-8870</w:t>
      </w:r>
    </w:p>
    <w:p>
      <w:pPr>
        <w:ind w:left="2592"/>
        <w:spacing w:after="0"/>
        <w:rPr>
          <w:sz w:val="20"/>
          <w:szCs w:val="20"/>
          <w:color w:val="auto"/>
        </w:rPr>
      </w:pPr>
      <w:r>
        <w:rPr>
          <w:rFonts w:ascii="Times New Roman" w:cs="Times New Roman" w:eastAsia="Times New Roman" w:hAnsi="Times New Roman"/>
          <w:sz w:val="20"/>
          <w:szCs w:val="20"/>
          <w:color w:val="auto"/>
        </w:rPr>
        <w:t>Email: haim.zaltzman@lw.com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72"/>
          </w:cols>
          <w:pgMar w:left="988" w:top="346" w:right="1039" w:bottom="1440" w:gutter="0" w:footer="0" w:header="0"/>
        </w:sectPr>
      </w:pPr>
    </w:p>
    <w:bookmarkStart w:id="175" w:name="page176"/>
    <w:bookmarkEnd w:id="175"/>
    <w:p>
      <w:pPr>
        <w:ind w:left="1300"/>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2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TG THERAPEUTICS, INC.</w:t>
      </w:r>
    </w:p>
    <w:p>
      <w:pPr>
        <w:spacing w:after="0" w:line="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Attention: Sean Power, Chief Financial Officer</w:t>
      </w:r>
    </w:p>
    <w:p>
      <w:pPr>
        <w:ind w:left="2600"/>
        <w:spacing w:after="0" w:line="184" w:lineRule="auto"/>
        <w:rPr>
          <w:sz w:val="20"/>
          <w:szCs w:val="20"/>
          <w:color w:val="auto"/>
        </w:rPr>
      </w:pPr>
      <w:r>
        <w:rPr>
          <w:rFonts w:ascii="Times New Roman" w:cs="Times New Roman" w:eastAsia="Times New Roman" w:hAnsi="Times New Roman"/>
          <w:sz w:val="18"/>
          <w:szCs w:val="18"/>
          <w:color w:val="auto"/>
        </w:rPr>
        <w:t>2 Gansevoort St., 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ind w:left="2600"/>
        <w:spacing w:after="0"/>
        <w:rPr>
          <w:sz w:val="20"/>
          <w:szCs w:val="20"/>
          <w:color w:val="auto"/>
        </w:rPr>
      </w:pPr>
      <w:r>
        <w:rPr>
          <w:rFonts w:ascii="Times New Roman" w:cs="Times New Roman" w:eastAsia="Times New Roman" w:hAnsi="Times New Roman"/>
          <w:sz w:val="20"/>
          <w:szCs w:val="20"/>
          <w:color w:val="auto"/>
        </w:rPr>
        <w:t>New York, NY 10014</w:t>
      </w:r>
    </w:p>
    <w:p>
      <w:pPr>
        <w:ind w:left="2600"/>
        <w:spacing w:after="0"/>
        <w:rPr>
          <w:sz w:val="20"/>
          <w:szCs w:val="20"/>
          <w:color w:val="auto"/>
        </w:rPr>
      </w:pPr>
      <w:r>
        <w:rPr>
          <w:rFonts w:ascii="Times New Roman" w:cs="Times New Roman" w:eastAsia="Times New Roman" w:hAnsi="Times New Roman"/>
          <w:sz w:val="20"/>
          <w:szCs w:val="20"/>
          <w:color w:val="auto"/>
        </w:rPr>
        <w:t>Telephone: (212)-554-4484</w:t>
      </w:r>
    </w:p>
    <w:p>
      <w:pPr>
        <w:ind w:left="2600"/>
        <w:spacing w:after="0"/>
        <w:rPr>
          <w:sz w:val="20"/>
          <w:szCs w:val="20"/>
          <w:color w:val="auto"/>
        </w:rPr>
      </w:pPr>
      <w:r>
        <w:rPr>
          <w:rFonts w:ascii="Times New Roman" w:cs="Times New Roman" w:eastAsia="Times New Roman" w:hAnsi="Times New Roman"/>
          <w:sz w:val="20"/>
          <w:szCs w:val="20"/>
          <w:color w:val="auto"/>
        </w:rPr>
        <w:t>Email: sp@tgtxinc.com</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or to such other address as each party may designate for itself by like notice.</w:t>
      </w:r>
    </w:p>
    <w:p>
      <w:pPr>
        <w:spacing w:after="0" w:line="216" w:lineRule="exact"/>
        <w:rPr>
          <w:sz w:val="20"/>
          <w:szCs w:val="20"/>
          <w:color w:val="auto"/>
        </w:rPr>
      </w:pPr>
    </w:p>
    <w:p>
      <w:pPr>
        <w:ind w:right="180" w:firstLine="656"/>
        <w:spacing w:after="0" w:line="246" w:lineRule="auto"/>
        <w:tabs>
          <w:tab w:leader="none" w:pos="972"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 Amendments</w:t>
      </w:r>
      <w:r>
        <w:rPr>
          <w:rFonts w:ascii="Times New Roman" w:cs="Times New Roman" w:eastAsia="Times New Roman" w:hAnsi="Times New Roman"/>
          <w:sz w:val="20"/>
          <w:szCs w:val="20"/>
          <w:color w:val="auto"/>
        </w:rPr>
        <w:t>. This Agreement constitutes the entire agreement and understanding of the parties hereto in respect of the subject matter hereof, and supersedes and replaces in their entirety any prior proposals, term sheets, letters, negotiations or other documents or agreements, whether written or oral, with respect to the subject matter hereof. None of the terms of this Agreement may be amended except by an instrument executed by each of the parties hereto.</w:t>
      </w:r>
    </w:p>
    <w:p>
      <w:pPr>
        <w:spacing w:after="0" w:line="184" w:lineRule="exact"/>
        <w:rPr>
          <w:rFonts w:ascii="Times New Roman" w:cs="Times New Roman" w:eastAsia="Times New Roman" w:hAnsi="Times New Roman"/>
          <w:sz w:val="20"/>
          <w:szCs w:val="20"/>
          <w:color w:val="auto"/>
        </w:rPr>
      </w:pPr>
    </w:p>
    <w:p>
      <w:pPr>
        <w:ind w:right="360" w:firstLine="656"/>
        <w:spacing w:after="0" w:line="269" w:lineRule="auto"/>
        <w:tabs>
          <w:tab w:leader="none" w:pos="972"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various headings in this Agreement are inserted for convenience only and shall not affect the meaning or interpretation of this Agreement or any provisions hereof.</w:t>
      </w:r>
    </w:p>
    <w:p>
      <w:pPr>
        <w:spacing w:after="0" w:line="159" w:lineRule="exact"/>
        <w:rPr>
          <w:rFonts w:ascii="Times New Roman" w:cs="Times New Roman" w:eastAsia="Times New Roman" w:hAnsi="Times New Roman"/>
          <w:sz w:val="20"/>
          <w:szCs w:val="20"/>
          <w:color w:val="auto"/>
        </w:rPr>
      </w:pPr>
    </w:p>
    <w:p>
      <w:pPr>
        <w:ind w:firstLine="656"/>
        <w:spacing w:after="0" w:line="254" w:lineRule="auto"/>
        <w:tabs>
          <w:tab w:leader="none" w:pos="972"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Advice of Counsel</w:t>
      </w:r>
      <w:r>
        <w:rPr>
          <w:rFonts w:ascii="Times New Roman" w:cs="Times New Roman" w:eastAsia="Times New Roman" w:hAnsi="Times New Roman"/>
          <w:sz w:val="20"/>
          <w:szCs w:val="20"/>
          <w:color w:val="auto"/>
        </w:rPr>
        <w:t>. Each of the parties represents to each other party hereto that it has discussed (or had an opportunity to discuss) with its counsel this Agreement and, specifically, the provisions of Sections 12(n), 12(o), 12(p), 12(q) and 12(r).</w:t>
      </w:r>
    </w:p>
    <w:p>
      <w:pPr>
        <w:spacing w:after="0" w:line="174" w:lineRule="exact"/>
        <w:rPr>
          <w:rFonts w:ascii="Times New Roman" w:cs="Times New Roman" w:eastAsia="Times New Roman" w:hAnsi="Times New Roman"/>
          <w:sz w:val="20"/>
          <w:szCs w:val="20"/>
          <w:color w:val="auto"/>
        </w:rPr>
      </w:pPr>
    </w:p>
    <w:p>
      <w:pPr>
        <w:ind w:right="200" w:firstLine="656"/>
        <w:spacing w:after="0" w:line="249" w:lineRule="auto"/>
        <w:tabs>
          <w:tab w:leader="none" w:pos="972"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Strict Construction</w:t>
      </w:r>
      <w:r>
        <w:rPr>
          <w:rFonts w:ascii="Times New Roman" w:cs="Times New Roman" w:eastAsia="Times New Roman" w:hAnsi="Times New Roman"/>
          <w:sz w:val="20"/>
          <w:szCs w:val="20"/>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79" w:lineRule="exact"/>
        <w:rPr>
          <w:rFonts w:ascii="Times New Roman" w:cs="Times New Roman" w:eastAsia="Times New Roman" w:hAnsi="Times New Roman"/>
          <w:sz w:val="20"/>
          <w:szCs w:val="20"/>
          <w:color w:val="auto"/>
        </w:rPr>
      </w:pPr>
    </w:p>
    <w:p>
      <w:pPr>
        <w:ind w:firstLine="656"/>
        <w:spacing w:after="0" w:line="249" w:lineRule="auto"/>
        <w:tabs>
          <w:tab w:leader="none" w:pos="972"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Waiver</w:t>
      </w:r>
      <w:r>
        <w:rPr>
          <w:rFonts w:ascii="Times New Roman" w:cs="Times New Roman" w:eastAsia="Times New Roman" w:hAnsi="Times New Roman"/>
          <w:sz w:val="20"/>
          <w:szCs w:val="20"/>
          <w:color w:val="auto"/>
        </w:rPr>
        <w:t>. No omission or delay by the Warrantholder at any time to enforce any right or remedy reserved to it, or to require performance of any of the terms, covenants or provisions hereof by the Company at any time designated, shall be a waiver of any such right or remedy to which the Warrantholder is entitled, nor shall it in any way affect the right of the Warrantholder to enforce such provisions thereafter during the term of this Agreement.</w:t>
      </w:r>
    </w:p>
    <w:p>
      <w:pPr>
        <w:spacing w:after="0" w:line="179" w:lineRule="exact"/>
        <w:rPr>
          <w:rFonts w:ascii="Times New Roman" w:cs="Times New Roman" w:eastAsia="Times New Roman" w:hAnsi="Times New Roman"/>
          <w:sz w:val="20"/>
          <w:szCs w:val="20"/>
          <w:color w:val="auto"/>
        </w:rPr>
      </w:pPr>
    </w:p>
    <w:p>
      <w:pPr>
        <w:ind w:right="300" w:firstLine="656"/>
        <w:spacing w:after="0" w:line="254" w:lineRule="auto"/>
        <w:tabs>
          <w:tab w:leader="none" w:pos="972"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All agreements, representations and warranties contained in this Agreement or in any document delivered pursuant hereto shall be for the benefit of the Warrantholder and shall survive the execution and delivery of this Agreement and the expiration or other termination of this Agreement.</w:t>
      </w:r>
    </w:p>
    <w:p>
      <w:pPr>
        <w:spacing w:after="0" w:line="174" w:lineRule="exact"/>
        <w:rPr>
          <w:rFonts w:ascii="Times New Roman" w:cs="Times New Roman" w:eastAsia="Times New Roman" w:hAnsi="Times New Roman"/>
          <w:sz w:val="20"/>
          <w:szCs w:val="20"/>
          <w:color w:val="auto"/>
        </w:rPr>
      </w:pPr>
    </w:p>
    <w:p>
      <w:pPr>
        <w:ind w:right="40" w:firstLine="656"/>
        <w:spacing w:after="0" w:line="246" w:lineRule="auto"/>
        <w:tabs>
          <w:tab w:leader="none" w:pos="972"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has been negotiated and delivered to the Warrantholder in the State of California, and shall be deemed to have been accepted by the Warrantholder in the State of California. Delivery of Common Stock to the Warrantholder by the Company under this Agreement is due in the State of California. This Agreement shall be governed by, and construed and enforced in accordance with, the laws of the State of California, excluding conflict of laws principles that would cause the application of laws of any other jurisdiction.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76" w:name="page177"/>
    <w:bookmarkEnd w:id="176"/>
    <w:p>
      <w:pPr>
        <w:ind w:left="-20" w:firstLine="656"/>
        <w:spacing w:after="0" w:line="242" w:lineRule="auto"/>
        <w:tabs>
          <w:tab w:leader="none" w:pos="95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 to Jurisdiction and Venue</w:t>
      </w:r>
      <w:r>
        <w:rPr>
          <w:rFonts w:ascii="Times New Roman" w:cs="Times New Roman" w:eastAsia="Times New Roman" w:hAnsi="Times New Roman"/>
          <w:sz w:val="20"/>
          <w:szCs w:val="20"/>
          <w:color w:val="auto"/>
        </w:rPr>
        <w:t>. All judicial proceedings arising in or under or related to this Agreement may be brought in any state or federal court of competent jurisdiction located in the State of California. By execution and delivery of this Agreement, each party hereto generally and unconditionally: (i) consents to personal jurisdiction in Santa Clara County, State of California; (ii) waives any objection as to jurisdiction or venue in Santa Clara County, State of California; (iii) agrees not to assert any defense based on lack of jurisdiction or venue in the aforesaid courts; and (iv) irrevocably agrees to be bound by any judgment rendered thereby in connection with this Agreement. Service of process on any party hereto in any action arising out of or relating to this Agreement shall be effective if given in accordance with the requirements for notice set forth in Section 12(g), and shall be deemed effective and received as set forth in Section 12(g). Nothing herein shall affect the right to serve process in any other manner permitted by law or shall limit the right of either party to bring proceedings in the courts of any other jurisdiction.</w:t>
      </w:r>
    </w:p>
    <w:p>
      <w:pPr>
        <w:spacing w:after="0" w:line="191" w:lineRule="exact"/>
        <w:rPr>
          <w:rFonts w:ascii="Times New Roman" w:cs="Times New Roman" w:eastAsia="Times New Roman" w:hAnsi="Times New Roman"/>
          <w:sz w:val="20"/>
          <w:szCs w:val="20"/>
          <w:color w:val="auto"/>
        </w:rPr>
      </w:pPr>
    </w:p>
    <w:p>
      <w:pPr>
        <w:ind w:left="-20" w:right="120" w:firstLine="656"/>
        <w:spacing w:after="0" w:line="242" w:lineRule="auto"/>
        <w:tabs>
          <w:tab w:leader="none" w:pos="95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Mutual Waiver of Jury Trial</w:t>
      </w:r>
      <w:r>
        <w:rPr>
          <w:rFonts w:ascii="Times New Roman" w:cs="Times New Roman" w:eastAsia="Times New Roman" w:hAnsi="Times New Roman"/>
          <w:sz w:val="20"/>
          <w:szCs w:val="20"/>
          <w:color w:val="auto"/>
        </w:rPr>
        <w:t>. 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arising under or in connection with this Warrant be resolved by a judge applying such applicable laws. EACH OF THE COMPANY AND THE WARRANTHOLDER SPECIFICALLY WAIVES ANY RIGHT IT MAY HAVE TO TRIAL BY JURY OF ANY CAUSE OF ACTION, CLAIM, CROSS-CLAIM, COUNTERCLAIM, THIRD PARTY CLAIM OR ANY OTHER CLAIM (COLLECTIVELY, “CLAIMS”) ASSERTED BY THE COMPANY AGAINST THE WARRANTHOLDER OR ITS ASSIGNEE OR BY THE WARRANTHOLDER OR ITS ASSIGNEE AGAINST THE COMPANY RELATING TO THIS WARRANT. This waiver extends to all such Claims, including Claims that involve persons or entities other the Company and the Warrantholder; Claims that arise out of or are in any way connected to the relationship between the Company and the Warrantholder; and any Claims for damages, breach of contract, specific performance, or any equitable or legal relief of any kind, arising out of this Agreement.</w:t>
      </w:r>
    </w:p>
    <w:p>
      <w:pPr>
        <w:spacing w:after="0" w:line="187" w:lineRule="exact"/>
        <w:rPr>
          <w:rFonts w:ascii="Times New Roman" w:cs="Times New Roman" w:eastAsia="Times New Roman" w:hAnsi="Times New Roman"/>
          <w:sz w:val="20"/>
          <w:szCs w:val="20"/>
          <w:color w:val="auto"/>
        </w:rPr>
      </w:pPr>
    </w:p>
    <w:p>
      <w:pPr>
        <w:ind w:left="-20" w:right="100" w:firstLine="656"/>
        <w:spacing w:after="0" w:line="243" w:lineRule="auto"/>
        <w:tabs>
          <w:tab w:leader="none" w:pos="95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If the Mutual Waiver of Jury Trial set forth in Section 12(p) is ineffective or unenforceable, the parties agree that all Claims shall be submitted to binding arbitration in accordance with the commercial arbitration rules of JAMS (the “Rules”), such arbitration to occur before one arbitrator, which arbitrator shall be a retired California state judge or a retired Federal court judge. Such proceeding shall be conducted in Santa Clara County, State of California, with California rules of evidence and discovery applicable to such arbitration. The decision of the arbitrator shall be binding on the parties, and shall be final and nonappealable to the maximum extent permitted by law. Any judgment rendered by the arbitrator may be entered in a court of competent jurisdiction and enforced by the prevailing party as a final judgment of such court.</w:t>
      </w:r>
    </w:p>
    <w:p>
      <w:pPr>
        <w:spacing w:after="0" w:line="189" w:lineRule="exact"/>
        <w:rPr>
          <w:rFonts w:ascii="Times New Roman" w:cs="Times New Roman" w:eastAsia="Times New Roman" w:hAnsi="Times New Roman"/>
          <w:sz w:val="20"/>
          <w:szCs w:val="20"/>
          <w:color w:val="auto"/>
        </w:rPr>
      </w:pPr>
    </w:p>
    <w:p>
      <w:pPr>
        <w:jc w:val="both"/>
        <w:ind w:left="-20" w:right="100" w:firstLine="656"/>
        <w:spacing w:after="0" w:line="249" w:lineRule="auto"/>
        <w:tabs>
          <w:tab w:leader="none" w:pos="95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Pre-arbitration Relief</w:t>
      </w:r>
      <w:r>
        <w:rPr>
          <w:rFonts w:ascii="Times New Roman" w:cs="Times New Roman" w:eastAsia="Times New Roman" w:hAnsi="Times New Roman"/>
          <w:sz w:val="20"/>
          <w:szCs w:val="20"/>
          <w:color w:val="auto"/>
        </w:rPr>
        <w:t>. In the event Claims are to be resolved by arbitration, either party may seek from a court of competent jurisdiction identified in Section 12(o), any prejudgment order, writ or other relief and have such prejudgment order, writ or other relief enforced to the fullest extent permitted by law notwithstanding that all Claims are otherwise subject to resolution by binding arbitration.</w:t>
      </w:r>
    </w:p>
    <w:p>
      <w:pPr>
        <w:spacing w:after="0" w:line="179" w:lineRule="exact"/>
        <w:rPr>
          <w:rFonts w:ascii="Times New Roman" w:cs="Times New Roman" w:eastAsia="Times New Roman" w:hAnsi="Times New Roman"/>
          <w:sz w:val="20"/>
          <w:szCs w:val="20"/>
          <w:color w:val="auto"/>
        </w:rPr>
      </w:pPr>
    </w:p>
    <w:p>
      <w:pPr>
        <w:ind w:left="-20" w:right="80" w:firstLine="656"/>
        <w:spacing w:after="0" w:line="249" w:lineRule="auto"/>
        <w:tabs>
          <w:tab w:leader="none" w:pos="95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and any amendments, waivers, consents or supplements hereto may be executed in any number of counterparts (including by facsimile or electronic delivery (PDF)), and by different parties hereto in separate counterparts, each of which when so delivered shall be deemed an original, but all of which counterparts shall constitute but one and the same instrument.</w:t>
      </w:r>
    </w:p>
    <w:p>
      <w:pPr>
        <w:spacing w:after="0" w:line="179" w:lineRule="exact"/>
        <w:rPr>
          <w:rFonts w:ascii="Times New Roman" w:cs="Times New Roman" w:eastAsia="Times New Roman" w:hAnsi="Times New Roman"/>
          <w:sz w:val="20"/>
          <w:szCs w:val="20"/>
          <w:color w:val="auto"/>
        </w:rPr>
      </w:pPr>
    </w:p>
    <w:p>
      <w:pPr>
        <w:ind w:left="-20" w:right="60" w:firstLine="656"/>
        <w:spacing w:after="0" w:line="244" w:lineRule="auto"/>
        <w:tabs>
          <w:tab w:leader="none" w:pos="95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The parties hereto hereby declare that it is impossible to measure in money the damages which will accrue to the Warrantholder by reason of the Company’s failure to perform any of the obligations under this Agreement and agree that the terms of this Agreement shall be specifically enforceable by the Warrantholder. If the Warrantholder institutes any action or proceeding to specifically enforce the provisions hereof, any person against whom such action or proceeding is brought hereby waives the claim or defense therein that the Warrantholder has an adequate remedy at law, and such person shall not offer in any such action or proceeding the claim or defense that such remedy at law exists.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356870</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00" w:top="118" w:right="1019" w:bottom="1440" w:gutter="0" w:footer="0" w:header="0"/>
        </w:sectPr>
      </w:pPr>
    </w:p>
    <w:bookmarkStart w:id="177" w:name="page178"/>
    <w:bookmarkEnd w:id="177"/>
    <w:p>
      <w:pPr>
        <w:ind w:right="20" w:firstLine="656"/>
        <w:spacing w:after="0" w:line="262" w:lineRule="auto"/>
        <w:tabs>
          <w:tab w:leader="none" w:pos="972"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Lost, Stolen, Mutilated or Destroyed Warrant</w:t>
      </w:r>
      <w:r>
        <w:rPr>
          <w:rFonts w:ascii="Times New Roman" w:cs="Times New Roman" w:eastAsia="Times New Roman" w:hAnsi="Times New Roman"/>
          <w:sz w:val="19"/>
          <w:szCs w:val="19"/>
          <w:color w:val="auto"/>
        </w:rPr>
        <w:t>. If this Warrant is lost, stolen, mutilated or destroyed, the Company may, on such terms as to indemnity or otherwise as it may reasonably impose (which shall, in the case of a mutilated Warrant, include the surrender thereof), issue a new Warrant of like denomination and tenor as this Warrant so lost, stolen, mutilated or destroyed. Any such new Warrant shall constitute an original contractual obligation of the Company, whether or not the allegedly lost, stolen, mutilated or destroyed Warrant shall be at any time enforceable by anyone.</w:t>
      </w:r>
    </w:p>
    <w:p>
      <w:pPr>
        <w:spacing w:after="0" w:line="170" w:lineRule="exact"/>
        <w:rPr>
          <w:rFonts w:ascii="Times New Roman" w:cs="Times New Roman" w:eastAsia="Times New Roman" w:hAnsi="Times New Roman"/>
          <w:sz w:val="19"/>
          <w:szCs w:val="19"/>
          <w:color w:val="auto"/>
        </w:rPr>
      </w:pPr>
    </w:p>
    <w:p>
      <w:pPr>
        <w:ind w:right="140" w:firstLine="656"/>
        <w:spacing w:after="0" w:line="254" w:lineRule="auto"/>
        <w:tabs>
          <w:tab w:leader="none" w:pos="97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Legends</w:t>
      </w:r>
      <w:r>
        <w:rPr>
          <w:rFonts w:ascii="Times New Roman" w:cs="Times New Roman" w:eastAsia="Times New Roman" w:hAnsi="Times New Roman"/>
          <w:sz w:val="20"/>
          <w:szCs w:val="20"/>
          <w:color w:val="auto"/>
        </w:rPr>
        <w:t>. To the extent required by applicable laws, this Warrant and the shares of Common Stock issuable hereunder (and the securities issuable, directly or indirectly, upon conversion of such shares of Common Stock, if any) may be imprinted with a restricted securities legend in substantially the following form:</w:t>
      </w:r>
    </w:p>
    <w:p>
      <w:pPr>
        <w:spacing w:after="0" w:line="174"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0"/>
          <w:szCs w:val="20"/>
          <w:color w:val="auto"/>
        </w:rPr>
        <w:t>THIS SECURITY HAS NOT BEEN REGISTERED UNDER THE SECURITIES ACT OF 1933, AS AMENDED (THE “ACT”), OR ANY APPLICABLE STATE SECURITIES LAWS, AND MAY NOT BE SOLD, OFFERED FOR SALE, PLEDGED OR HYPOTHECATED IN THE ABSENCE OF AN EFFECTIVE REGISTRATION RELATED THERETO OR, SUBJECT TO SECTION 11 OF THE AMENDED AND RESTATED WARRANT AGREEMENT DATED MARCH 31, 2023, BETWEEN THE COMPANY AND HERCULES CAPITAL, INC., AN OPINION OF COUNSEL (WHICH MAY BE COMPANY COUNSEL) REASONABLY SATISFACTORY TO THE COMPANY THAT SUCH REGISTRATION IS NOT REQUIRED UNDER THE ACTOR ANY STATE SECURITIES LAWS.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78" w:name="page179"/>
    <w:bookmarkEnd w:id="178"/>
    <w:p>
      <w:pPr>
        <w:ind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Amended and Restated Warrant Agreement to be executed by its officers thereunto duly authorized as of the date first written above.</w:t>
      </w:r>
    </w:p>
    <w:p>
      <w:pPr>
        <w:spacing w:after="0" w:line="173"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20"/>
          <w:szCs w:val="20"/>
          <w:color w:val="auto"/>
        </w:rPr>
        <w:t>COMPANY:</w:t>
      </w:r>
      <w:r>
        <w:rPr>
          <w:sz w:val="20"/>
          <w:szCs w:val="20"/>
          <w:color w:val="auto"/>
        </w:rPr>
        <w:tab/>
      </w:r>
      <w:r>
        <w:rPr>
          <w:rFonts w:ascii="Times New Roman" w:cs="Times New Roman" w:eastAsia="Times New Roman" w:hAnsi="Times New Roman"/>
          <w:sz w:val="20"/>
          <w:szCs w:val="20"/>
          <w:color w:val="auto"/>
        </w:rPr>
        <w:t>TG THERAPEUTICS, INC.</w:t>
      </w:r>
    </w:p>
    <w:p>
      <w:pPr>
        <w:spacing w:after="0" w:line="200" w:lineRule="exact"/>
        <w:rPr>
          <w:sz w:val="20"/>
          <w:szCs w:val="20"/>
          <w:color w:val="auto"/>
        </w:rPr>
      </w:pPr>
    </w:p>
    <w:p>
      <w:pPr>
        <w:spacing w:after="0" w:line="25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-144780</wp:posOffset>
            </wp:positionV>
            <wp:extent cx="27603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13335</wp:posOffset>
            </wp:positionV>
            <wp:extent cx="276034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760345" cy="825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-140335</wp:posOffset>
            </wp:positionV>
            <wp:extent cx="276034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Warrant (TG Therapeutics/Hercules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00"/>
          </w:cols>
          <w:pgMar w:left="980" w:top="346" w:right="1419" w:bottom="1440" w:gutter="0" w:footer="0" w:header="0"/>
        </w:sectPr>
      </w:pPr>
    </w:p>
    <w:bookmarkStart w:id="179" w:name="page180"/>
    <w:bookmarkEnd w:id="179"/>
    <w:p>
      <w:pPr>
        <w:spacing w:after="0"/>
        <w:tabs>
          <w:tab w:leader="none" w:pos="4960" w:val="left"/>
        </w:tabs>
        <w:rPr>
          <w:sz w:val="20"/>
          <w:szCs w:val="20"/>
          <w:color w:val="auto"/>
        </w:rPr>
      </w:pPr>
      <w:r>
        <w:rPr>
          <w:rFonts w:ascii="Times New Roman" w:cs="Times New Roman" w:eastAsia="Times New Roman" w:hAnsi="Times New Roman"/>
          <w:sz w:val="20"/>
          <w:szCs w:val="20"/>
          <w:color w:val="auto"/>
        </w:rPr>
        <w:t>WARRANTHOLDER:</w:t>
      </w:r>
      <w:r>
        <w:rPr>
          <w:sz w:val="20"/>
          <w:szCs w:val="20"/>
          <w:color w:val="auto"/>
        </w:rPr>
        <w:tab/>
      </w:r>
      <w:r>
        <w:rPr>
          <w:rFonts w:ascii="Times New Roman" w:cs="Times New Roman" w:eastAsia="Times New Roman" w:hAnsi="Times New Roman"/>
          <w:sz w:val="20"/>
          <w:szCs w:val="20"/>
          <w:color w:val="auto"/>
        </w:rPr>
        <w:t>HERCULES CAPITAL, INC.,</w:t>
      </w:r>
    </w:p>
    <w:p>
      <w:pPr>
        <w:spacing w:after="0" w:line="200" w:lineRule="exact"/>
        <w:rPr>
          <w:sz w:val="20"/>
          <w:szCs w:val="20"/>
          <w:color w:val="auto"/>
        </w:rPr>
      </w:pPr>
    </w:p>
    <w:p>
      <w:pPr>
        <w:spacing w:after="0" w:line="25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Name: Seth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-144780</wp:posOffset>
            </wp:positionV>
            <wp:extent cx="276034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ind w:left="4980"/>
        <w:spacing w:after="0"/>
        <w:tabs>
          <w:tab w:leader="none" w:pos="55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Warrant (TG Therapeutics/Hercules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360" w:right="1440" w:bottom="1440" w:gutter="0" w:footer="0" w:header="0"/>
        </w:sectPr>
      </w:pPr>
    </w:p>
    <w:bookmarkStart w:id="180" w:name="page181"/>
    <w:bookmarkEnd w:id="180"/>
    <w:p>
      <w:pPr>
        <w:jc w:val="center"/>
        <w:ind w:right="19"/>
        <w:spacing w:after="0"/>
        <w:rPr>
          <w:sz w:val="20"/>
          <w:szCs w:val="20"/>
          <w:color w:val="auto"/>
        </w:rPr>
      </w:pPr>
      <w:r>
        <w:rPr>
          <w:rFonts w:ascii="Times New Roman" w:cs="Times New Roman" w:eastAsia="Times New Roman" w:hAnsi="Times New Roman"/>
          <w:sz w:val="20"/>
          <w:szCs w:val="20"/>
          <w:color w:val="auto"/>
        </w:rPr>
        <w:t>EXHIBIT I</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II</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EXHIBIT III</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81" w:name="page182"/>
    <w:bookmarkEnd w:id="181"/>
    <w:p>
      <w:pPr>
        <w:ind w:left="8900"/>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WARRANT AND THE SHARES ISSUABLE UPON EXERCISE HEREOF HAVE NOT BEEN REGISTERED UNDER THE SECURITIES ACT OF 1933, AS AMENDED (THE “ACT”), OR ANY STATE SECURITIES LAWS, AND MAY NOT BE SOLD, OFFERED FOR SALE, PLEDGED, OR HYPOTHECATED IN THE ABSENCE OF AN EFFECTIVE REGISTRATION STATEMENT RELATED THERETO OR, SUBJECT TO SECTION 11 HEREOF, AN OPINION OF COUNSEL (WHICH MAY BE COMPANY COUNSEL) REASONABLY SATISFACTORY TO THE COMPANY THAT SUCH REGISTRATION IS NOT REQUIRED UNDER THE ACT, OR ANY APPLICABLE STATE SECURITIES LAWS.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AMENDED AND RESTATED WARRANT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To Purchase Shares of the Common Stock of</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TG THERAPEUTICS,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as of March 31, 2023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this Amended and Restated Warrant Agreement (this “</w:t>
      </w:r>
      <w:r>
        <w:rPr>
          <w:rFonts w:ascii="Times New Roman" w:cs="Times New Roman" w:eastAsia="Times New Roman" w:hAnsi="Times New Roman"/>
          <w:sz w:val="20"/>
          <w:szCs w:val="20"/>
          <w:u w:val="single" w:color="auto"/>
          <w:color w:val="auto"/>
        </w:rPr>
        <w:t>Warrant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Warrant Agreement</w:t>
      </w:r>
      <w:r>
        <w:rPr>
          <w:rFonts w:ascii="Times New Roman" w:cs="Times New Roman" w:eastAsia="Times New Roman" w:hAnsi="Times New Roman"/>
          <w:sz w:val="20"/>
          <w:szCs w:val="20"/>
          <w:color w:val="auto"/>
        </w:rPr>
        <w:t>”, or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amends and restates the Warrant Agreement, dated December 30, 2021 (the “</w:t>
      </w:r>
      <w:r>
        <w:rPr>
          <w:rFonts w:ascii="Times New Roman" w:cs="Times New Roman" w:eastAsia="Times New Roman" w:hAnsi="Times New Roman"/>
          <w:sz w:val="20"/>
          <w:szCs w:val="20"/>
          <w:u w:val="single" w:color="auto"/>
          <w:color w:val="auto"/>
        </w:rPr>
        <w:t>Original Issue Date</w:t>
      </w:r>
      <w:r>
        <w:rPr>
          <w:rFonts w:ascii="Times New Roman" w:cs="Times New Roman" w:eastAsia="Times New Roman" w:hAnsi="Times New Roman"/>
          <w:sz w:val="20"/>
          <w:szCs w:val="20"/>
          <w:color w:val="auto"/>
        </w:rPr>
        <w:t>”), by and</w:t>
      </w:r>
    </w:p>
    <w:p>
      <w:pPr>
        <w:spacing w:after="0"/>
        <w:rPr>
          <w:sz w:val="20"/>
          <w:szCs w:val="20"/>
          <w:color w:val="auto"/>
        </w:rPr>
      </w:pPr>
      <w:r>
        <w:rPr>
          <w:rFonts w:ascii="Times New Roman" w:cs="Times New Roman" w:eastAsia="Times New Roman" w:hAnsi="Times New Roman"/>
          <w:sz w:val="20"/>
          <w:szCs w:val="20"/>
          <w:color w:val="auto"/>
        </w:rPr>
        <w:t>between TG Therapeutics,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Hercules Funding IV, LLC (as assignee of</w:t>
      </w:r>
    </w:p>
    <w:p>
      <w:pPr>
        <w:spacing w:after="0"/>
        <w:rPr>
          <w:sz w:val="20"/>
          <w:szCs w:val="20"/>
          <w:color w:val="auto"/>
        </w:rPr>
      </w:pPr>
      <w:r>
        <w:rPr>
          <w:rFonts w:ascii="Times New Roman" w:cs="Times New Roman" w:eastAsia="Times New Roman" w:hAnsi="Times New Roman"/>
          <w:sz w:val="20"/>
          <w:szCs w:val="20"/>
          <w:color w:val="auto"/>
        </w:rPr>
        <w:t>Hercules Capital, Inc.) (the “</w:t>
      </w:r>
      <w:r>
        <w:rPr>
          <w:rFonts w:ascii="Times New Roman" w:cs="Times New Roman" w:eastAsia="Times New Roman" w:hAnsi="Times New Roman"/>
          <w:sz w:val="20"/>
          <w:szCs w:val="20"/>
          <w:u w:val="single" w:color="auto"/>
          <w:color w:val="auto"/>
        </w:rPr>
        <w:t>Warrantholder</w:t>
      </w:r>
      <w:r>
        <w:rPr>
          <w:rFonts w:ascii="Times New Roman" w:cs="Times New Roman" w:eastAsia="Times New Roman" w:hAnsi="Times New Roman"/>
          <w:sz w:val="20"/>
          <w:szCs w:val="20"/>
          <w:color w:val="auto"/>
        </w:rPr>
        <w:t>”), to purchase shares of Common Stock of the Company (the “</w:t>
      </w:r>
      <w:r>
        <w:rPr>
          <w:rFonts w:ascii="Times New Roman" w:cs="Times New Roman" w:eastAsia="Times New Roman" w:hAnsi="Times New Roman"/>
          <w:sz w:val="20"/>
          <w:szCs w:val="20"/>
          <w:u w:val="single" w:color="auto"/>
          <w:color w:val="auto"/>
        </w:rPr>
        <w:t>Prior Warrant</w:t>
      </w: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20"/>
          <w:szCs w:val="20"/>
          <w:color w:val="auto"/>
        </w:rPr>
        <w:t>and the Prior Warrant is superseded and replaced by this Agreement in all respects;</w:t>
      </w:r>
    </w:p>
    <w:p>
      <w:pPr>
        <w:spacing w:after="0" w:line="194"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20"/>
          <w:szCs w:val="20"/>
          <w:color w:val="auto"/>
        </w:rPr>
        <w:t>WHEREAS, the Company has entered into an Amended and Restated Loan and Security Agreement dated as of the Original Issue Date (as amended and in effect from time to time, the “</w:t>
      </w:r>
      <w:r>
        <w:rPr>
          <w:rFonts w:ascii="Times New Roman" w:cs="Times New Roman" w:eastAsia="Times New Roman" w:hAnsi="Times New Roman"/>
          <w:sz w:val="20"/>
          <w:szCs w:val="20"/>
          <w:u w:val="single" w:color="auto"/>
          <w:color w:val="auto"/>
        </w:rPr>
        <w:t>Loan Agreement</w:t>
      </w:r>
      <w:r>
        <w:rPr>
          <w:rFonts w:ascii="Times New Roman" w:cs="Times New Roman" w:eastAsia="Times New Roman" w:hAnsi="Times New Roman"/>
          <w:sz w:val="20"/>
          <w:szCs w:val="20"/>
          <w:color w:val="auto"/>
        </w:rPr>
        <w:t>”) with the Warrantholder, in its capacity as administrative and collateral agent, and the other lenders from time to time party thereto;</w:t>
      </w:r>
    </w:p>
    <w:p>
      <w:pPr>
        <w:spacing w:after="0" w:line="174"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20"/>
          <w:szCs w:val="20"/>
          <w:color w:val="auto"/>
        </w:rPr>
        <w:t>WHEREAS, pursuant to the Loan Agreement and as additional consideration to the Warrantholder for, among other things, its agreements in the Loan Agreement, the Company has agreed to issue to the Warrantholder this Warrant Agreement, evidencing the right to purchase shares of the Company’s Common Stock;</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NOW, THEREFORE, in consideration of the mutual covenants and agreements contained herein, the Company and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Warrantholder agree as follows:</w:t>
      </w:r>
    </w:p>
    <w:p>
      <w:pPr>
        <w:spacing w:after="0" w:line="19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color w:val="auto"/>
        </w:rPr>
        <w:t>GRANT OF THE RIGHT TO PURCHASE COMMON STOCK.</w:t>
      </w:r>
    </w:p>
    <w:p>
      <w:pPr>
        <w:spacing w:after="0" w:line="220" w:lineRule="exact"/>
        <w:rPr>
          <w:sz w:val="20"/>
          <w:szCs w:val="20"/>
          <w:color w:val="auto"/>
        </w:rPr>
      </w:pPr>
    </w:p>
    <w:p>
      <w:pPr>
        <w:ind w:right="20" w:firstLine="1304"/>
        <w:spacing w:after="0" w:line="245" w:lineRule="auto"/>
        <w:tabs>
          <w:tab w:leader="none" w:pos="1944"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value received, the Company hereby grants to the Warrantholder, and the Warrantholder is entitled, upon the terms and subject to the conditions hereinafter set forth, to subscribe for and purchase, from the Company, up to the aggregate number of fully paid and non-assessable shares of Common Stock (as defined below) as determined pursuant to Section 1(b) below, at a purchase price per share equal to the Exercise Price (as defined below). The number and Exercise Price of such shares are subject to adjustment as provided in Section 8. As used herein, the following terms shall have the following meanings:</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means the Securities Act of 1933, as amended.</w:t>
      </w:r>
    </w:p>
    <w:p>
      <w:pPr>
        <w:spacing w:after="0" w:line="216" w:lineRule="exact"/>
        <w:rPr>
          <w:sz w:val="20"/>
          <w:szCs w:val="20"/>
          <w:color w:val="auto"/>
        </w:rPr>
      </w:pPr>
    </w:p>
    <w:p>
      <w:pPr>
        <w:ind w:left="660" w:right="3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Charter</w:t>
      </w:r>
      <w:r>
        <w:rPr>
          <w:rFonts w:ascii="Times New Roman" w:cs="Times New Roman" w:eastAsia="Times New Roman" w:hAnsi="Times New Roman"/>
          <w:sz w:val="20"/>
          <w:szCs w:val="20"/>
          <w:color w:val="auto"/>
        </w:rPr>
        <w:t>” means the Company’s Certificate of Incorporation or other constitutional document, as may be amended and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604520</wp:posOffset>
            </wp:positionV>
            <wp:extent cx="629221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82" w:name="page183"/>
    <w:bookmarkEnd w:id="182"/>
    <w:p>
      <w:pPr>
        <w:ind w:left="200" w:right="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means the Company’s common stock, $0.001 par value per share, as presently constituted under the Charter, and any class and/or series of Company capital stock for or into which such common stock may be converted or exchanged in a reorganization, recapitalization or similar transaction.</w:t>
      </w:r>
    </w:p>
    <w:p>
      <w:pPr>
        <w:spacing w:after="0" w:line="174" w:lineRule="exact"/>
        <w:rPr>
          <w:sz w:val="20"/>
          <w:szCs w:val="20"/>
          <w:color w:val="auto"/>
        </w:rPr>
      </w:pPr>
    </w:p>
    <w:p>
      <w:pPr>
        <w:ind w:left="200" w:right="100"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Registration</w:t>
      </w:r>
      <w:r>
        <w:rPr>
          <w:rFonts w:ascii="Times New Roman" w:cs="Times New Roman" w:eastAsia="Times New Roman" w:hAnsi="Times New Roman"/>
          <w:sz w:val="20"/>
          <w:szCs w:val="20"/>
          <w:color w:val="auto"/>
        </w:rPr>
        <w:t xml:space="preserve">” means (i) a registration relating to the sale of securities to employees of the Company or a subsidiary pursuant to an equity option, equity purchase, or similar plan; (ii) a registration relating to an SEC Rule 145 transaction; or (iii) a registration on any form that does not include substantially the same information as would be required to be included in a registration statement covering the sale of the Registrable Securities,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the inclusion of information regarding this Warrant and the plan of distribution of and selling securityholder information related to the Common Shares issuable upon exercise of this Warrant, shall not constitute a basis for excluding the Registrable Securities from a registration pursuant to this clause (iii).</w:t>
      </w:r>
    </w:p>
    <w:p>
      <w:pPr>
        <w:spacing w:after="0" w:line="189" w:lineRule="exact"/>
        <w:rPr>
          <w:sz w:val="20"/>
          <w:szCs w:val="20"/>
          <w:color w:val="auto"/>
        </w:rPr>
      </w:pPr>
    </w:p>
    <w:p>
      <w:pPr>
        <w:ind w:left="200" w:right="1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means $17.95, subject to adjustment from time to time in accordance with the provisions of this Warrant.</w:t>
      </w:r>
    </w:p>
    <w:p>
      <w:pPr>
        <w:spacing w:after="0" w:line="159" w:lineRule="exact"/>
        <w:rPr>
          <w:sz w:val="20"/>
          <w:szCs w:val="20"/>
          <w:color w:val="auto"/>
        </w:rPr>
      </w:pPr>
    </w:p>
    <w:p>
      <w:pPr>
        <w:ind w:left="200" w:right="3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 Sale</w:t>
      </w:r>
      <w:r>
        <w:rPr>
          <w:rFonts w:ascii="Times New Roman" w:cs="Times New Roman" w:eastAsia="Times New Roman" w:hAnsi="Times New Roman"/>
          <w:sz w:val="20"/>
          <w:szCs w:val="20"/>
          <w:color w:val="auto"/>
        </w:rPr>
        <w:t>” means the closing of a Merger Event in which the consideration received by the Company and/or its stockholders, as applicable, consists solely of cash and/or Marketable Securities.</w:t>
      </w:r>
    </w:p>
    <w:p>
      <w:pPr>
        <w:spacing w:after="0" w:line="159" w:lineRule="exact"/>
        <w:rPr>
          <w:sz w:val="20"/>
          <w:szCs w:val="20"/>
          <w:color w:val="auto"/>
        </w:rPr>
      </w:pPr>
    </w:p>
    <w:p>
      <w:pPr>
        <w:ind w:left="200"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Marketable Securities</w:t>
      </w:r>
      <w:r>
        <w:rPr>
          <w:rFonts w:ascii="Times New Roman" w:cs="Times New Roman" w:eastAsia="Times New Roman" w:hAnsi="Times New Roman"/>
          <w:sz w:val="20"/>
          <w:szCs w:val="20"/>
          <w:color w:val="auto"/>
        </w:rPr>
        <w:t>” in connection with a Merger Event means securities meeting all of the following requirements: (i) the issuer thereof is then subject to the reporting requirements of Section 13 or Section 15(d)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is then current in its filing of all required reports and other information under the Act and the Exchange Act; (ii) the class and series of shares or other security of the issuer that would be received by the Warrantholder in connection with the Merger Event were the Warrantholder to exercise this Warrant on or prior to the closing thereof is then traded on a national securities exchange or over-the-counter market, and (iii) following the closing of such Merger Event, the Warrantholder would not be restricted from publicly re-selling all of the issuer’s shares and/or other securities that would be received by the Warrantholder in such Merger Event were the Warrantholder to exercise this Warrant in full on or prior to the closing of such Merger Event, except to the extent that any such restriction (x) arises solely under federal or state securities laws, rules or regulations, and (y) does not extend beyond six (6) months from the closing of such Merger Event.</w:t>
      </w:r>
    </w:p>
    <w:p>
      <w:pPr>
        <w:spacing w:after="0" w:line="187" w:lineRule="exact"/>
        <w:rPr>
          <w:sz w:val="20"/>
          <w:szCs w:val="20"/>
          <w:color w:val="auto"/>
        </w:rPr>
      </w:pPr>
    </w:p>
    <w:p>
      <w:pPr>
        <w:ind w:left="200"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Merger Event</w:t>
      </w:r>
      <w:r>
        <w:rPr>
          <w:rFonts w:ascii="Times New Roman" w:cs="Times New Roman" w:eastAsia="Times New Roman" w:hAnsi="Times New Roman"/>
          <w:sz w:val="20"/>
          <w:szCs w:val="20"/>
          <w:color w:val="auto"/>
        </w:rPr>
        <w:t>” means any of the following: (i) a sale, lease or other transfer of all or substantially all assets of the Company, (ii) any merger or consolidation involving the Company in which the Company is not the surviving entity or in which the outstanding shares of the Company’s capital stock are otherwise converted into or exchanged for shares of capital stock or other securities or property of another entity, or (iii) any sale by holders of the outstanding voting equity securities of the Company in a single transaction or series of related transactions of shares constituting a majority of the outstanding combined voting power of the Company.</w:t>
      </w:r>
    </w:p>
    <w:p>
      <w:pPr>
        <w:spacing w:after="0" w:line="184" w:lineRule="exact"/>
        <w:rPr>
          <w:sz w:val="20"/>
          <w:szCs w:val="20"/>
          <w:color w:val="auto"/>
        </w:rPr>
      </w:pPr>
    </w:p>
    <w:p>
      <w:pPr>
        <w:ind w:left="200" w:right="120"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Purchase Price</w:t>
      </w:r>
      <w:r>
        <w:rPr>
          <w:rFonts w:ascii="Times New Roman" w:cs="Times New Roman" w:eastAsia="Times New Roman" w:hAnsi="Times New Roman"/>
          <w:sz w:val="19"/>
          <w:szCs w:val="19"/>
          <w:color w:val="auto"/>
        </w:rPr>
        <w:t>” means, with respect to any exercise of this Warrant, an amount equal to the then-effective Exercise Price multiplied by the number of shares of Common Stock as to which this Warrant is then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40"/>
          </w:cols>
          <w:pgMar w:left="1440" w:top="333" w:right="1019" w:bottom="1440" w:gutter="0" w:footer="0" w:header="0"/>
        </w:sectPr>
      </w:pPr>
    </w:p>
    <w:bookmarkStart w:id="183" w:name="page184"/>
    <w:bookmarkEnd w:id="183"/>
    <w:p>
      <w:pPr>
        <w:ind w:left="660" w:right="80"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Registrable Securities</w:t>
      </w:r>
      <w:r>
        <w:rPr>
          <w:rFonts w:ascii="Times New Roman" w:cs="Times New Roman" w:eastAsia="Times New Roman" w:hAnsi="Times New Roman"/>
          <w:sz w:val="20"/>
          <w:szCs w:val="20"/>
          <w:color w:val="auto"/>
        </w:rPr>
        <w:t xml:space="preserve">” means (i) the shares issuable upon exercise of this Warrant and (ii) any other Common Shares issued as a dividend or other distribution with respect to, in exchange for or in replacement of such shares;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securities referred to in (i)-(ii) above shall cease to be Registrable Securities (A) upon the sale of such securities pursuant to a registration statement or (B) upon the sale of such securities pursuant to Rule 144.</w:t>
      </w:r>
    </w:p>
    <w:p>
      <w:pPr>
        <w:spacing w:after="0" w:line="184"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Warrant Coverage</w:t>
      </w:r>
      <w:r>
        <w:rPr>
          <w:rFonts w:ascii="Times New Roman" w:cs="Times New Roman" w:eastAsia="Times New Roman" w:hAnsi="Times New Roman"/>
          <w:sz w:val="20"/>
          <w:szCs w:val="20"/>
          <w:color w:val="auto"/>
        </w:rPr>
        <w:t>” means 12,853 (which amount reflects the warrant coverage amount transferred to Warrantholder from Hercules Capital, Inc. on December 30, 2021 pursuant to a Transfer Notice from Hercules Capital Inc. to Warrantholder).</w:t>
      </w:r>
    </w:p>
    <w:p>
      <w:pPr>
        <w:spacing w:after="0" w:line="174" w:lineRule="exact"/>
        <w:rPr>
          <w:sz w:val="20"/>
          <w:szCs w:val="20"/>
          <w:color w:val="auto"/>
        </w:rPr>
      </w:pPr>
    </w:p>
    <w:p>
      <w:pPr>
        <w:ind w:right="20" w:firstLine="656"/>
        <w:spacing w:after="0" w:line="269" w:lineRule="auto"/>
        <w:tabs>
          <w:tab w:leader="none" w:pos="1296"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color w:val="auto"/>
        </w:rPr>
        <w:t>. This Warrant shall be exercisable for a number of shares of Common Stock equal to the Warrant Coverage, subject to adjustment from time to time in accordance with the provisions of this Warrant.</w:t>
      </w:r>
    </w:p>
    <w:p>
      <w:pPr>
        <w:spacing w:after="0" w:line="155"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color w:val="auto"/>
        </w:rPr>
        <w:t>TERM OF THE AGREEMENT.</w:t>
      </w:r>
    </w:p>
    <w:p>
      <w:pPr>
        <w:spacing w:after="0" w:line="220" w:lineRule="exact"/>
        <w:rPr>
          <w:sz w:val="20"/>
          <w:szCs w:val="20"/>
          <w:color w:val="auto"/>
        </w:rPr>
      </w:pPr>
    </w:p>
    <w:p>
      <w:pPr>
        <w:ind w:right="360" w:firstLine="648"/>
        <w:spacing w:after="0" w:line="254" w:lineRule="auto"/>
        <w:rPr>
          <w:sz w:val="20"/>
          <w:szCs w:val="20"/>
          <w:color w:val="auto"/>
        </w:rPr>
      </w:pPr>
      <w:r>
        <w:rPr>
          <w:rFonts w:ascii="Times New Roman" w:cs="Times New Roman" w:eastAsia="Times New Roman" w:hAnsi="Times New Roman"/>
          <w:sz w:val="20"/>
          <w:szCs w:val="20"/>
          <w:color w:val="auto"/>
        </w:rPr>
        <w:t>The term of this Agreement and the right to purchase Common Stock as granted herein shall commence on the Original Issue Date and, subject to Section 8(a) below, shall be exercisable until 5:00 p.m. (Eastern Time) on the seventh (7th) anniversary of the Original Issue Date.</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19"/>
          <w:szCs w:val="19"/>
          <w:color w:val="auto"/>
        </w:rPr>
        <w:t>EXERCISE OF THE PURCHASE RIGHTS.</w:t>
      </w:r>
    </w:p>
    <w:p>
      <w:pPr>
        <w:spacing w:after="0" w:line="220" w:lineRule="exact"/>
        <w:rPr>
          <w:sz w:val="20"/>
          <w:szCs w:val="20"/>
          <w:color w:val="auto"/>
        </w:rPr>
      </w:pPr>
    </w:p>
    <w:p>
      <w:pPr>
        <w:ind w:right="20" w:firstLine="656"/>
        <w:spacing w:after="0" w:line="256" w:lineRule="auto"/>
        <w:tabs>
          <w:tab w:leader="none" w:pos="1296" w:val="left"/>
        </w:tabs>
        <w:numPr>
          <w:ilvl w:val="1"/>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Exercise</w:t>
      </w:r>
      <w:r>
        <w:rPr>
          <w:rFonts w:ascii="Times New Roman" w:cs="Times New Roman" w:eastAsia="Times New Roman" w:hAnsi="Times New Roman"/>
          <w:sz w:val="19"/>
          <w:szCs w:val="19"/>
          <w:color w:val="auto"/>
        </w:rPr>
        <w:t xml:space="preserve">. The purchase rights set forth in this Agreement are exercisable by the Warrantholder, in whole or in part, at any time, or from time to time, prior to the expiration of the term set forth in Section 2, by tendering to the Company at its principal office a notice of exercise in the form attached hereto as </w:t>
      </w:r>
      <w:r>
        <w:rPr>
          <w:rFonts w:ascii="Times New Roman" w:cs="Times New Roman" w:eastAsia="Times New Roman" w:hAnsi="Times New Roman"/>
          <w:sz w:val="19"/>
          <w:szCs w:val="19"/>
          <w:u w:val="single" w:color="auto"/>
          <w:color w:val="auto"/>
        </w:rPr>
        <w:t>Exhibit I</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Notice of Exercise</w:t>
      </w:r>
      <w:r>
        <w:rPr>
          <w:rFonts w:ascii="Times New Roman" w:cs="Times New Roman" w:eastAsia="Times New Roman" w:hAnsi="Times New Roman"/>
          <w:sz w:val="19"/>
          <w:szCs w:val="19"/>
          <w:color w:val="auto"/>
        </w:rPr>
        <w:t xml:space="preserve">”), duly completed and executed. Promptly upon receipt of the Notice of Exercise and the payment of the Purchase Price in accordance with the terms </w:t>
      </w:r>
      <w:r>
        <w:rPr>
          <w:rFonts w:ascii="Times New Roman" w:cs="Times New Roman" w:eastAsia="Times New Roman" w:hAnsi="Times New Roman"/>
          <w:sz w:val="19"/>
          <w:szCs w:val="19"/>
          <w:u w:val="single" w:color="auto"/>
          <w:color w:val="auto"/>
        </w:rPr>
        <w:t>set</w:t>
      </w:r>
      <w:r>
        <w:rPr>
          <w:rFonts w:ascii="Times New Roman" w:cs="Times New Roman" w:eastAsia="Times New Roman" w:hAnsi="Times New Roman"/>
          <w:sz w:val="19"/>
          <w:szCs w:val="19"/>
          <w:color w:val="auto"/>
        </w:rPr>
        <w:t xml:space="preserve"> forth below, and in no event later than three (3) business days thereafter, the Company or its transfer agent shall either (i) issue to the Warrantholder a certificate for the number of shares of Common Stock purchased or</w:t>
      </w:r>
    </w:p>
    <w:p>
      <w:pPr>
        <w:ind w:right="180" w:firstLine="8"/>
        <w:spacing w:after="0" w:line="242" w:lineRule="auto"/>
        <w:tabs>
          <w:tab w:leader="none" w:pos="291"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credit the same via book entry to the Warrantholder, and the Company shall execute the acknowledgment of exercise in the form attached hereto as </w:t>
      </w:r>
      <w:r>
        <w:rPr>
          <w:rFonts w:ascii="Times New Roman" w:cs="Times New Roman" w:eastAsia="Times New Roman" w:hAnsi="Times New Roman"/>
          <w:sz w:val="20"/>
          <w:szCs w:val="20"/>
          <w:u w:val="single" w:color="auto"/>
          <w:color w:val="auto"/>
        </w:rPr>
        <w:t>Exhibit II</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Acknowledgment of Exercise</w:t>
      </w:r>
      <w:r>
        <w:rPr>
          <w:rFonts w:ascii="Times New Roman" w:cs="Times New Roman" w:eastAsia="Times New Roman" w:hAnsi="Times New Roman"/>
          <w:sz w:val="20"/>
          <w:szCs w:val="20"/>
          <w:color w:val="auto"/>
        </w:rPr>
        <w:t>”) indicating the number of shares which remain subject to future purchases under this Warrant, if any.</w:t>
      </w:r>
    </w:p>
    <w:p>
      <w:pPr>
        <w:spacing w:after="0" w:line="187" w:lineRule="exact"/>
        <w:rPr>
          <w:sz w:val="20"/>
          <w:szCs w:val="20"/>
          <w:color w:val="auto"/>
        </w:rPr>
      </w:pPr>
    </w:p>
    <w:p>
      <w:pPr>
        <w:ind w:right="300" w:firstLine="1296"/>
        <w:spacing w:after="0" w:line="246" w:lineRule="auto"/>
        <w:rPr>
          <w:sz w:val="20"/>
          <w:szCs w:val="20"/>
          <w:color w:val="auto"/>
        </w:rPr>
      </w:pPr>
      <w:r>
        <w:rPr>
          <w:rFonts w:ascii="Times New Roman" w:cs="Times New Roman" w:eastAsia="Times New Roman" w:hAnsi="Times New Roman"/>
          <w:sz w:val="20"/>
          <w:szCs w:val="20"/>
          <w:color w:val="auto"/>
        </w:rPr>
        <w:t>The Purchase Price may be paid at the Warrantholder’s election either (i) by cash or check, or (ii) by surrender of all or a portion of the Warrant for shares of Common Stock to be exercised under this Agreement and, if applicable, an amended Agreement setting forth the remaining number of shares purchasable hereunder, as determined below (“</w:t>
      </w:r>
      <w:r>
        <w:rPr>
          <w:rFonts w:ascii="Times New Roman" w:cs="Times New Roman" w:eastAsia="Times New Roman" w:hAnsi="Times New Roman"/>
          <w:sz w:val="20"/>
          <w:szCs w:val="20"/>
          <w:u w:val="single" w:color="auto"/>
          <w:color w:val="auto"/>
        </w:rPr>
        <w:t>Net Issuance</w:t>
      </w:r>
      <w:r>
        <w:rPr>
          <w:rFonts w:ascii="Times New Roman" w:cs="Times New Roman" w:eastAsia="Times New Roman" w:hAnsi="Times New Roman"/>
          <w:sz w:val="20"/>
          <w:szCs w:val="20"/>
          <w:color w:val="auto"/>
        </w:rPr>
        <w:t>”). If the Warrantholder elects the Net Issuance method, the Company will issue shares of Common Stock in accordance with the following formula:</w:t>
      </w:r>
    </w:p>
    <w:p>
      <w:pPr>
        <w:spacing w:after="0" w:line="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9"/>
          <w:szCs w:val="39"/>
          <w:color w:val="auto"/>
          <w:vertAlign w:val="subscript"/>
        </w:rPr>
        <w:t>X =</w:t>
      </w:r>
      <w:r>
        <w:rPr>
          <w:rFonts w:ascii="Times New Roman" w:cs="Times New Roman" w:eastAsia="Times New Roman" w:hAnsi="Times New Roman"/>
          <w:sz w:val="20"/>
          <w:szCs w:val="20"/>
          <w:color w:val="auto"/>
        </w:rPr>
        <w:t xml:space="preserve">  Y(A-B)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-7620</wp:posOffset>
            </wp:positionV>
            <wp:extent cx="49720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0"/>
          <w:szCs w:val="20"/>
          <w:color w:val="auto"/>
        </w:rPr>
        <w:t>A</w:t>
      </w:r>
    </w:p>
    <w:p>
      <w:pPr>
        <w:spacing w:after="0" w:line="207" w:lineRule="exact"/>
        <w:rPr>
          <w:sz w:val="20"/>
          <w:szCs w:val="20"/>
          <w:color w:val="auto"/>
        </w:rPr>
      </w:pPr>
    </w:p>
    <w:p>
      <w:pPr>
        <w:spacing w:after="0"/>
        <w:tabs>
          <w:tab w:leader="none" w:pos="820" w:val="left"/>
          <w:tab w:leader="none" w:pos="1460" w:val="left"/>
        </w:tabs>
        <w:rPr>
          <w:sz w:val="20"/>
          <w:szCs w:val="20"/>
          <w:color w:val="auto"/>
        </w:rPr>
      </w:pPr>
      <w:r>
        <w:rPr>
          <w:rFonts w:ascii="Times New Roman" w:cs="Times New Roman" w:eastAsia="Times New Roman" w:hAnsi="Times New Roman"/>
          <w:sz w:val="20"/>
          <w:szCs w:val="20"/>
          <w:color w:val="auto"/>
        </w:rPr>
        <w:t>Where:</w:t>
        <w:tab/>
        <w:t>X =</w:t>
      </w:r>
      <w:r>
        <w:rPr>
          <w:sz w:val="20"/>
          <w:szCs w:val="20"/>
          <w:color w:val="auto"/>
        </w:rPr>
        <w:tab/>
      </w:r>
      <w:r>
        <w:rPr>
          <w:rFonts w:ascii="Times New Roman" w:cs="Times New Roman" w:eastAsia="Times New Roman" w:hAnsi="Times New Roman"/>
          <w:sz w:val="19"/>
          <w:szCs w:val="19"/>
          <w:color w:val="auto"/>
        </w:rPr>
        <w:t>the number of shares of Common Stock to be issued to the Warrantholder</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ind w:left="840"/>
        <w:spacing w:after="0"/>
        <w:tabs>
          <w:tab w:leader="none" w:pos="1460" w:val="left"/>
        </w:tabs>
        <w:rPr>
          <w:sz w:val="20"/>
          <w:szCs w:val="20"/>
          <w:color w:val="auto"/>
        </w:rPr>
      </w:pPr>
      <w:r>
        <w:rPr>
          <w:rFonts w:ascii="Times New Roman" w:cs="Times New Roman" w:eastAsia="Times New Roman" w:hAnsi="Times New Roman"/>
          <w:sz w:val="20"/>
          <w:szCs w:val="20"/>
          <w:color w:val="auto"/>
        </w:rPr>
        <w:t>Y =</w:t>
      </w:r>
      <w:r>
        <w:rPr>
          <w:sz w:val="20"/>
          <w:szCs w:val="20"/>
          <w:color w:val="auto"/>
        </w:rPr>
        <w:tab/>
      </w:r>
      <w:r>
        <w:rPr>
          <w:rFonts w:ascii="Times New Roman" w:cs="Times New Roman" w:eastAsia="Times New Roman" w:hAnsi="Times New Roman"/>
          <w:sz w:val="19"/>
          <w:szCs w:val="19"/>
          <w:color w:val="auto"/>
        </w:rPr>
        <w:t>the number of shares of Common Stock requested to be exercised under this Agreement.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4" w:name="page185"/>
    <w:bookmarkEnd w:id="184"/>
    <w:p>
      <w:pPr>
        <w:ind w:left="840" w:right="620"/>
        <w:spacing w:after="0" w:line="269" w:lineRule="auto"/>
        <w:rPr>
          <w:sz w:val="20"/>
          <w:szCs w:val="20"/>
          <w:color w:val="auto"/>
        </w:rPr>
      </w:pPr>
      <w:r>
        <w:rPr>
          <w:rFonts w:ascii="Times New Roman" w:cs="Times New Roman" w:eastAsia="Times New Roman" w:hAnsi="Times New Roman"/>
          <w:sz w:val="20"/>
          <w:szCs w:val="20"/>
          <w:color w:val="auto"/>
        </w:rPr>
        <w:t>A = the then-current fair market value of one (1) share of Common Stock at the time of exercise of this Warrant.</w:t>
      </w:r>
    </w:p>
    <w:p>
      <w:pPr>
        <w:spacing w:after="0" w:line="51" w:lineRule="exact"/>
        <w:rPr>
          <w:sz w:val="20"/>
          <w:szCs w:val="20"/>
          <w:color w:val="auto"/>
        </w:rPr>
      </w:pPr>
    </w:p>
    <w:p>
      <w:pPr>
        <w:ind w:left="840"/>
        <w:spacing w:after="0"/>
        <w:tabs>
          <w:tab w:leader="none" w:pos="1460" w:val="left"/>
        </w:tabs>
        <w:rPr>
          <w:sz w:val="20"/>
          <w:szCs w:val="20"/>
          <w:color w:val="auto"/>
        </w:rPr>
      </w:pPr>
      <w:r>
        <w:rPr>
          <w:rFonts w:ascii="Times New Roman" w:cs="Times New Roman" w:eastAsia="Times New Roman" w:hAnsi="Times New Roman"/>
          <w:sz w:val="20"/>
          <w:szCs w:val="20"/>
          <w:color w:val="auto"/>
        </w:rPr>
        <w:t>B =</w:t>
      </w:r>
      <w:r>
        <w:rPr>
          <w:sz w:val="20"/>
          <w:szCs w:val="20"/>
          <w:color w:val="auto"/>
        </w:rPr>
        <w:tab/>
      </w:r>
      <w:r>
        <w:rPr>
          <w:rFonts w:ascii="Times New Roman" w:cs="Times New Roman" w:eastAsia="Times New Roman" w:hAnsi="Times New Roman"/>
          <w:sz w:val="19"/>
          <w:szCs w:val="19"/>
          <w:color w:val="auto"/>
        </w:rPr>
        <w:t>the then-effective Exercise Price.</w:t>
      </w:r>
    </w:p>
    <w:p>
      <w:pPr>
        <w:spacing w:after="0" w:line="337" w:lineRule="exact"/>
        <w:rPr>
          <w:sz w:val="20"/>
          <w:szCs w:val="20"/>
          <w:color w:val="auto"/>
        </w:rPr>
      </w:pPr>
    </w:p>
    <w:p>
      <w:pPr>
        <w:ind w:right="360" w:firstLine="648"/>
        <w:spacing w:after="0" w:line="269" w:lineRule="auto"/>
        <w:rPr>
          <w:sz w:val="20"/>
          <w:szCs w:val="20"/>
          <w:color w:val="auto"/>
        </w:rPr>
      </w:pPr>
      <w:r>
        <w:rPr>
          <w:rFonts w:ascii="Times New Roman" w:cs="Times New Roman" w:eastAsia="Times New Roman" w:hAnsi="Times New Roman"/>
          <w:sz w:val="20"/>
          <w:szCs w:val="20"/>
          <w:color w:val="auto"/>
        </w:rPr>
        <w:t>For purposes of the above calculation, the current fair market value of shares of Common Stock shall mean with respect to each share of Common Stock:</w:t>
      </w:r>
    </w:p>
    <w:p>
      <w:pPr>
        <w:spacing w:after="0" w:line="159" w:lineRule="exact"/>
        <w:rPr>
          <w:sz w:val="20"/>
          <w:szCs w:val="20"/>
          <w:color w:val="auto"/>
        </w:rPr>
      </w:pPr>
    </w:p>
    <w:p>
      <w:pPr>
        <w:ind w:right="480" w:firstLine="1304"/>
        <w:spacing w:after="0" w:line="254" w:lineRule="auto"/>
        <w:tabs>
          <w:tab w:leader="none" w:pos="194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when the Common Stock is traded on a national securities exchange, inter-dealer quotation system or over-the-counter bulletin board service, the average of the closing prices over a five (5) day period ending three days before the day the current fair market value of the securities is being determined;</w:t>
      </w:r>
    </w:p>
    <w:p>
      <w:pPr>
        <w:spacing w:after="0" w:line="174" w:lineRule="exact"/>
        <w:rPr>
          <w:rFonts w:ascii="Times New Roman" w:cs="Times New Roman" w:eastAsia="Times New Roman" w:hAnsi="Times New Roman"/>
          <w:sz w:val="20"/>
          <w:szCs w:val="20"/>
          <w:color w:val="auto"/>
        </w:rPr>
      </w:pPr>
    </w:p>
    <w:p>
      <w:pPr>
        <w:ind w:firstLine="1304"/>
        <w:spacing w:after="0" w:line="249" w:lineRule="auto"/>
        <w:tabs>
          <w:tab w:leader="none" w:pos="194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exercise is in connection with a Merger Event, the fair market value of a share of Common Stock shall be deemed to be the per share value received by the holders of the outstanding shares of Common Stock pursuant to such Merger Event as determined in accordance with the definitive transaction documents executed among the parties in connection therewith; or</w:t>
      </w:r>
    </w:p>
    <w:p>
      <w:pPr>
        <w:spacing w:after="0" w:line="179" w:lineRule="exact"/>
        <w:rPr>
          <w:rFonts w:ascii="Times New Roman" w:cs="Times New Roman" w:eastAsia="Times New Roman" w:hAnsi="Times New Roman"/>
          <w:sz w:val="20"/>
          <w:szCs w:val="20"/>
          <w:color w:val="auto"/>
        </w:rPr>
      </w:pPr>
    </w:p>
    <w:p>
      <w:pPr>
        <w:ind w:right="100" w:firstLine="1304"/>
        <w:spacing w:after="0" w:line="269" w:lineRule="auto"/>
        <w:tabs>
          <w:tab w:leader="none" w:pos="194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cases other than as described in the foregoing clauses (i) and (ii), the current fair market value of a share of Common Stock shall be determined in good faith by the Company’s Board of Directors.</w:t>
      </w:r>
    </w:p>
    <w:p>
      <w:pPr>
        <w:spacing w:after="0" w:line="159" w:lineRule="exact"/>
        <w:rPr>
          <w:sz w:val="20"/>
          <w:szCs w:val="20"/>
          <w:color w:val="auto"/>
        </w:rPr>
      </w:pPr>
    </w:p>
    <w:p>
      <w:pPr>
        <w:ind w:right="20" w:firstLine="1296"/>
        <w:spacing w:after="0" w:line="249" w:lineRule="auto"/>
        <w:rPr>
          <w:sz w:val="20"/>
          <w:szCs w:val="20"/>
          <w:color w:val="auto"/>
        </w:rPr>
      </w:pPr>
      <w:r>
        <w:rPr>
          <w:rFonts w:ascii="Times New Roman" w:cs="Times New Roman" w:eastAsia="Times New Roman" w:hAnsi="Times New Roman"/>
          <w:sz w:val="20"/>
          <w:szCs w:val="20"/>
          <w:color w:val="auto"/>
        </w:rPr>
        <w:t>Upon partial exercise by either cash or Net Issuance, prior to the expiration or earlier termination hereof, the Company shall promptly issue an amended Agreement representing the remaining number of shares purchasable hereunder. All other terms and conditions of such amended Agreement shall be identical to those contained herein, including, but not limited to the date hereof.</w:t>
      </w:r>
    </w:p>
    <w:p>
      <w:pPr>
        <w:spacing w:after="0" w:line="180" w:lineRule="exact"/>
        <w:rPr>
          <w:sz w:val="20"/>
          <w:szCs w:val="20"/>
          <w:color w:val="auto"/>
        </w:rPr>
      </w:pPr>
    </w:p>
    <w:p>
      <w:pPr>
        <w:ind w:right="40" w:firstLine="656"/>
        <w:spacing w:after="0" w:line="242" w:lineRule="auto"/>
        <w:tabs>
          <w:tab w:leader="none" w:pos="1296"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Prior to Expiration</w:t>
      </w:r>
      <w:r>
        <w:rPr>
          <w:rFonts w:ascii="Times New Roman" w:cs="Times New Roman" w:eastAsia="Times New Roman" w:hAnsi="Times New Roman"/>
          <w:sz w:val="20"/>
          <w:szCs w:val="20"/>
          <w:color w:val="auto"/>
        </w:rPr>
        <w:t>. To the extent this Warrant is not previously exercised as to all shares of Common Stock subject hereto, and if the then-current fair market value of one share of Common Stock is greater than the Exercise Price then in effect, or, in the case of a Liquid Sale, where the value per share of Common Stock (as determined as of the closing of such Liquid Sale in accordance with the definitive agreements executed by the parties in connection with such Merger Event) to be paid to the holders thereof is greater than the Exercise Price then in effect, this Agreement shall be deemed automatically exercised on a Net Issuance basis pursuant to Section 3(a) (even if not surrendered) as of immediately before its expiration determined in accordance with Section 2. For purposes of such automatic exercise, the fair market value of one share of Common Stock upon such expiration shall be determined pursuant to Section 3(a). To the extent this Warrant or any portion hereof is deemed automatically exercised pursuant to this Section 3(b), the Company agrees to promptly notify the Warrantholder of the number of shares of Common Stock if any, the Warrantholder is to receive by reason of such automatic exercise, and to issue or cause its transfer agent to issue a certificate or a book-entry credit to the Warrantholder evidencing such shares.</w:t>
      </w:r>
    </w:p>
    <w:p>
      <w:pPr>
        <w:spacing w:after="0" w:line="183"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19"/>
          <w:szCs w:val="19"/>
          <w:color w:val="auto"/>
        </w:rPr>
        <w:t>RESERVATION OF SHARES.</w:t>
      </w:r>
    </w:p>
    <w:p>
      <w:pPr>
        <w:spacing w:after="0" w:line="220"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During the term of this Agreement, the Company will at all times have authorized and reserved a sufficient number of shares of its Common Stock to provide for the exercise of the rights to purchase Common Stock as provided for herein. If at any time during the term hereof the number of authorized but unissued shares of Common Stock shall not be sufficient to permit exercise of this Warrant in full, the Company will take such corporate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46" w:right="1019" w:bottom="1440" w:gutter="0" w:footer="0" w:header="0"/>
        </w:sectPr>
      </w:pPr>
    </w:p>
    <w:bookmarkStart w:id="185" w:name="page186"/>
    <w:bookmarkEnd w:id="185"/>
    <w:p>
      <w:pPr>
        <w:ind w:right="220"/>
        <w:spacing w:after="0" w:line="269" w:lineRule="auto"/>
        <w:rPr>
          <w:sz w:val="20"/>
          <w:szCs w:val="20"/>
          <w:color w:val="auto"/>
        </w:rPr>
      </w:pPr>
      <w:r>
        <w:rPr>
          <w:rFonts w:ascii="Times New Roman" w:cs="Times New Roman" w:eastAsia="Times New Roman" w:hAnsi="Times New Roman"/>
          <w:sz w:val="20"/>
          <w:szCs w:val="20"/>
          <w:color w:val="auto"/>
        </w:rPr>
        <w:t>as may, in the opinion of its counsel, be necessary to increase its authorized but unissued shares of Common Stock to such number of shares as shall be sufficient for such purposes.</w:t>
      </w:r>
    </w:p>
    <w:p>
      <w:pPr>
        <w:spacing w:after="0" w:line="155"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19"/>
          <w:szCs w:val="19"/>
          <w:color w:val="auto"/>
        </w:rPr>
        <w:t>NO FRACTIONAL SHARES OR SCRIP.</w:t>
      </w:r>
    </w:p>
    <w:p>
      <w:pPr>
        <w:spacing w:after="0" w:line="220"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20"/>
          <w:szCs w:val="20"/>
          <w:color w:val="auto"/>
        </w:rPr>
        <w:t>No fractional shares or scrip representing fractional shares shall be issued upon the exercise of this Agreement, but in lieu of such fractional shares the Company shall make a cash payment therefor in an amount equal to the product of (a) the Exercise Price then in effect multiplied by (b) the fraction of a share.</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6.</w:t>
      </w:r>
      <w:r>
        <w:rPr>
          <w:sz w:val="20"/>
          <w:szCs w:val="20"/>
          <w:color w:val="auto"/>
        </w:rPr>
        <w:tab/>
      </w:r>
      <w:r>
        <w:rPr>
          <w:rFonts w:ascii="Times New Roman" w:cs="Times New Roman" w:eastAsia="Times New Roman" w:hAnsi="Times New Roman"/>
          <w:sz w:val="19"/>
          <w:szCs w:val="19"/>
          <w:color w:val="auto"/>
        </w:rPr>
        <w:t>NO RIGHTS AS SHAREHOLDER/STOCKHOLDER.</w:t>
      </w:r>
    </w:p>
    <w:p>
      <w:pPr>
        <w:spacing w:after="0" w:line="220"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20"/>
          <w:szCs w:val="20"/>
          <w:color w:val="auto"/>
        </w:rPr>
        <w:t>Without limitation of any provision hereof, the Warrantholder agrees that this Agreement does not entitle the Warrantholder to any voting rights or other rights as a shareholder/stockholder of the Company prior to the exercise of any of the purchase rights set forth in this Agreement.</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7.</w:t>
      </w:r>
      <w:r>
        <w:rPr>
          <w:sz w:val="20"/>
          <w:szCs w:val="20"/>
          <w:color w:val="auto"/>
        </w:rPr>
        <w:tab/>
      </w:r>
      <w:r>
        <w:rPr>
          <w:rFonts w:ascii="Times New Roman" w:cs="Times New Roman" w:eastAsia="Times New Roman" w:hAnsi="Times New Roman"/>
          <w:sz w:val="19"/>
          <w:szCs w:val="19"/>
          <w:color w:val="auto"/>
        </w:rPr>
        <w:t>WARRANTHOLDER REGISTRY.</w:t>
      </w:r>
    </w:p>
    <w:p>
      <w:pPr>
        <w:spacing w:after="0" w:line="220" w:lineRule="exact"/>
        <w:rPr>
          <w:sz w:val="20"/>
          <w:szCs w:val="20"/>
          <w:color w:val="auto"/>
        </w:rPr>
      </w:pPr>
    </w:p>
    <w:p>
      <w:pPr>
        <w:jc w:val="both"/>
        <w:ind w:right="280" w:firstLine="648"/>
        <w:spacing w:after="0" w:line="254" w:lineRule="auto"/>
        <w:rPr>
          <w:sz w:val="20"/>
          <w:szCs w:val="20"/>
          <w:color w:val="auto"/>
        </w:rPr>
      </w:pPr>
      <w:r>
        <w:rPr>
          <w:rFonts w:ascii="Times New Roman" w:cs="Times New Roman" w:eastAsia="Times New Roman" w:hAnsi="Times New Roman"/>
          <w:sz w:val="20"/>
          <w:szCs w:val="20"/>
          <w:color w:val="auto"/>
        </w:rPr>
        <w:t>The Company shall maintain a registry showing the name and address of the registered holder of this Agreement. The Warrantholder’s initial address, for purposes of such registry, is set forth in Section 12(g) below. The Warrantholder may change such address by giving written notice of such changed address to the Company.</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8.</w:t>
      </w:r>
      <w:r>
        <w:rPr>
          <w:sz w:val="20"/>
          <w:szCs w:val="20"/>
          <w:color w:val="auto"/>
        </w:rPr>
        <w:tab/>
      </w:r>
      <w:r>
        <w:rPr>
          <w:rFonts w:ascii="Times New Roman" w:cs="Times New Roman" w:eastAsia="Times New Roman" w:hAnsi="Times New Roman"/>
          <w:sz w:val="19"/>
          <w:szCs w:val="19"/>
          <w:color w:val="auto"/>
        </w:rPr>
        <w:t>ADJUSTMENT RIGHTS.</w:t>
      </w:r>
    </w:p>
    <w:p>
      <w:pPr>
        <w:spacing w:after="0" w:line="220" w:lineRule="exact"/>
        <w:rPr>
          <w:sz w:val="20"/>
          <w:szCs w:val="20"/>
          <w:color w:val="auto"/>
        </w:rPr>
      </w:pPr>
    </w:p>
    <w:p>
      <w:pPr>
        <w:ind w:right="620" w:firstLine="1296"/>
        <w:spacing w:after="0" w:line="269" w:lineRule="auto"/>
        <w:rPr>
          <w:sz w:val="20"/>
          <w:szCs w:val="20"/>
          <w:color w:val="auto"/>
        </w:rPr>
      </w:pPr>
      <w:r>
        <w:rPr>
          <w:rFonts w:ascii="Times New Roman" w:cs="Times New Roman" w:eastAsia="Times New Roman" w:hAnsi="Times New Roman"/>
          <w:sz w:val="20"/>
          <w:szCs w:val="20"/>
          <w:color w:val="auto"/>
        </w:rPr>
        <w:t>The Exercise Price and the number of shares of Common Stock purchasable hereunder are subject to adjustment from time to time, as follows:</w:t>
      </w:r>
    </w:p>
    <w:p>
      <w:pPr>
        <w:spacing w:after="0" w:line="159" w:lineRule="exact"/>
        <w:rPr>
          <w:sz w:val="20"/>
          <w:szCs w:val="20"/>
          <w:color w:val="auto"/>
        </w:rPr>
      </w:pPr>
    </w:p>
    <w:p>
      <w:pPr>
        <w:ind w:right="40" w:firstLine="1304"/>
        <w:spacing w:after="0" w:line="241" w:lineRule="auto"/>
        <w:tabs>
          <w:tab w:leader="none" w:pos="194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Merger Event</w:t>
      </w:r>
      <w:r>
        <w:rPr>
          <w:rFonts w:ascii="Times New Roman" w:cs="Times New Roman" w:eastAsia="Times New Roman" w:hAnsi="Times New Roman"/>
          <w:sz w:val="20"/>
          <w:szCs w:val="20"/>
          <w:color w:val="auto"/>
        </w:rPr>
        <w:t>. In connection with a Merger Event that is a Liquid Sale, this Warrant shall, on and after the closing thereof, automatically and without further action on the part of any party or other person, represent the right to receive the consideration payable on or in respect of all shares of Common Stock that are issuable hereunder as of immediately prior to the closing of such Merger Event less the Purchase Price for all such shares of Common Stock (such consideration to include both the consideration payable at the closing of such Merger Event and all deferred consideration payable thereafter, if any, including, but not limited to, payments of amounts deposited at such closing into escrow and payments in the nature of earn-outs, milestone payments or other performance-based payments), and such Merger Event consideration shall be paid to the Warrantholder as and when it is paid to the holders of the outstanding shares of Common Stock. In connection with a Merger Event that is not a Liquid Sale, the Company shall cause the successor or surviving entity to assume this Warrant and the obligations of the Company hereunder on the closing thereof, and thereafter this Warrant shall be exercisable for the same number and type of securities or other property as the Warrantholder would have received in consideration for the shares of Common Stock issuable hereunder had it exercised this Warrant in full as of immediately prior to such closing, at an aggregate Exercise Price no greater than the aggregate Exercise Price in effect as of immediately prior to such closing, and subject to further adjustment from time to time in accordance with the provisions of this Warrant. The provisions of this Section 8(a) shall similarly apply to successive Merger Events.</w:t>
      </w:r>
    </w:p>
    <w:p>
      <w:pPr>
        <w:spacing w:after="0" w:line="194" w:lineRule="exact"/>
        <w:rPr>
          <w:rFonts w:ascii="Times New Roman" w:cs="Times New Roman" w:eastAsia="Times New Roman" w:hAnsi="Times New Roman"/>
          <w:sz w:val="20"/>
          <w:szCs w:val="20"/>
          <w:color w:val="auto"/>
        </w:rPr>
      </w:pPr>
    </w:p>
    <w:p>
      <w:pPr>
        <w:ind w:firstLine="1304"/>
        <w:spacing w:after="0" w:line="243" w:lineRule="auto"/>
        <w:tabs>
          <w:tab w:leader="none" w:pos="194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Reclassification of Shares</w:t>
      </w:r>
      <w:r>
        <w:rPr>
          <w:rFonts w:ascii="Times New Roman" w:cs="Times New Roman" w:eastAsia="Times New Roman" w:hAnsi="Times New Roman"/>
          <w:sz w:val="20"/>
          <w:szCs w:val="20"/>
          <w:color w:val="auto"/>
        </w:rPr>
        <w:t>. Except for Merger Events subject to Section 8(a), if the Company at any time shall, by combination, reclassification, exchange or subdivision of securities or otherwise, change any of the securities as to which purchase rights under this Agreement exist into the same or a different number of securities of any other class or classes of securities, this Agreement shall thereafter represent the right to acquire such number and kind of securities as would have been issuable as the result of such change with respect to the securities which were subject to the purchase rights under this Agreement immediately prior to such combination, reclassification, exchange, subdivision or other change. The provisions of this Section 8(b) shall similarly apply to successive combination, reclassification, exchange, subdivision or other change.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346" w:right="1019" w:bottom="1440" w:gutter="0" w:footer="0" w:header="0"/>
        </w:sectPr>
      </w:pPr>
    </w:p>
    <w:bookmarkStart w:id="186" w:name="page187"/>
    <w:bookmarkEnd w:id="186"/>
    <w:p>
      <w:pPr>
        <w:ind w:left="-60" w:right="140" w:firstLine="1304"/>
        <w:spacing w:after="0" w:line="246" w:lineRule="auto"/>
        <w:tabs>
          <w:tab w:leader="none" w:pos="188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Subdivision or Combination of Shares</w:t>
      </w:r>
      <w:r>
        <w:rPr>
          <w:rFonts w:ascii="Times New Roman" w:cs="Times New Roman" w:eastAsia="Times New Roman" w:hAnsi="Times New Roman"/>
          <w:sz w:val="20"/>
          <w:szCs w:val="20"/>
          <w:color w:val="auto"/>
        </w:rPr>
        <w:t>. If the Company at any time shall combine or subdivide its Common Stock, (i) in the case of a subdivision, the Exercise Price shall be proportionately decreased and the number of shares for which this Warrant is exercisable shall be proportionately increased, or (ii) in the case of a combination, the Exercise Price shall be proportionately increased and the number of shares for which this Warrant is exercisable shall be proportionately decreased.</w:t>
      </w:r>
    </w:p>
    <w:p>
      <w:pPr>
        <w:spacing w:after="0" w:line="184" w:lineRule="exact"/>
        <w:rPr>
          <w:rFonts w:ascii="Times New Roman" w:cs="Times New Roman" w:eastAsia="Times New Roman" w:hAnsi="Times New Roman"/>
          <w:sz w:val="20"/>
          <w:szCs w:val="20"/>
          <w:color w:val="auto"/>
        </w:rPr>
      </w:pPr>
    </w:p>
    <w:p>
      <w:pPr>
        <w:ind w:left="1900" w:hanging="656"/>
        <w:spacing w:after="0"/>
        <w:tabs>
          <w:tab w:leader="none" w:pos="190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 If the Company at any time while this Agreement is outstanding and unexpired shall:</w:t>
      </w:r>
    </w:p>
    <w:p>
      <w:pPr>
        <w:spacing w:after="0" w:line="215" w:lineRule="exact"/>
        <w:rPr>
          <w:rFonts w:ascii="Times New Roman" w:cs="Times New Roman" w:eastAsia="Times New Roman" w:hAnsi="Times New Roman"/>
          <w:sz w:val="20"/>
          <w:szCs w:val="20"/>
          <w:color w:val="auto"/>
        </w:rPr>
      </w:pPr>
    </w:p>
    <w:p>
      <w:pPr>
        <w:ind w:left="-60" w:firstLine="1952"/>
        <w:spacing w:after="0" w:line="244" w:lineRule="auto"/>
        <w:tabs>
          <w:tab w:leader="none" w:pos="2532"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a dividend with respect to the Common Stock payable in additional shares of Common Stock, then the Exercise Price shall be adjusted, from and after the date of determination of stockholders entitled to receive such dividend, to that price determined by multiplying the Exercise Price in effect immediately prior to such date of determination by a fraction (A) the numerator of which shall be the total number of shares of Common Stock outstanding immediately prior to such dividend or distribution, and (B) the denominator of which shall be the total number of shares of Common Stock outstanding immediately after such dividend or distribution, and the number of shares of Common Stock for which this Warrant is exercisable shall be proportionately increased; or</w:t>
      </w:r>
    </w:p>
    <w:p>
      <w:pPr>
        <w:spacing w:after="0" w:line="185" w:lineRule="exact"/>
        <w:rPr>
          <w:rFonts w:ascii="Times New Roman" w:cs="Times New Roman" w:eastAsia="Times New Roman" w:hAnsi="Times New Roman"/>
          <w:sz w:val="20"/>
          <w:szCs w:val="20"/>
          <w:color w:val="auto"/>
        </w:rPr>
      </w:pPr>
    </w:p>
    <w:p>
      <w:pPr>
        <w:ind w:left="-60" w:right="200" w:firstLine="1952"/>
        <w:spacing w:after="0" w:line="245" w:lineRule="auto"/>
        <w:tabs>
          <w:tab w:leader="none" w:pos="2532"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other dividend or distribution on or with respect to Common Stock, except any dividend or distribution specifically provided for in any other clause of this Section 8, then, in each such case, provision shall be made by the Company such that the Warrantholder shall receive upon exercise or conversion of this Warrant a proportionate share of any such dividend or distribution as though it were the holder of the Common Stock (or other stock for which the Common Stock is convertible) as of the record date fixed for the determination of the stockholders of the Company entitled to receive such dividend or distribution.</w:t>
      </w:r>
    </w:p>
    <w:p>
      <w:pPr>
        <w:spacing w:after="0" w:line="184" w:lineRule="exact"/>
        <w:rPr>
          <w:rFonts w:ascii="Times New Roman" w:cs="Times New Roman" w:eastAsia="Times New Roman" w:hAnsi="Times New Roman"/>
          <w:sz w:val="20"/>
          <w:szCs w:val="20"/>
          <w:color w:val="auto"/>
        </w:rPr>
      </w:pPr>
    </w:p>
    <w:p>
      <w:pPr>
        <w:ind w:left="-60" w:right="60" w:firstLine="1304"/>
        <w:spacing w:after="0" w:line="242" w:lineRule="auto"/>
        <w:tabs>
          <w:tab w:leader="none" w:pos="188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Certain Events</w:t>
      </w:r>
      <w:r>
        <w:rPr>
          <w:rFonts w:ascii="Times New Roman" w:cs="Times New Roman" w:eastAsia="Times New Roman" w:hAnsi="Times New Roman"/>
          <w:sz w:val="20"/>
          <w:szCs w:val="20"/>
          <w:color w:val="auto"/>
        </w:rPr>
        <w:t>. If: (i) the Company shall declare any dividend or distribution upon its outstanding Common Stock, payable in stock, cash, property or other securities (provided that the Warrantholder in its capacity as lender under the Loan Agreement consents to such dividend); (ii) the Company shall offer for subscription pro rata to the holders of its Common Stock any additional shares of stock of any class or other rights; (iii) there shall be any Merger Event; or (iv) there shall be any voluntary dissolution, liquidation or winding up of the Company; then, in connection with each such event, the Company shall give the Warrantholder notice thereof at the same time and in the same manner as it gives notice thereof to the holders of outstanding Common Stock. In addition, if at any time the number of shares of Common Stock (or other securities of any other class or classes of securities of the Company for which this Warrant is then exercisable) outstanding is reduced such that the number of shares of Common Stock or other securities issuable upon exercise of this Warrant shall exceed five percent (5%) of the then outstanding class of such securities, then, within three (3) business days of such event, the Company shall give the Warrantholder written notice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356870</wp:posOffset>
            </wp:positionV>
            <wp:extent cx="629221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040" w:top="118" w:right="1059" w:bottom="1440" w:gutter="0" w:footer="0" w:header="0"/>
        </w:sectPr>
      </w:pPr>
    </w:p>
    <w:bookmarkStart w:id="187" w:name="page188"/>
    <w:bookmarkEnd w:id="187"/>
    <w:p>
      <w:pPr>
        <w:ind w:left="66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9.</w:t>
      </w:r>
      <w:r>
        <w:rPr>
          <w:sz w:val="20"/>
          <w:szCs w:val="20"/>
          <w:color w:val="auto"/>
        </w:rPr>
        <w:tab/>
      </w:r>
      <w:r>
        <w:rPr>
          <w:rFonts w:ascii="Times New Roman" w:cs="Times New Roman" w:eastAsia="Times New Roman" w:hAnsi="Times New Roman"/>
          <w:sz w:val="19"/>
          <w:szCs w:val="19"/>
          <w:color w:val="auto"/>
        </w:rPr>
        <w:t>REPRESENTATIONS, WARRANTIES AND COVENANTS OF THE COMPANY.</w:t>
      </w:r>
    </w:p>
    <w:p>
      <w:pPr>
        <w:spacing w:after="0" w:line="219" w:lineRule="exact"/>
        <w:rPr>
          <w:sz w:val="20"/>
          <w:szCs w:val="20"/>
          <w:color w:val="auto"/>
        </w:rPr>
      </w:pPr>
    </w:p>
    <w:p>
      <w:pPr>
        <w:ind w:right="40" w:firstLine="656"/>
        <w:spacing w:after="0" w:line="242" w:lineRule="auto"/>
        <w:tabs>
          <w:tab w:leader="none" w:pos="972"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Reservation of Common Stock</w:t>
      </w:r>
      <w:r>
        <w:rPr>
          <w:rFonts w:ascii="Times New Roman" w:cs="Times New Roman" w:eastAsia="Times New Roman" w:hAnsi="Times New Roman"/>
          <w:sz w:val="20"/>
          <w:szCs w:val="20"/>
          <w:color w:val="auto"/>
        </w:rPr>
        <w:t>. The Company covenants and agrees that all shares of Common Stock that may be issued upon the exercise of the rights represented by this Warrant will, upon issuance, be validly issued and outstanding, fully paid and non-assessable, and will be free of any taxes, liens, charges or encumbrances of any nature whatsoever; provided, that the Common Stock issuable pursuant to this Agreement may be subject to restrictions on transfer under state and/or federal securities laws. The Company has made available to the Warrantholder true, correct and complete copies of its Charter and bylaws currently in effect. The issuance of certificates or book-entry credit for shares of Common Stock upon exercise of this Warrant shall be made without charge to the Warrantholder for any issuance tax in respect thereof, or other cost incurred by the Company in connection with such exercise and related issuance of shares of Common Stock. The Company further covenants and agrees that the Company will, at all times during the term hereof, have authorized and reserved, free from preemptive rights, a sufficient number of shares of Common Stock to provide for the exercise of the rights represented by this Warrant.</w:t>
      </w:r>
    </w:p>
    <w:p>
      <w:pPr>
        <w:spacing w:after="0" w:line="189" w:lineRule="exact"/>
        <w:rPr>
          <w:rFonts w:ascii="Times New Roman" w:cs="Times New Roman" w:eastAsia="Times New Roman" w:hAnsi="Times New Roman"/>
          <w:sz w:val="20"/>
          <w:szCs w:val="20"/>
          <w:color w:val="auto"/>
        </w:rPr>
      </w:pPr>
    </w:p>
    <w:p>
      <w:pPr>
        <w:jc w:val="both"/>
        <w:ind w:right="140" w:firstLine="656"/>
        <w:spacing w:after="0" w:line="260" w:lineRule="auto"/>
        <w:tabs>
          <w:tab w:leader="none" w:pos="972"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Due Authority</w:t>
      </w:r>
      <w:r>
        <w:rPr>
          <w:rFonts w:ascii="Times New Roman" w:cs="Times New Roman" w:eastAsia="Times New Roman" w:hAnsi="Times New Roman"/>
          <w:sz w:val="19"/>
          <w:szCs w:val="19"/>
          <w:color w:val="auto"/>
        </w:rPr>
        <w:t>. The execution and delivery by the Company of this Agreement and the performance of all obligations of the Company hereunder, including the issuance to the Warrantholder of the right to acquire the shares of Common Stock, have been duly authorized by all necessary corporate action on the part of the Company. This Agreement:</w:t>
      </w:r>
    </w:p>
    <w:p>
      <w:pPr>
        <w:ind w:firstLine="8"/>
        <w:spacing w:after="0"/>
        <w:tabs>
          <w:tab w:leader="none" w:pos="236"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violate the Charter or the Company’s current bylaws; (ii) does not contravene any law or governmental rule, regulation or order applicable to the Company; and (iii) except as could not reasonably be expected to have a Material Adverse Effect (as defined in the Loan Agreement), does not and will not contravene any provision of, or constitute a default under, any indenture, mortgage, contract or other instrument to which the Company is a party or by which it is bound. This Agreement constitutes a legal, valid and binding agreement of the Company, enforceable in accordance with its terms, except as may be limited by bankruptcy, insolvency, reorganization, moratorium or similar laws relating to or affecting creditors’ rights generally (including, without limitation, fraudulent conveyance laws) and by general principles of equity, regardless of whether considered in a proceeding in equity or at law.</w:t>
      </w:r>
    </w:p>
    <w:p>
      <w:pPr>
        <w:spacing w:after="0" w:line="190" w:lineRule="exact"/>
        <w:rPr>
          <w:rFonts w:ascii="Times New Roman" w:cs="Times New Roman" w:eastAsia="Times New Roman" w:hAnsi="Times New Roman"/>
          <w:sz w:val="20"/>
          <w:szCs w:val="20"/>
          <w:color w:val="auto"/>
        </w:rPr>
      </w:pPr>
    </w:p>
    <w:p>
      <w:pPr>
        <w:ind w:firstLine="656"/>
        <w:spacing w:after="0" w:line="246" w:lineRule="auto"/>
        <w:tabs>
          <w:tab w:leader="none" w:pos="972"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Consents and Approvals</w:t>
      </w:r>
      <w:r>
        <w:rPr>
          <w:rFonts w:ascii="Times New Roman" w:cs="Times New Roman" w:eastAsia="Times New Roman" w:hAnsi="Times New Roman"/>
          <w:sz w:val="20"/>
          <w:szCs w:val="20"/>
          <w:color w:val="auto"/>
        </w:rPr>
        <w:t>. No consent or approval of, giving of notice to, registration with, or taking of any other action in respect of any state, federal or other governmental authority or agency is required with respect to the execution, delivery and performance by the Company of its obligations under this Agreement, except for the filing of notices pursuant to Regulation D under the Act and any filing required by applicable state securities law, which filings will be effective by the time required thereby.</w:t>
      </w:r>
    </w:p>
    <w:p>
      <w:pPr>
        <w:spacing w:after="0" w:line="184" w:lineRule="exact"/>
        <w:rPr>
          <w:rFonts w:ascii="Times New Roman" w:cs="Times New Roman" w:eastAsia="Times New Roman" w:hAnsi="Times New Roman"/>
          <w:sz w:val="20"/>
          <w:szCs w:val="20"/>
          <w:color w:val="auto"/>
        </w:rPr>
      </w:pPr>
    </w:p>
    <w:p>
      <w:pPr>
        <w:ind w:right="100" w:firstLine="656"/>
        <w:spacing w:after="0" w:line="249" w:lineRule="auto"/>
        <w:tabs>
          <w:tab w:leader="none" w:pos="972"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Exempt Transaction</w:t>
      </w:r>
      <w:r>
        <w:rPr>
          <w:rFonts w:ascii="Times New Roman" w:cs="Times New Roman" w:eastAsia="Times New Roman" w:hAnsi="Times New Roman"/>
          <w:sz w:val="20"/>
          <w:szCs w:val="20"/>
          <w:color w:val="auto"/>
        </w:rPr>
        <w:t>. Subject to the accuracy of the Warrantholder’s representations in Section 10, the issuance of the Common Stock upon exercise of this Agreement will constitute a transaction exempt from (i) the registration requirements of Section 5 of the Act, in reliance upon Section 4(a)(2) thereof, and (ii) the qualification requirements of the applicable state securities laws.</w:t>
      </w:r>
    </w:p>
    <w:p>
      <w:pPr>
        <w:spacing w:after="0" w:line="179" w:lineRule="exact"/>
        <w:rPr>
          <w:rFonts w:ascii="Times New Roman" w:cs="Times New Roman" w:eastAsia="Times New Roman" w:hAnsi="Times New Roman"/>
          <w:sz w:val="20"/>
          <w:szCs w:val="20"/>
          <w:color w:val="auto"/>
        </w:rPr>
      </w:pPr>
    </w:p>
    <w:p>
      <w:pPr>
        <w:ind w:firstLine="656"/>
        <w:spacing w:after="0" w:line="258" w:lineRule="auto"/>
        <w:tabs>
          <w:tab w:leader="none" w:pos="972" w:val="left"/>
        </w:tabs>
        <w:numPr>
          <w:ilvl w:val="1"/>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Information Rights</w:t>
      </w:r>
      <w:r>
        <w:rPr>
          <w:rFonts w:ascii="Times New Roman" w:cs="Times New Roman" w:eastAsia="Times New Roman" w:hAnsi="Times New Roman"/>
          <w:sz w:val="19"/>
          <w:szCs w:val="19"/>
          <w:color w:val="auto"/>
        </w:rPr>
        <w:t>. At all times (if any) prior to the earlier to occur of (x) the date on which all shares of Common Stock issued on exercise of this Warrant have been sold, or (y) the expiration or earlier termination of this Warrant, when the Company shall not be required to file reports pursuant to Section 13 or 15(d) of the Exchange Act or shall not have timely filed all such required reports, the Warrantholder shall be entitled to the information rights contained in Section 7.1(b)</w:t>
      </w:r>
    </w:p>
    <w:p>
      <w:pPr>
        <w:ind w:right="80"/>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(f) of the Loan Agreement, and in any such event Section 7.1(b) – (f) of the Loan Agreement is hereby incorporated into this Agreement by this reference as though fully set forth herein, provided, however, that the Company shall not be required to deliver a Compliance Certificate once all Indebtedness (as defined in the Loan Agreement) owed by the Company and its Subsidiaries to Warrantholder has been repaid.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4" w:right="1019" w:bottom="1440" w:gutter="0" w:footer="0" w:header="0"/>
        </w:sectPr>
      </w:pPr>
    </w:p>
    <w:bookmarkStart w:id="188" w:name="page189"/>
    <w:bookmarkEnd w:id="188"/>
    <w:p>
      <w:pPr>
        <w:ind w:right="100" w:firstLine="656"/>
        <w:spacing w:after="0" w:line="242" w:lineRule="auto"/>
        <w:tabs>
          <w:tab w:leader="none" w:pos="97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of Shares</w:t>
      </w:r>
      <w:r>
        <w:rPr>
          <w:rFonts w:ascii="Times New Roman" w:cs="Times New Roman" w:eastAsia="Times New Roman" w:hAnsi="Times New Roman"/>
          <w:sz w:val="20"/>
          <w:szCs w:val="20"/>
          <w:color w:val="auto"/>
        </w:rPr>
        <w:t xml:space="preserve">. If the Company proposes to register (including, for this purpose, a registration effected by the Company for the sale by the Company of its securities and/or the resale of securities of the Company by security holders other than the Warrantholder) the sale or resale of any of its Common Shares or other securities under the Act in connection with the public offering of such securities (other than in an Excluded Registration), the Company shall cause to be registered all of the Registrable Securities in such registration. The Company shall have the right to terminate or withdraw any registration initiated by it under this Section 9(f) before the effective date of such registration,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Company’s obligations to register the Registrable Securities under this Section 9(f) in any subsequent registration (other than in an Excluded Registration) shall continue following any such termination or withdrawal. All fees and expenses incident to the Company’s performance of or compliance with its obligations under this Section 9(f) (excluding any underwriting discounts and selling commissions) shall be borne by the Company.</w:t>
      </w:r>
    </w:p>
    <w:p>
      <w:pPr>
        <w:spacing w:after="0" w:line="191" w:lineRule="exact"/>
        <w:rPr>
          <w:rFonts w:ascii="Times New Roman" w:cs="Times New Roman" w:eastAsia="Times New Roman" w:hAnsi="Times New Roman"/>
          <w:sz w:val="20"/>
          <w:szCs w:val="20"/>
          <w:color w:val="auto"/>
        </w:rPr>
      </w:pPr>
    </w:p>
    <w:p>
      <w:pPr>
        <w:ind w:firstLine="656"/>
        <w:spacing w:after="0" w:line="242" w:lineRule="auto"/>
        <w:tabs>
          <w:tab w:leader="none" w:pos="97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Rule 144 Compliance</w:t>
      </w:r>
      <w:r>
        <w:rPr>
          <w:rFonts w:ascii="Times New Roman" w:cs="Times New Roman" w:eastAsia="Times New Roman" w:hAnsi="Times New Roman"/>
          <w:sz w:val="20"/>
          <w:szCs w:val="20"/>
          <w:color w:val="auto"/>
        </w:rPr>
        <w:t>. The Company shall, at all times prior to the earlier to occur of (i) the date of sale or other disposition by Warrantholder of this Warrant or all shares of Common Stock issued on exercise of this Warrant, (ii) the registration pursuant to subsection (f) above of the shares issued on exercise of this Warrant, or (iii) the expiration or earlier termination of this Warrant if the Warrant has not been exercised in full or in part on such date, use all commercially reasonable efforts to timely file all reports required under the Exchange Act and otherwise timely take all actions necessary to permit the Warrantholder to sell or otherwise dispose of this Warrant and the shares of Common Stock issued on exercise hereof pursuant to Rule 144 promulgated under the Act (“Rule 144”), provided that the foregoing shall not apply in the event of a Merger Event following which the successor or surviving entity is not subject to the reporting requirements of the Exchange Act. If the Warrantholder proposes to sell Common Stock issuable upon the exercise of this Agreement in compliance with Rule 144, then, upon the Warrantholder’s written request to the Company, the Company shall furnish to the Warrantholder, within five (5) business days after receipt of such request, a written statement confirming the Company’s compliance with the filing and other requirements of such Rule 144.</w:t>
      </w:r>
    </w:p>
    <w:p>
      <w:pPr>
        <w:spacing w:after="0" w:line="1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 xml:space="preserve">SECTION 10. </w:t>
      </w:r>
      <w:r>
        <w:rPr>
          <w:rFonts w:ascii="Times New Roman" w:cs="Times New Roman" w:eastAsia="Times New Roman" w:hAnsi="Times New Roman"/>
          <w:sz w:val="20"/>
          <w:szCs w:val="20"/>
          <w:color w:val="auto"/>
        </w:rPr>
        <w:t>REPRESENTATIONS AND COVENANTS OF THE WARRANTHOLDER.</w:t>
      </w:r>
    </w:p>
    <w:p>
      <w:pPr>
        <w:spacing w:after="0" w:line="220"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This Agreement has been entered into by the Company in reliance upon the following representations and covenants of the Warrantholder:</w:t>
      </w:r>
    </w:p>
    <w:p>
      <w:pPr>
        <w:spacing w:after="0" w:line="159" w:lineRule="exact"/>
        <w:rPr>
          <w:sz w:val="20"/>
          <w:szCs w:val="20"/>
          <w:color w:val="auto"/>
        </w:rPr>
      </w:pPr>
    </w:p>
    <w:p>
      <w:pPr>
        <w:jc w:val="both"/>
        <w:ind w:right="120" w:firstLine="656"/>
        <w:spacing w:after="0" w:line="249" w:lineRule="auto"/>
        <w:tabs>
          <w:tab w:leader="none" w:pos="972"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Investment Purpose</w:t>
      </w:r>
      <w:r>
        <w:rPr>
          <w:rFonts w:ascii="Times New Roman" w:cs="Times New Roman" w:eastAsia="Times New Roman" w:hAnsi="Times New Roman"/>
          <w:sz w:val="20"/>
          <w:szCs w:val="20"/>
          <w:color w:val="auto"/>
        </w:rPr>
        <w:t>. This Warrant and the shares issued on exercise hereof will be acquired for investment and not with a view to the sale or distribution of any part thereof in violation of applicable federal and state securities laws, and the Warrantholder has no present intention of selling or engaging in any public distribution of the same except pursuant to a registration or exemption.</w:t>
      </w:r>
    </w:p>
    <w:p>
      <w:pPr>
        <w:spacing w:after="0" w:line="179" w:lineRule="exact"/>
        <w:rPr>
          <w:rFonts w:ascii="Times New Roman" w:cs="Times New Roman" w:eastAsia="Times New Roman" w:hAnsi="Times New Roman"/>
          <w:sz w:val="20"/>
          <w:szCs w:val="20"/>
          <w:color w:val="auto"/>
        </w:rPr>
      </w:pPr>
    </w:p>
    <w:p>
      <w:pPr>
        <w:ind w:right="120" w:firstLine="656"/>
        <w:spacing w:after="0" w:line="249" w:lineRule="auto"/>
        <w:tabs>
          <w:tab w:leader="none" w:pos="972"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Private Issue</w:t>
      </w:r>
      <w:r>
        <w:rPr>
          <w:rFonts w:ascii="Times New Roman" w:cs="Times New Roman" w:eastAsia="Times New Roman" w:hAnsi="Times New Roman"/>
          <w:sz w:val="20"/>
          <w:szCs w:val="20"/>
          <w:color w:val="auto"/>
        </w:rPr>
        <w:t>. The Warrantholder understands that (i) the Common Stock issuable upon exercise of this Agreement is not, as of the Original Issue or Effective Date, registered under the Act or qualified under applicable state securities laws, and (ii) the Company’s reliance on exemption from such registration is predicated on the representations set forth in this Section 10.</w:t>
      </w:r>
    </w:p>
    <w:p>
      <w:pPr>
        <w:spacing w:after="0" w:line="180" w:lineRule="exact"/>
        <w:rPr>
          <w:sz w:val="20"/>
          <w:szCs w:val="20"/>
          <w:color w:val="auto"/>
        </w:rPr>
      </w:pPr>
    </w:p>
    <w:p>
      <w:pPr>
        <w:ind w:right="100" w:firstLine="656"/>
        <w:spacing w:after="0" w:line="247" w:lineRule="auto"/>
        <w:tabs>
          <w:tab w:leader="none" w:pos="1296"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Risk</w:t>
      </w:r>
      <w:r>
        <w:rPr>
          <w:rFonts w:ascii="Times New Roman" w:cs="Times New Roman" w:eastAsia="Times New Roman" w:hAnsi="Times New Roman"/>
          <w:sz w:val="20"/>
          <w:szCs w:val="20"/>
          <w:color w:val="auto"/>
        </w:rPr>
        <w:t>. The Warrantholder has such knowledge and experience­ in financial and business matters as to be capable of evaluating the merits and risks of its investment, and has the ability to bear the economic risks of its investment.</w:t>
      </w:r>
    </w:p>
    <w:p>
      <w:pPr>
        <w:ind w:right="820" w:firstLine="648"/>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Accredited Investor</w:t>
      </w:r>
      <w:r>
        <w:rPr>
          <w:rFonts w:ascii="Times New Roman" w:cs="Times New Roman" w:eastAsia="Times New Roman" w:hAnsi="Times New Roman"/>
          <w:sz w:val="20"/>
          <w:szCs w:val="20"/>
          <w:color w:val="auto"/>
        </w:rPr>
        <w:t>. The Warrantholder is an “accredited investor” within the meaning of Rule 501 of Regulation D promulgated under the Act, as presently in effect (“Regulation D”).</w:t>
      </w:r>
    </w:p>
    <w:p>
      <w:pPr>
        <w:spacing w:after="0" w:line="182" w:lineRule="exact"/>
        <w:rPr>
          <w:sz w:val="20"/>
          <w:szCs w:val="20"/>
          <w:color w:val="auto"/>
        </w:rPr>
      </w:pPr>
    </w:p>
    <w:p>
      <w:pPr>
        <w:ind w:right="80" w:firstLine="656"/>
        <w:spacing w:after="0" w:line="249" w:lineRule="auto"/>
        <w:tabs>
          <w:tab w:leader="none" w:pos="972"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Short Sales</w:t>
      </w:r>
      <w:r>
        <w:rPr>
          <w:rFonts w:ascii="Times New Roman" w:cs="Times New Roman" w:eastAsia="Times New Roman" w:hAnsi="Times New Roman"/>
          <w:sz w:val="20"/>
          <w:szCs w:val="20"/>
          <w:color w:val="auto"/>
        </w:rPr>
        <w:t>. The Warrantholder has not at any time on or prior to the Original Issue or Effective Date engaged in any short sales or equivalent transactions in the Common Stock. Warrantholder agrees that at all times from and after the Effective Date and on or before the expiration or earlier termination of this Warrant, it shall not engage in any short sales or equivalent transactions in the Common Stock.</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9" w:name="page190"/>
    <w:bookmarkEnd w:id="189"/>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SECTION 11. </w:t>
      </w:r>
      <w:r>
        <w:rPr>
          <w:rFonts w:ascii="Times New Roman" w:cs="Times New Roman" w:eastAsia="Times New Roman" w:hAnsi="Times New Roman"/>
          <w:sz w:val="20"/>
          <w:szCs w:val="20"/>
          <w:color w:val="auto"/>
        </w:rPr>
        <w:t>TRANSFERS.</w:t>
      </w:r>
    </w:p>
    <w:p>
      <w:pPr>
        <w:spacing w:after="0" w:line="21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9"/>
          <w:szCs w:val="19"/>
          <w:color w:val="auto"/>
        </w:rPr>
        <w:t>Subject to compliance with applicable federal and state securities laws, this Agreement and all rights hereunder are transferable, in whole or in part, without charge to the holder hereof (except for transfer taxes) upon surrender of this Agreement properly endorsed. Each taker and holder of this Agreement, by taking or holding the same, consents and agrees that this Agreement, when endorsed in blank, shall be deemed negotiable, and that the holder hereof, when this Agreement shall have been so endorsed and its transfer recorded on the Company’s books, shall be treated by the Company and all other persons dealing with this Agreement as the absolute owner hereof for any purpose and as the person entitled to exercise the rights represented by this Agreement. The transfer of this Agreement shall be recorded on the books of the Company upon receipt by the Company of a notice of transfer in the form attached hereto as Exhibit III (the “</w:t>
      </w:r>
      <w:r>
        <w:rPr>
          <w:rFonts w:ascii="Times New Roman" w:cs="Times New Roman" w:eastAsia="Times New Roman" w:hAnsi="Times New Roman"/>
          <w:sz w:val="19"/>
          <w:szCs w:val="19"/>
          <w:u w:val="single" w:color="auto"/>
          <w:color w:val="auto"/>
        </w:rPr>
        <w:t>Transfer Notice</w:t>
      </w:r>
      <w:r>
        <w:rPr>
          <w:rFonts w:ascii="Times New Roman" w:cs="Times New Roman" w:eastAsia="Times New Roman" w:hAnsi="Times New Roman"/>
          <w:sz w:val="19"/>
          <w:szCs w:val="19"/>
          <w:color w:val="auto"/>
        </w:rPr>
        <w:t>”), at its principal offices and the payment to the Company of all transfer taxes and other governmental charges imposed on such transfer. Until the Company receives such Transfer Notice, the Company may treat the registered owner hereof as the owner for all purposes. Notwithstanding anything herein or in any legend to the contrary, the Company shall not require an opinion of counsel in connection with any sale, assignment or other transfer by the Warrantholder of this Warrant (or any portion hereof or any interest herein) or of any shares of Common Stock issued upon any exercise hereof to an affiliate (as defined in Regulation D) of the Warrantholder, provided that such affiliate is an “accredited investor” as defined in Regulation D.</w:t>
      </w:r>
    </w:p>
    <w:p>
      <w:pPr>
        <w:spacing w:after="0" w:line="1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 xml:space="preserve">SECTION 12. </w:t>
      </w:r>
      <w:r>
        <w:rPr>
          <w:rFonts w:ascii="Times New Roman" w:cs="Times New Roman" w:eastAsia="Times New Roman" w:hAnsi="Times New Roman"/>
          <w:sz w:val="20"/>
          <w:szCs w:val="20"/>
          <w:color w:val="auto"/>
        </w:rPr>
        <w:t>MISCELLANEOUS.</w:t>
      </w:r>
    </w:p>
    <w:p>
      <w:pPr>
        <w:spacing w:after="0" w:line="220" w:lineRule="exact"/>
        <w:rPr>
          <w:sz w:val="20"/>
          <w:szCs w:val="20"/>
          <w:color w:val="auto"/>
        </w:rPr>
      </w:pPr>
    </w:p>
    <w:p>
      <w:pPr>
        <w:ind w:right="520" w:firstLine="656"/>
        <w:spacing w:after="0" w:line="254" w:lineRule="auto"/>
        <w:tabs>
          <w:tab w:leader="none" w:pos="972"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Original Issue Date</w:t>
      </w:r>
      <w:r>
        <w:rPr>
          <w:rFonts w:ascii="Times New Roman" w:cs="Times New Roman" w:eastAsia="Times New Roman" w:hAnsi="Times New Roman"/>
          <w:sz w:val="20"/>
          <w:szCs w:val="20"/>
          <w:color w:val="auto"/>
        </w:rPr>
        <w:t>. The provisions of this Agreement shall be construed and shall be given effect in all respects as if it had been executed and delivered by the Company on the Original Issue Date. This Agreement shall be binding upon any successors or assigns of the Company.</w:t>
      </w:r>
    </w:p>
    <w:p>
      <w:pPr>
        <w:spacing w:after="0" w:line="174" w:lineRule="exact"/>
        <w:rPr>
          <w:rFonts w:ascii="Times New Roman" w:cs="Times New Roman" w:eastAsia="Times New Roman" w:hAnsi="Times New Roman"/>
          <w:sz w:val="20"/>
          <w:szCs w:val="20"/>
          <w:color w:val="auto"/>
        </w:rPr>
      </w:pPr>
    </w:p>
    <w:p>
      <w:pPr>
        <w:ind w:firstLine="656"/>
        <w:spacing w:after="0" w:line="249" w:lineRule="auto"/>
        <w:tabs>
          <w:tab w:leader="none" w:pos="972"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In the event of any default hereunder, the non-defaulting party may proceed to protect and enforce its rights either by suit in equity and/or by action at law, including but not limited to an action for damages as a result of any such default, and/or an action for specific performance for any default where the Warrantholder will not have an adequate remedy at law and where damages will not be readily ascertainable.</w:t>
      </w:r>
    </w:p>
    <w:p>
      <w:pPr>
        <w:spacing w:after="0" w:line="179" w:lineRule="exact"/>
        <w:rPr>
          <w:rFonts w:ascii="Times New Roman" w:cs="Times New Roman" w:eastAsia="Times New Roman" w:hAnsi="Times New Roman"/>
          <w:sz w:val="20"/>
          <w:szCs w:val="20"/>
          <w:color w:val="auto"/>
        </w:rPr>
      </w:pPr>
    </w:p>
    <w:p>
      <w:pPr>
        <w:jc w:val="both"/>
        <w:ind w:right="320" w:firstLine="656"/>
        <w:spacing w:after="0" w:line="249" w:lineRule="auto"/>
        <w:tabs>
          <w:tab w:leader="none" w:pos="972"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Impairment of Rights</w:t>
      </w:r>
      <w:r>
        <w:rPr>
          <w:rFonts w:ascii="Times New Roman" w:cs="Times New Roman" w:eastAsia="Times New Roman" w:hAnsi="Times New Roman"/>
          <w:sz w:val="20"/>
          <w:szCs w:val="20"/>
          <w:color w:val="auto"/>
        </w:rPr>
        <w:t>. The Company will not, by amendment of its Charter or through any other means, avoid or seek to avoid the observance or performance of any of the terms of this Agreement, but will at all times in good faith assist in the carrying out of all such terms and in the taking of all such actions as may be necessary or appropriate in order to protect the rights of the Warrantholder against impairment.</w:t>
      </w:r>
    </w:p>
    <w:p>
      <w:pPr>
        <w:spacing w:after="0" w:line="179" w:lineRule="exact"/>
        <w:rPr>
          <w:rFonts w:ascii="Times New Roman" w:cs="Times New Roman" w:eastAsia="Times New Roman" w:hAnsi="Times New Roman"/>
          <w:sz w:val="20"/>
          <w:szCs w:val="20"/>
          <w:color w:val="auto"/>
        </w:rPr>
      </w:pPr>
    </w:p>
    <w:p>
      <w:pPr>
        <w:ind w:right="360" w:firstLine="656"/>
        <w:spacing w:after="0" w:line="269" w:lineRule="auto"/>
        <w:tabs>
          <w:tab w:leader="none" w:pos="1296"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Documents</w:t>
      </w:r>
      <w:r>
        <w:rPr>
          <w:rFonts w:ascii="Times New Roman" w:cs="Times New Roman" w:eastAsia="Times New Roman" w:hAnsi="Times New Roman"/>
          <w:sz w:val="20"/>
          <w:szCs w:val="20"/>
          <w:color w:val="auto"/>
        </w:rPr>
        <w:t>. The Company agrees to supply such other documents as the Warrantholder may from time to time reasonably request.</w:t>
      </w:r>
    </w:p>
    <w:p>
      <w:pPr>
        <w:spacing w:after="0" w:line="159" w:lineRule="exact"/>
        <w:rPr>
          <w:rFonts w:ascii="Times New Roman" w:cs="Times New Roman" w:eastAsia="Times New Roman" w:hAnsi="Times New Roman"/>
          <w:sz w:val="20"/>
          <w:szCs w:val="20"/>
          <w:color w:val="auto"/>
        </w:rPr>
      </w:pPr>
    </w:p>
    <w:p>
      <w:pPr>
        <w:ind w:right="40" w:firstLine="656"/>
        <w:spacing w:after="0" w:line="244" w:lineRule="auto"/>
        <w:tabs>
          <w:tab w:leader="none" w:pos="972"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Attorneys’ Fees</w:t>
      </w:r>
      <w:r>
        <w:rPr>
          <w:rFonts w:ascii="Times New Roman" w:cs="Times New Roman" w:eastAsia="Times New Roman" w:hAnsi="Times New Roman"/>
          <w:sz w:val="20"/>
          <w:szCs w:val="20"/>
          <w:color w:val="auto"/>
        </w:rPr>
        <w:t>. In any litigation, arbitration or court proceeding between the Company and the Warrantholder relating hereto, the prevailing party shall be entitled to attorneys’ fees and expenses and all costs of proceedings incurred in enforcing this Agreement. For the purposes of this Section 12(e), attorneys’ fees shall include without limitation fees incurred in connection with the following: (i) contempt proceedings; (ii) discovery; (iii) any motion, proceeding or other activity of any kind in connection with an insolvency proceeding; (iv) garnishment, levy, and debtor and third party examinations; and (v) post-judgment motions and proceedings of any kind, including without limitation any activity taken to collect or enforce any judgment.</w:t>
      </w:r>
    </w:p>
    <w:p>
      <w:pPr>
        <w:spacing w:after="0" w:line="185" w:lineRule="exact"/>
        <w:rPr>
          <w:rFonts w:ascii="Times New Roman" w:cs="Times New Roman" w:eastAsia="Times New Roman" w:hAnsi="Times New Roman"/>
          <w:sz w:val="20"/>
          <w:szCs w:val="20"/>
          <w:color w:val="auto"/>
        </w:rPr>
      </w:pPr>
    </w:p>
    <w:p>
      <w:pPr>
        <w:ind w:right="140" w:firstLine="656"/>
        <w:spacing w:after="0" w:line="249" w:lineRule="auto"/>
        <w:tabs>
          <w:tab w:leader="none" w:pos="972"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any one or more of the provisions of this Agreement shall for any reason be held invalid, illegal or unenforceable, the remaining provisions of this Agreement shall be unimpaired, and the invalid, illegal or unenforceable provision shall be replaced by a mutually acceptable valid, legal and enforceable provision, which comes closest to the intention of the parties underlying the invalid, illegal or unenforceable provision.</w:t>
      </w:r>
    </w:p>
    <w:p>
      <w:pPr>
        <w:spacing w:after="0" w:line="179" w:lineRule="exact"/>
        <w:rPr>
          <w:rFonts w:ascii="Times New Roman" w:cs="Times New Roman" w:eastAsia="Times New Roman" w:hAnsi="Times New Roman"/>
          <w:sz w:val="20"/>
          <w:szCs w:val="20"/>
          <w:color w:val="auto"/>
        </w:rPr>
      </w:pPr>
    </w:p>
    <w:p>
      <w:pPr>
        <w:ind w:right="80" w:firstLine="656"/>
        <w:spacing w:after="0" w:line="249" w:lineRule="auto"/>
        <w:tabs>
          <w:tab w:leader="none" w:pos="972"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Except as otherwise provided herein, any notice, demand, request, consent, approval, declaration, service of process or other communication that is required, contemplated, or permitted under this Agreement or with respect to the subject matter hereof shall be in writing, and shall be deemed to have been validly served, given, delivered, and received upon the earlier of: (i) personal delivery to the party to be notified, (ii) when sent by confirmed telex,</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90" w:name="page191"/>
    <w:bookmarkEnd w:id="190"/>
    <w:p>
      <w:pPr>
        <w:ind w:right="320"/>
        <w:spacing w:after="0" w:line="263" w:lineRule="auto"/>
        <w:rPr>
          <w:sz w:val="20"/>
          <w:szCs w:val="20"/>
          <w:color w:val="auto"/>
        </w:rPr>
      </w:pPr>
      <w:r>
        <w:rPr>
          <w:rFonts w:ascii="Times New Roman" w:cs="Times New Roman" w:eastAsia="Times New Roman" w:hAnsi="Times New Roman"/>
          <w:sz w:val="19"/>
          <w:szCs w:val="19"/>
          <w:color w:val="auto"/>
        </w:rPr>
        <w:t>electronic transmission or facsimile if sent during normal business hours of the recipient, if not, then on the next business day, (iii) five (5) days after having been sent by registered or certified mail, return receipt requested, postage prepaid, or</w:t>
      </w:r>
    </w:p>
    <w:p>
      <w:pPr>
        <w:spacing w:after="0" w:line="1" w:lineRule="exact"/>
        <w:rPr>
          <w:sz w:val="20"/>
          <w:szCs w:val="20"/>
          <w:color w:val="auto"/>
        </w:rPr>
      </w:pPr>
    </w:p>
    <w:p>
      <w:pPr>
        <w:ind w:right="820" w:firstLine="8"/>
        <w:spacing w:after="0" w:line="246" w:lineRule="auto"/>
        <w:tabs>
          <w:tab w:leader="none" w:pos="335"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day after deposit with a nationally recognized overnight courier, specifying next day delivery, with written verification of receipt, and shall be addressed to the party to be notified as follows: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to the Warrantholder:</w:t>
      </w:r>
    </w:p>
    <w:p>
      <w:pPr>
        <w:spacing w:after="0" w:line="2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HERCULES FUNDING IV, LLC</w:t>
      </w:r>
    </w:p>
    <w:p>
      <w:pPr>
        <w:spacing w:after="0" w:line="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Legal Department</w:t>
      </w:r>
    </w:p>
    <w:p>
      <w:pPr>
        <w:ind w:left="2600"/>
        <w:spacing w:after="0"/>
        <w:rPr>
          <w:sz w:val="20"/>
          <w:szCs w:val="20"/>
          <w:color w:val="auto"/>
        </w:rPr>
      </w:pPr>
      <w:r>
        <w:rPr>
          <w:rFonts w:ascii="Times New Roman" w:cs="Times New Roman" w:eastAsia="Times New Roman" w:hAnsi="Times New Roman"/>
          <w:sz w:val="20"/>
          <w:szCs w:val="20"/>
          <w:color w:val="auto"/>
        </w:rPr>
        <w:t>Attention: Chief Legal Officer and Michael Dutra and John Miotti</w:t>
      </w:r>
    </w:p>
    <w:p>
      <w:pPr>
        <w:ind w:left="2600"/>
        <w:spacing w:after="0"/>
        <w:rPr>
          <w:sz w:val="20"/>
          <w:szCs w:val="20"/>
          <w:color w:val="auto"/>
        </w:rPr>
      </w:pPr>
      <w:r>
        <w:rPr>
          <w:rFonts w:ascii="Times New Roman" w:cs="Times New Roman" w:eastAsia="Times New Roman" w:hAnsi="Times New Roman"/>
          <w:sz w:val="20"/>
          <w:szCs w:val="20"/>
          <w:color w:val="auto"/>
        </w:rPr>
        <w:t>400 Hamilton Avenue, Suite 310</w:t>
      </w:r>
    </w:p>
    <w:p>
      <w:pPr>
        <w:ind w:left="2600"/>
        <w:spacing w:after="0"/>
        <w:rPr>
          <w:sz w:val="20"/>
          <w:szCs w:val="20"/>
          <w:color w:val="auto"/>
        </w:rPr>
      </w:pPr>
      <w:r>
        <w:rPr>
          <w:rFonts w:ascii="Times New Roman" w:cs="Times New Roman" w:eastAsia="Times New Roman" w:hAnsi="Times New Roman"/>
          <w:sz w:val="20"/>
          <w:szCs w:val="20"/>
          <w:color w:val="auto"/>
        </w:rPr>
        <w:t>Palo Alto, CA 94301</w:t>
      </w:r>
    </w:p>
    <w:p>
      <w:pPr>
        <w:ind w:left="2600"/>
        <w:spacing w:after="0"/>
        <w:rPr>
          <w:sz w:val="20"/>
          <w:szCs w:val="20"/>
          <w:color w:val="auto"/>
        </w:rPr>
      </w:pPr>
      <w:r>
        <w:rPr>
          <w:rFonts w:ascii="Times New Roman" w:cs="Times New Roman" w:eastAsia="Times New Roman" w:hAnsi="Times New Roman"/>
          <w:sz w:val="20"/>
          <w:szCs w:val="20"/>
          <w:color w:val="auto"/>
        </w:rPr>
        <w:t>Facsimile: 650-473-9194</w:t>
      </w:r>
    </w:p>
    <w:p>
      <w:pPr>
        <w:ind w:left="2600"/>
        <w:spacing w:after="0"/>
        <w:rPr>
          <w:sz w:val="20"/>
          <w:szCs w:val="20"/>
          <w:color w:val="auto"/>
        </w:rPr>
      </w:pPr>
      <w:r>
        <w:rPr>
          <w:rFonts w:ascii="Times New Roman" w:cs="Times New Roman" w:eastAsia="Times New Roman" w:hAnsi="Times New Roman"/>
          <w:sz w:val="20"/>
          <w:szCs w:val="20"/>
          <w:color w:val="auto"/>
        </w:rPr>
        <w:t>Telephone: 650-289-3060</w:t>
      </w:r>
    </w:p>
    <w:p>
      <w:pPr>
        <w:ind w:left="2600"/>
        <w:spacing w:after="0"/>
        <w:rPr>
          <w:sz w:val="20"/>
          <w:szCs w:val="20"/>
          <w:color w:val="auto"/>
        </w:rPr>
      </w:pPr>
      <w:r>
        <w:rPr>
          <w:rFonts w:ascii="Times New Roman" w:cs="Times New Roman" w:eastAsia="Times New Roman" w:hAnsi="Times New Roman"/>
          <w:sz w:val="20"/>
          <w:szCs w:val="20"/>
          <w:color w:val="auto"/>
        </w:rPr>
        <w:t>Email : legal@herculestech.com; mdutra@htgc.com; jmiotti@htgc.com</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With </w:t>
      </w:r>
      <w:r>
        <w:rPr>
          <w:rFonts w:ascii="Times New Roman" w:cs="Times New Roman" w:eastAsia="Times New Roman" w:hAnsi="Times New Roman"/>
          <w:sz w:val="19"/>
          <w:szCs w:val="19"/>
          <w:color w:val="auto"/>
        </w:rPr>
        <w:t>a copy to:</w:t>
      </w:r>
    </w:p>
    <w:p>
      <w:pPr>
        <w:spacing w:after="0" w:line="3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LATHAM &amp; WATKINS</w:t>
      </w:r>
    </w:p>
    <w:p>
      <w:pPr>
        <w:ind w:left="2600"/>
        <w:spacing w:after="0"/>
        <w:rPr>
          <w:sz w:val="20"/>
          <w:szCs w:val="20"/>
          <w:color w:val="auto"/>
        </w:rPr>
      </w:pPr>
      <w:r>
        <w:rPr>
          <w:rFonts w:ascii="Times New Roman" w:cs="Times New Roman" w:eastAsia="Times New Roman" w:hAnsi="Times New Roman"/>
          <w:sz w:val="20"/>
          <w:szCs w:val="20"/>
          <w:color w:val="auto"/>
        </w:rPr>
        <w:t>Attn: Haim Zaltzman</w:t>
      </w:r>
    </w:p>
    <w:p>
      <w:pPr>
        <w:ind w:left="2600"/>
        <w:spacing w:after="0"/>
        <w:rPr>
          <w:sz w:val="20"/>
          <w:szCs w:val="20"/>
          <w:color w:val="auto"/>
        </w:rPr>
      </w:pPr>
      <w:r>
        <w:rPr>
          <w:rFonts w:ascii="Times New Roman" w:cs="Times New Roman" w:eastAsia="Times New Roman" w:hAnsi="Times New Roman"/>
          <w:sz w:val="20"/>
          <w:szCs w:val="20"/>
          <w:color w:val="auto"/>
        </w:rPr>
        <w:t>505 Montgomery Street, Suite 2000</w:t>
      </w:r>
    </w:p>
    <w:p>
      <w:pPr>
        <w:ind w:left="2600"/>
        <w:spacing w:after="0"/>
        <w:rPr>
          <w:sz w:val="20"/>
          <w:szCs w:val="20"/>
          <w:color w:val="auto"/>
        </w:rPr>
      </w:pPr>
      <w:r>
        <w:rPr>
          <w:rFonts w:ascii="Times New Roman" w:cs="Times New Roman" w:eastAsia="Times New Roman" w:hAnsi="Times New Roman"/>
          <w:sz w:val="20"/>
          <w:szCs w:val="20"/>
          <w:color w:val="auto"/>
        </w:rPr>
        <w:t>San Francisco, CA 94111</w:t>
      </w:r>
    </w:p>
    <w:p>
      <w:pPr>
        <w:ind w:left="2600"/>
        <w:spacing w:after="0"/>
        <w:rPr>
          <w:sz w:val="20"/>
          <w:szCs w:val="20"/>
          <w:color w:val="auto"/>
        </w:rPr>
      </w:pPr>
      <w:r>
        <w:rPr>
          <w:rFonts w:ascii="Times New Roman" w:cs="Times New Roman" w:eastAsia="Times New Roman" w:hAnsi="Times New Roman"/>
          <w:sz w:val="20"/>
          <w:szCs w:val="20"/>
          <w:color w:val="auto"/>
        </w:rPr>
        <w:t>Facsimile: (415) 395-8095</w:t>
      </w:r>
    </w:p>
    <w:p>
      <w:pPr>
        <w:ind w:left="2600"/>
        <w:spacing w:after="0"/>
        <w:rPr>
          <w:sz w:val="20"/>
          <w:szCs w:val="20"/>
          <w:color w:val="auto"/>
        </w:rPr>
      </w:pPr>
      <w:r>
        <w:rPr>
          <w:rFonts w:ascii="Times New Roman" w:cs="Times New Roman" w:eastAsia="Times New Roman" w:hAnsi="Times New Roman"/>
          <w:sz w:val="20"/>
          <w:szCs w:val="20"/>
          <w:color w:val="auto"/>
        </w:rPr>
        <w:t>Telephone: (415) 395-8870</w:t>
      </w:r>
    </w:p>
    <w:p>
      <w:pPr>
        <w:ind w:left="2600"/>
        <w:spacing w:after="0"/>
        <w:rPr>
          <w:sz w:val="20"/>
          <w:szCs w:val="20"/>
          <w:color w:val="auto"/>
        </w:rPr>
      </w:pPr>
      <w:r>
        <w:rPr>
          <w:rFonts w:ascii="Times New Roman" w:cs="Times New Roman" w:eastAsia="Times New Roman" w:hAnsi="Times New Roman"/>
          <w:sz w:val="20"/>
          <w:szCs w:val="20"/>
          <w:color w:val="auto"/>
        </w:rPr>
        <w:t>Email: haim.zaltzman@lw.com</w:t>
      </w: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2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TG THERAPEUTICS, INC.</w:t>
      </w:r>
    </w:p>
    <w:p>
      <w:pPr>
        <w:spacing w:after="0" w:line="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Attention: Sean Power, Chief Financial Officer</w:t>
      </w:r>
    </w:p>
    <w:p>
      <w:pPr>
        <w:ind w:left="2600"/>
        <w:spacing w:after="0" w:line="184" w:lineRule="auto"/>
        <w:rPr>
          <w:sz w:val="20"/>
          <w:szCs w:val="20"/>
          <w:color w:val="auto"/>
        </w:rPr>
      </w:pPr>
      <w:r>
        <w:rPr>
          <w:rFonts w:ascii="Times New Roman" w:cs="Times New Roman" w:eastAsia="Times New Roman" w:hAnsi="Times New Roman"/>
          <w:sz w:val="18"/>
          <w:szCs w:val="18"/>
          <w:color w:val="auto"/>
        </w:rPr>
        <w:t>2 Gansevoort St., 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ind w:left="2600"/>
        <w:spacing w:after="0"/>
        <w:rPr>
          <w:sz w:val="20"/>
          <w:szCs w:val="20"/>
          <w:color w:val="auto"/>
        </w:rPr>
      </w:pPr>
      <w:r>
        <w:rPr>
          <w:rFonts w:ascii="Times New Roman" w:cs="Times New Roman" w:eastAsia="Times New Roman" w:hAnsi="Times New Roman"/>
          <w:sz w:val="20"/>
          <w:szCs w:val="20"/>
          <w:color w:val="auto"/>
        </w:rPr>
        <w:t>New York, NY 10014</w:t>
      </w:r>
    </w:p>
    <w:p>
      <w:pPr>
        <w:ind w:left="2600"/>
        <w:spacing w:after="0"/>
        <w:rPr>
          <w:sz w:val="20"/>
          <w:szCs w:val="20"/>
          <w:color w:val="auto"/>
        </w:rPr>
      </w:pPr>
      <w:r>
        <w:rPr>
          <w:rFonts w:ascii="Times New Roman" w:cs="Times New Roman" w:eastAsia="Times New Roman" w:hAnsi="Times New Roman"/>
          <w:sz w:val="20"/>
          <w:szCs w:val="20"/>
          <w:color w:val="auto"/>
        </w:rPr>
        <w:t>Telephone: (212)-554-4484</w:t>
      </w:r>
    </w:p>
    <w:p>
      <w:pPr>
        <w:ind w:left="2600"/>
        <w:spacing w:after="0"/>
        <w:rPr>
          <w:sz w:val="20"/>
          <w:szCs w:val="20"/>
          <w:color w:val="auto"/>
        </w:rPr>
      </w:pPr>
      <w:r>
        <w:rPr>
          <w:rFonts w:ascii="Times New Roman" w:cs="Times New Roman" w:eastAsia="Times New Roman" w:hAnsi="Times New Roman"/>
          <w:sz w:val="20"/>
          <w:szCs w:val="20"/>
          <w:color w:val="auto"/>
        </w:rPr>
        <w:t>Email: sp@tgtxinc.com</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or to such other address as each party may designate for itself by like notice.</w:t>
      </w:r>
    </w:p>
    <w:p>
      <w:pPr>
        <w:spacing w:after="0" w:line="216" w:lineRule="exact"/>
        <w:rPr>
          <w:sz w:val="20"/>
          <w:szCs w:val="20"/>
          <w:color w:val="auto"/>
        </w:rPr>
      </w:pPr>
    </w:p>
    <w:p>
      <w:pPr>
        <w:ind w:right="180" w:firstLine="656"/>
        <w:spacing w:after="0" w:line="246" w:lineRule="auto"/>
        <w:tabs>
          <w:tab w:leader="none" w:pos="972"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 Amendments</w:t>
      </w:r>
      <w:r>
        <w:rPr>
          <w:rFonts w:ascii="Times New Roman" w:cs="Times New Roman" w:eastAsia="Times New Roman" w:hAnsi="Times New Roman"/>
          <w:sz w:val="20"/>
          <w:szCs w:val="20"/>
          <w:color w:val="auto"/>
        </w:rPr>
        <w:t>. This Agreement constitutes the entire agreement and understanding of the parties hereto in respect of the subject matter hereof, and supersedes and replaces in their entirety any prior proposals, term sheets, letters, negotiations or other documents or agreements, whether written or oral, with respect to the subject matter hereof. None of the terms of this Agreement may be amended except by an instrument executed by each of the parties hereto.</w:t>
      </w:r>
    </w:p>
    <w:p>
      <w:pPr>
        <w:spacing w:after="0" w:line="184" w:lineRule="exact"/>
        <w:rPr>
          <w:rFonts w:ascii="Times New Roman" w:cs="Times New Roman" w:eastAsia="Times New Roman" w:hAnsi="Times New Roman"/>
          <w:sz w:val="20"/>
          <w:szCs w:val="20"/>
          <w:color w:val="auto"/>
        </w:rPr>
      </w:pPr>
    </w:p>
    <w:p>
      <w:pPr>
        <w:ind w:right="360" w:firstLine="656"/>
        <w:spacing w:after="0" w:line="269" w:lineRule="auto"/>
        <w:tabs>
          <w:tab w:leader="none" w:pos="972"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various headings in this Agreement are inserted for convenience only and shall not affect the meaning or interpretation of this Agreement or any provisions hereof.</w:t>
      </w:r>
    </w:p>
    <w:p>
      <w:pPr>
        <w:spacing w:after="0" w:line="159" w:lineRule="exact"/>
        <w:rPr>
          <w:rFonts w:ascii="Times New Roman" w:cs="Times New Roman" w:eastAsia="Times New Roman" w:hAnsi="Times New Roman"/>
          <w:sz w:val="20"/>
          <w:szCs w:val="20"/>
          <w:color w:val="auto"/>
        </w:rPr>
      </w:pPr>
    </w:p>
    <w:p>
      <w:pPr>
        <w:ind w:firstLine="656"/>
        <w:spacing w:after="0" w:line="254" w:lineRule="auto"/>
        <w:tabs>
          <w:tab w:leader="none" w:pos="972"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Advice of Counsel</w:t>
      </w:r>
      <w:r>
        <w:rPr>
          <w:rFonts w:ascii="Times New Roman" w:cs="Times New Roman" w:eastAsia="Times New Roman" w:hAnsi="Times New Roman"/>
          <w:sz w:val="20"/>
          <w:szCs w:val="20"/>
          <w:color w:val="auto"/>
        </w:rPr>
        <w:t>. Each of the parties represents to each other party hereto that it has discussed (or had an opportunity to discuss) with its counsel this Agreement and, specifically, the provisions of Sections 12(n), 12(o), 12(p), 12(q) and 12(r).</w:t>
      </w:r>
    </w:p>
    <w:p>
      <w:pPr>
        <w:spacing w:after="0" w:line="174" w:lineRule="exact"/>
        <w:rPr>
          <w:rFonts w:ascii="Times New Roman" w:cs="Times New Roman" w:eastAsia="Times New Roman" w:hAnsi="Times New Roman"/>
          <w:sz w:val="20"/>
          <w:szCs w:val="20"/>
          <w:color w:val="auto"/>
        </w:rPr>
      </w:pPr>
    </w:p>
    <w:p>
      <w:pPr>
        <w:ind w:right="200" w:firstLine="656"/>
        <w:spacing w:after="0" w:line="249" w:lineRule="auto"/>
        <w:tabs>
          <w:tab w:leader="none" w:pos="972"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Strict Construction</w:t>
      </w:r>
      <w:r>
        <w:rPr>
          <w:rFonts w:ascii="Times New Roman" w:cs="Times New Roman" w:eastAsia="Times New Roman" w:hAnsi="Times New Roman"/>
          <w:sz w:val="20"/>
          <w:szCs w:val="20"/>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91" w:name="page192"/>
    <w:bookmarkEnd w:id="191"/>
    <w:p>
      <w:pPr>
        <w:ind w:left="-20" w:firstLine="656"/>
        <w:spacing w:after="0" w:line="249" w:lineRule="auto"/>
        <w:tabs>
          <w:tab w:leader="none" w:pos="95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Waiver</w:t>
      </w:r>
      <w:r>
        <w:rPr>
          <w:rFonts w:ascii="Times New Roman" w:cs="Times New Roman" w:eastAsia="Times New Roman" w:hAnsi="Times New Roman"/>
          <w:sz w:val="20"/>
          <w:szCs w:val="20"/>
          <w:color w:val="auto"/>
        </w:rPr>
        <w:t>. No omission or delay by the Warrantholder at any time to enforce any right or remedy reserved to it, or to require performance of any of the terms, covenants or provisions hereof by the Company at any time designated, shall be a waiver of any such right or remedy to which the Warrantholder is entitled, nor shall it in any way affect the right of the Warrantholder to enforce such provisions thereafter during the term of this Agreement.</w:t>
      </w:r>
    </w:p>
    <w:p>
      <w:pPr>
        <w:spacing w:after="0" w:line="178" w:lineRule="exact"/>
        <w:rPr>
          <w:rFonts w:ascii="Times New Roman" w:cs="Times New Roman" w:eastAsia="Times New Roman" w:hAnsi="Times New Roman"/>
          <w:sz w:val="20"/>
          <w:szCs w:val="20"/>
          <w:color w:val="auto"/>
        </w:rPr>
      </w:pPr>
    </w:p>
    <w:p>
      <w:pPr>
        <w:ind w:left="-20" w:right="300" w:firstLine="656"/>
        <w:spacing w:after="0" w:line="254" w:lineRule="auto"/>
        <w:tabs>
          <w:tab w:leader="none" w:pos="95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All agreements, representations and warranties contained in this Agreement or in any document delivered pursuant hereto shall be for the benefit of the Warrantholder and shall survive the execution and delivery of this Agreement and the expiration or other termination of this Agreement.</w:t>
      </w:r>
    </w:p>
    <w:p>
      <w:pPr>
        <w:spacing w:after="0" w:line="174" w:lineRule="exact"/>
        <w:rPr>
          <w:rFonts w:ascii="Times New Roman" w:cs="Times New Roman" w:eastAsia="Times New Roman" w:hAnsi="Times New Roman"/>
          <w:sz w:val="20"/>
          <w:szCs w:val="20"/>
          <w:color w:val="auto"/>
        </w:rPr>
      </w:pPr>
    </w:p>
    <w:p>
      <w:pPr>
        <w:ind w:left="-20" w:right="40" w:firstLine="656"/>
        <w:spacing w:after="0" w:line="244" w:lineRule="auto"/>
        <w:tabs>
          <w:tab w:leader="none" w:pos="95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has been negotiated and delivered to the Warrantholder in the State of California, and shall be deemed to have been accepted by the Warrantholder in the State of California. Delivery of Common Stock to the Warrantholder by the Company under this Agreement is due in the State of California. This Agreement shall be governed by, and construed and enforced in accordance with, the laws of the State of California, excluding conflict of laws principles that would cause the application of laws of any other jurisdiction.</w:t>
      </w:r>
    </w:p>
    <w:p>
      <w:pPr>
        <w:ind w:left="-20" w:right="20" w:firstLine="656"/>
        <w:spacing w:after="0"/>
        <w:tabs>
          <w:tab w:leader="none" w:pos="95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 to Jurisdiction and Venue</w:t>
      </w:r>
      <w:r>
        <w:rPr>
          <w:rFonts w:ascii="Times New Roman" w:cs="Times New Roman" w:eastAsia="Times New Roman" w:hAnsi="Times New Roman"/>
          <w:sz w:val="20"/>
          <w:szCs w:val="20"/>
          <w:color w:val="auto"/>
        </w:rPr>
        <w:t>. All judicial proceedings arising in or under or related to this Agreement may be brought in any state or federal court of competent jurisdiction located in the State of California. By execution and delivery of this Agreement, each party hereto generally and unconditionally: (i) consents to personal jurisdiction in Santa Clara County, State of California; (ii) waives any objection as to jurisdiction or venue in Santa Clara County, State of California; (iii) agrees not to assert any defense based on lack of jurisdiction or venue in the aforesaid courts; and (iv) irrevocably agrees to be bound by any judgment rendered thereby in connection with this Agreement. Service of process on any party hereto in any action arising out of or relating to this Agreement shall be effective if given in accordance with the requirements for notice set forth in Section 12(g), and shall be deemed effective and received as set forth in Section 12(g). Nothing herein shall affect the right to serve process in any other manner permitted by law or shall limit the right of either party to bring proceedings in the courts of any other jurisdiction.</w:t>
      </w:r>
    </w:p>
    <w:p>
      <w:pPr>
        <w:spacing w:after="0" w:line="189" w:lineRule="exact"/>
        <w:rPr>
          <w:rFonts w:ascii="Times New Roman" w:cs="Times New Roman" w:eastAsia="Times New Roman" w:hAnsi="Times New Roman"/>
          <w:sz w:val="20"/>
          <w:szCs w:val="20"/>
          <w:color w:val="auto"/>
        </w:rPr>
      </w:pPr>
    </w:p>
    <w:p>
      <w:pPr>
        <w:ind w:left="-20" w:right="140" w:firstLine="656"/>
        <w:spacing w:after="0" w:line="242" w:lineRule="auto"/>
        <w:tabs>
          <w:tab w:leader="none" w:pos="95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Mutual Waiver of Jury Trial</w:t>
      </w:r>
      <w:r>
        <w:rPr>
          <w:rFonts w:ascii="Times New Roman" w:cs="Times New Roman" w:eastAsia="Times New Roman" w:hAnsi="Times New Roman"/>
          <w:sz w:val="20"/>
          <w:szCs w:val="20"/>
          <w:color w:val="auto"/>
        </w:rPr>
        <w:t>. 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arising under or in connection with this Warrant be resolved by a judge applying such applicable laws. EACH OF THE COMPANY AND THE WARRANTHOLDER SPECIFICALLY WAIVES ANY RIGHT IT MAY HAVE TO TRIAL BY JURY OF ANY CAUSE OF ACTION, CLAIM, CROSS-CLAIM, COUNTERCLAIM, THIRD PARTY CLAIM OR ANY OTHER CLAIM (COLLECTIVELY, “CLAIMS”) ASSERTED BY THE COMPANY AGAINST THE WARRANTHOLDER OR ITS ASSIGNEE OR BY THE WARRANTHOLDER OR ITS ASSIGNEE AGAINST THE COMPANY RELATING TO THIS WARRANT. This waiver extends to all such Claims, including Claims that involve persons or entities other the Company and the Warrantholder; Claims that arise out of or are in any way connected to the relationship between the Company and the Warrantholder; and any Claims for damages, breach of contract, specific performance, or any equitable or legal relief of any kind, arising out of this Agreement.</w:t>
      </w:r>
    </w:p>
    <w:p>
      <w:pPr>
        <w:spacing w:after="0" w:line="187" w:lineRule="exact"/>
        <w:rPr>
          <w:rFonts w:ascii="Times New Roman" w:cs="Times New Roman" w:eastAsia="Times New Roman" w:hAnsi="Times New Roman"/>
          <w:sz w:val="20"/>
          <w:szCs w:val="20"/>
          <w:color w:val="auto"/>
        </w:rPr>
      </w:pPr>
    </w:p>
    <w:p>
      <w:pPr>
        <w:ind w:left="-20" w:right="120" w:firstLine="656"/>
        <w:spacing w:after="0" w:line="243" w:lineRule="auto"/>
        <w:tabs>
          <w:tab w:leader="none" w:pos="95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If the Mutual Waiver of Jury Trial set forth in Section 12(p) is ineffective or unenforceable, the parties agree that all Claims shall be submitted to binding arbitration in accordance with the commercial arbitration rules of JAMS (the “Rules”), such arbitration to occur before one arbitrator, which arbitrator shall be a retired California state judge or a retired Federal court judge. Such proceeding shall be conducted in Santa Clara County, State of California, with California rules of evidence and discovery applicable to such arbitration. The decision of the arbitrator shall be binding on the parties, and shall be final and nonappealable to the maximum extent permitted by law. Any judgment rendered by the arbitrator may be entered in a court of competent jurisdiction and enforced by the prevailing party as a final judgment of such court.</w:t>
      </w:r>
    </w:p>
    <w:p>
      <w:pPr>
        <w:spacing w:after="0" w:line="189" w:lineRule="exact"/>
        <w:rPr>
          <w:rFonts w:ascii="Times New Roman" w:cs="Times New Roman" w:eastAsia="Times New Roman" w:hAnsi="Times New Roman"/>
          <w:sz w:val="20"/>
          <w:szCs w:val="20"/>
          <w:color w:val="auto"/>
        </w:rPr>
      </w:pPr>
    </w:p>
    <w:p>
      <w:pPr>
        <w:jc w:val="both"/>
        <w:ind w:left="-20" w:right="120" w:firstLine="656"/>
        <w:spacing w:after="0" w:line="249" w:lineRule="auto"/>
        <w:tabs>
          <w:tab w:leader="none" w:pos="95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Pre-arbitration Relief</w:t>
      </w:r>
      <w:r>
        <w:rPr>
          <w:rFonts w:ascii="Times New Roman" w:cs="Times New Roman" w:eastAsia="Times New Roman" w:hAnsi="Times New Roman"/>
          <w:sz w:val="20"/>
          <w:szCs w:val="20"/>
          <w:color w:val="auto"/>
        </w:rPr>
        <w:t>. In the event Claims are to be resolved by arbitration, either party may seek from a court of competent jurisdiction identified in Section 12(o), any prejudgment order, writ or other relief and have such prejudgment order, writ or other relief enforced to the fullest extent permitted by law notwithstanding that all Claims are otherwise subject to resolution by binding arbitration.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356870</wp:posOffset>
            </wp:positionV>
            <wp:extent cx="629221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1000" w:top="118" w:right="999" w:bottom="1440" w:gutter="0" w:footer="0" w:header="0"/>
        </w:sectPr>
      </w:pPr>
    </w:p>
    <w:bookmarkStart w:id="192" w:name="page193"/>
    <w:bookmarkEnd w:id="192"/>
    <w:p>
      <w:pPr>
        <w:ind w:right="100" w:firstLine="656"/>
        <w:spacing w:after="0" w:line="249" w:lineRule="auto"/>
        <w:tabs>
          <w:tab w:leader="none" w:pos="972"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and any amendments, waivers, consents or supplements hereto may be executed in any number of counterparts (including by facsimile or electronic delivery (PDF)), and by different parties hereto in separate counterparts, each of which when so delivered shall be deemed an original, but all of which counterparts shall constitute but one and the same instrument.</w:t>
      </w:r>
    </w:p>
    <w:p>
      <w:pPr>
        <w:spacing w:after="0" w:line="70" w:lineRule="exact"/>
        <w:rPr>
          <w:rFonts w:ascii="Times New Roman" w:cs="Times New Roman" w:eastAsia="Times New Roman" w:hAnsi="Times New Roman"/>
          <w:sz w:val="20"/>
          <w:szCs w:val="20"/>
          <w:color w:val="auto"/>
        </w:rPr>
      </w:pPr>
    </w:p>
    <w:p>
      <w:pPr>
        <w:ind w:right="80" w:firstLine="656"/>
        <w:spacing w:after="0" w:line="244" w:lineRule="auto"/>
        <w:tabs>
          <w:tab w:leader="none" w:pos="972"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The parties hereto hereby declare that it is impossible to measure in money the damages which will accrue to the Warrantholder by reason of the Company’s failure to perform any of the obligations under this Agreement and agree that the terms of this Agreement shall be specifically enforceable by the Warrantholder. If the Warrantholder institutes any action or proceeding to specifically enforce the provisions hereof, any person against whom such action or proceeding is brought hereby waives the claim or defense therein that the Warrantholder has an adequate remedy at law, and such person shall not offer in any such action or proceeding the claim or defense that such remedy at law exists.</w:t>
      </w:r>
    </w:p>
    <w:p>
      <w:pPr>
        <w:spacing w:after="0" w:line="185" w:lineRule="exact"/>
        <w:rPr>
          <w:rFonts w:ascii="Times New Roman" w:cs="Times New Roman" w:eastAsia="Times New Roman" w:hAnsi="Times New Roman"/>
          <w:sz w:val="20"/>
          <w:szCs w:val="20"/>
          <w:color w:val="auto"/>
        </w:rPr>
      </w:pPr>
    </w:p>
    <w:p>
      <w:pPr>
        <w:ind w:right="20" w:firstLine="656"/>
        <w:spacing w:after="0" w:line="263" w:lineRule="auto"/>
        <w:tabs>
          <w:tab w:leader="none" w:pos="972"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Lost, Stolen, Mutilated or Destroyed Warrant</w:t>
      </w:r>
      <w:r>
        <w:rPr>
          <w:rFonts w:ascii="Times New Roman" w:cs="Times New Roman" w:eastAsia="Times New Roman" w:hAnsi="Times New Roman"/>
          <w:sz w:val="19"/>
          <w:szCs w:val="19"/>
          <w:color w:val="auto"/>
        </w:rPr>
        <w:t>. If this Warrant is lost, stolen, mutilated or destroyed, the Company may, on such terms as to indemnity or otherwise as it may reasonably impose (which shall, in the case of a mutilated Warrant, include the surrender thereof), issue a new Warrant of like denomination and tenor as this Warrant so lost, stolen, mutilated or destroyed. Any such new Warrant shall constitute an original contractual obligation of the Company, whether or not the allegedly lost, stolen, mutilated or destroyed Warrant shall be at any time enforceable by anyone.</w:t>
      </w:r>
    </w:p>
    <w:p>
      <w:pPr>
        <w:spacing w:after="0" w:line="166" w:lineRule="exact"/>
        <w:rPr>
          <w:rFonts w:ascii="Times New Roman" w:cs="Times New Roman" w:eastAsia="Times New Roman" w:hAnsi="Times New Roman"/>
          <w:sz w:val="19"/>
          <w:szCs w:val="19"/>
          <w:color w:val="auto"/>
        </w:rPr>
      </w:pPr>
    </w:p>
    <w:p>
      <w:pPr>
        <w:ind w:right="140" w:firstLine="656"/>
        <w:spacing w:after="0" w:line="254" w:lineRule="auto"/>
        <w:tabs>
          <w:tab w:leader="none" w:pos="972"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Legends</w:t>
      </w:r>
      <w:r>
        <w:rPr>
          <w:rFonts w:ascii="Times New Roman" w:cs="Times New Roman" w:eastAsia="Times New Roman" w:hAnsi="Times New Roman"/>
          <w:sz w:val="20"/>
          <w:szCs w:val="20"/>
          <w:color w:val="auto"/>
        </w:rPr>
        <w:t>. To the extent required by applicable laws, this Warrant and the shares of Common Stock issuable hereunder (and the securities issuable, directly or indirectly, upon conversion of such shares of Common Stock, if any) may be imprinted with a restricted securities legend in substantially the following form:</w:t>
      </w:r>
    </w:p>
    <w:p>
      <w:pPr>
        <w:spacing w:after="0" w:line="174"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0"/>
          <w:szCs w:val="20"/>
          <w:color w:val="auto"/>
        </w:rPr>
        <w:t>THIS SECURITY HAS NOT BEEN REGISTERED UNDER THE SECURITIES ACT OF 1933, AS AMENDED (THE “ACT”), OR ANY APPLICABLE STATE SECURITIES LAWS, AND MAY NOT BE SOLD, OFFERED FOR SALE, PLEDGED OR HYPOTHECATED IN THE ABSENCE OF AN EFFECTIVE REGISTRATION RELATED THERETO OR, SUBJECT TO SECTION 11 OF THE AMENDED AND RESTATED WARRANT AGREEMENT DATED MARCH 31, 2023, BETWEEN THE COMPANY AND HERCULES FUNDING IV, LLC AN OPINION OF COUNSEL (WHICH MAY BE COMPANY COUNSEL) REASONABLY SATISFACTORY TO THE COMPANY THAT SUCH REGISTRATION IS NOT REQUIRED UNDER THE ACTOR ANY STATE SECURITIES LAWS.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93" w:name="page194"/>
    <w:bookmarkEnd w:id="193"/>
    <w:p>
      <w:pPr>
        <w:ind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Amended and Restated Warrant Agreement to be executed by its officers thereunto duly authorized as of the date first written above.</w:t>
      </w:r>
    </w:p>
    <w:p>
      <w:pPr>
        <w:spacing w:after="0" w:line="200" w:lineRule="exact"/>
        <w:rPr>
          <w:sz w:val="20"/>
          <w:szCs w:val="20"/>
          <w:color w:val="auto"/>
        </w:rPr>
      </w:pPr>
    </w:p>
    <w:p>
      <w:pPr>
        <w:spacing w:after="0" w:line="216" w:lineRule="exact"/>
        <w:rPr>
          <w:sz w:val="20"/>
          <w:szCs w:val="20"/>
          <w:color w:val="auto"/>
        </w:rPr>
      </w:pPr>
    </w:p>
    <w:p>
      <w:pPr>
        <w:ind w:left="660"/>
        <w:spacing w:after="0"/>
        <w:tabs>
          <w:tab w:leader="none" w:pos="4960" w:val="left"/>
        </w:tabs>
        <w:rPr>
          <w:sz w:val="20"/>
          <w:szCs w:val="20"/>
          <w:color w:val="auto"/>
        </w:rPr>
      </w:pPr>
      <w:r>
        <w:rPr>
          <w:rFonts w:ascii="Times New Roman" w:cs="Times New Roman" w:eastAsia="Times New Roman" w:hAnsi="Times New Roman"/>
          <w:sz w:val="20"/>
          <w:szCs w:val="20"/>
          <w:color w:val="auto"/>
        </w:rPr>
        <w:t>COMPANY:</w:t>
      </w:r>
      <w:r>
        <w:rPr>
          <w:sz w:val="20"/>
          <w:szCs w:val="20"/>
          <w:color w:val="auto"/>
        </w:rPr>
        <w:tab/>
      </w:r>
      <w:r>
        <w:rPr>
          <w:rFonts w:ascii="Times New Roman" w:cs="Times New Roman" w:eastAsia="Times New Roman" w:hAnsi="Times New Roman"/>
          <w:sz w:val="20"/>
          <w:szCs w:val="20"/>
          <w:color w:val="auto"/>
        </w:rPr>
        <w:t>TG THERAPEUTICS, INC.</w:t>
      </w:r>
    </w:p>
    <w:p>
      <w:pPr>
        <w:spacing w:after="0" w:line="200" w:lineRule="exact"/>
        <w:rPr>
          <w:sz w:val="20"/>
          <w:szCs w:val="20"/>
          <w:color w:val="auto"/>
        </w:rPr>
      </w:pPr>
    </w:p>
    <w:p>
      <w:pPr>
        <w:spacing w:after="0" w:line="25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-144780</wp:posOffset>
            </wp:positionV>
            <wp:extent cx="276034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13335</wp:posOffset>
            </wp:positionV>
            <wp:extent cx="276034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760345" cy="825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-140335</wp:posOffset>
            </wp:positionV>
            <wp:extent cx="276034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i w:val="1"/>
          <w:iCs w:val="1"/>
          <w:color w:val="auto"/>
        </w:rPr>
        <w:t>[Signature Page to Amended and Restated Warrant (TG Therapeutics/Hercules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359410</wp:posOffset>
            </wp:positionV>
            <wp:extent cx="629221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00"/>
          </w:cols>
          <w:pgMar w:left="980" w:top="346" w:right="1419" w:bottom="1440" w:gutter="0" w:footer="0" w:header="0"/>
        </w:sectPr>
      </w:pPr>
    </w:p>
    <w:bookmarkStart w:id="194" w:name="page195"/>
    <w:bookmarkEnd w:id="194"/>
    <w:p>
      <w:pPr>
        <w:ind w:left="200"/>
        <w:spacing w:after="0"/>
        <w:tabs>
          <w:tab w:leader="none" w:pos="4500" w:val="left"/>
        </w:tabs>
        <w:rPr>
          <w:sz w:val="20"/>
          <w:szCs w:val="20"/>
          <w:color w:val="auto"/>
        </w:rPr>
      </w:pPr>
      <w:r>
        <w:rPr>
          <w:rFonts w:ascii="Times New Roman" w:cs="Times New Roman" w:eastAsia="Times New Roman" w:hAnsi="Times New Roman"/>
          <w:sz w:val="20"/>
          <w:szCs w:val="20"/>
          <w:color w:val="auto"/>
        </w:rPr>
        <w:t>WARRANTHOLDER:</w:t>
      </w:r>
      <w:r>
        <w:rPr>
          <w:sz w:val="20"/>
          <w:szCs w:val="20"/>
          <w:color w:val="auto"/>
        </w:rPr>
        <w:tab/>
      </w:r>
      <w:r>
        <w:rPr>
          <w:rFonts w:ascii="Times New Roman" w:cs="Times New Roman" w:eastAsia="Times New Roman" w:hAnsi="Times New Roman"/>
          <w:sz w:val="20"/>
          <w:szCs w:val="20"/>
          <w:color w:val="auto"/>
        </w:rPr>
        <w:t>HERCULES FUNDING IV, LLC</w:t>
      </w:r>
    </w:p>
    <w:p>
      <w:pPr>
        <w:spacing w:after="0" w:line="200" w:lineRule="exact"/>
        <w:rPr>
          <w:sz w:val="20"/>
          <w:szCs w:val="20"/>
          <w:color w:val="auto"/>
        </w:rPr>
      </w:pPr>
    </w:p>
    <w:p>
      <w:pPr>
        <w:spacing w:after="0" w:line="2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-144780</wp:posOffset>
            </wp:positionV>
            <wp:extent cx="276034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jc w:val="center"/>
        <w:ind w:right="-4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[Signature Page to Amended and Restated Warrant (TG Therapeutics/Hercules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367030</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195" w:name="page196"/>
    <w:bookmarkEnd w:id="195"/>
    <w:p>
      <w:pPr>
        <w:jc w:val="center"/>
        <w:ind w:right="19"/>
        <w:spacing w:after="0"/>
        <w:rPr>
          <w:sz w:val="20"/>
          <w:szCs w:val="20"/>
          <w:color w:val="auto"/>
        </w:rPr>
      </w:pPr>
      <w:r>
        <w:rPr>
          <w:rFonts w:ascii="Times New Roman" w:cs="Times New Roman" w:eastAsia="Times New Roman" w:hAnsi="Times New Roman"/>
          <w:sz w:val="20"/>
          <w:szCs w:val="20"/>
          <w:color w:val="auto"/>
        </w:rPr>
        <w:t>EXHIBIT I</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II</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EXHIBIT III</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6" w:name="page197"/>
    <w:bookmarkEnd w:id="196"/>
    <w:p>
      <w:pPr>
        <w:ind w:left="8900"/>
        <w:spacing w:after="0"/>
        <w:rPr>
          <w:sz w:val="20"/>
          <w:szCs w:val="20"/>
          <w:color w:val="auto"/>
        </w:rPr>
      </w:pPr>
      <w:r>
        <w:rPr>
          <w:rFonts w:ascii="Times New Roman" w:cs="Times New Roman" w:eastAsia="Times New Roman" w:hAnsi="Times New Roman"/>
          <w:sz w:val="19"/>
          <w:szCs w:val="19"/>
          <w:b w:val="1"/>
          <w:bCs w:val="1"/>
          <w:color w:val="auto"/>
        </w:rPr>
        <w:t>Exhibit 10.4</w:t>
      </w:r>
    </w:p>
    <w:p>
      <w:pPr>
        <w:spacing w:after="0" w:line="2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WARRANT AND THE SHARES ISSUABLE UPON EXERCISE HEREOF HAVE NOT BEEN REGISTERED UNDER THE SECURITIES ACT OF 1933, AS AMENDED (THE “ACT”), OR ANY STATE SECURITIES LAWS, AND MAY NOT BE SOLD, OFFERED FOR SALE, PLEDGED, OR HYPOTHECATED IN THE ABSENCE OF AN EFFECTIVE REGISTRATION STATEMENT RELATED THERETO OR, SUBJECT TO SECTION 11 HEREOF, AN OPINION OF COUNSEL (WHICH MAY BE COMPANY COUNSEL) REASONABLY SATISFACTORY TO THE COMPANY THAT SUCH REGISTRATION IS NOT REQUIRED UNDER THE ACT, OR ANY APPLICABLE STATE SECURITIES LAWS.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AMENDED AND RESTATED WARRANT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To Purchase Shares of the Common Stock of</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TG THERAPEUTICS,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as of March 31, 2023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this Amended and Restated Warrant Agreement (this “</w:t>
      </w:r>
      <w:r>
        <w:rPr>
          <w:rFonts w:ascii="Times New Roman" w:cs="Times New Roman" w:eastAsia="Times New Roman" w:hAnsi="Times New Roman"/>
          <w:sz w:val="20"/>
          <w:szCs w:val="20"/>
          <w:u w:val="single" w:color="auto"/>
          <w:color w:val="auto"/>
        </w:rPr>
        <w:t>Warrant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Warrant Agreement</w:t>
      </w:r>
      <w:r>
        <w:rPr>
          <w:rFonts w:ascii="Times New Roman" w:cs="Times New Roman" w:eastAsia="Times New Roman" w:hAnsi="Times New Roman"/>
          <w:sz w:val="20"/>
          <w:szCs w:val="20"/>
          <w:color w:val="auto"/>
        </w:rPr>
        <w:t>”, or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amends and restates the Warrant Agreement, dated December 30, 2021 (the “</w:t>
      </w:r>
      <w:r>
        <w:rPr>
          <w:rFonts w:ascii="Times New Roman" w:cs="Times New Roman" w:eastAsia="Times New Roman" w:hAnsi="Times New Roman"/>
          <w:sz w:val="20"/>
          <w:szCs w:val="20"/>
          <w:u w:val="single" w:color="auto"/>
          <w:color w:val="auto"/>
        </w:rPr>
        <w:t>Original Issue Date</w:t>
      </w:r>
      <w:r>
        <w:rPr>
          <w:rFonts w:ascii="Times New Roman" w:cs="Times New Roman" w:eastAsia="Times New Roman" w:hAnsi="Times New Roman"/>
          <w:sz w:val="20"/>
          <w:szCs w:val="20"/>
          <w:color w:val="auto"/>
        </w:rPr>
        <w:t>”), by and</w:t>
      </w:r>
    </w:p>
    <w:p>
      <w:pPr>
        <w:spacing w:after="0"/>
        <w:rPr>
          <w:sz w:val="20"/>
          <w:szCs w:val="20"/>
          <w:color w:val="auto"/>
        </w:rPr>
      </w:pPr>
      <w:r>
        <w:rPr>
          <w:rFonts w:ascii="Times New Roman" w:cs="Times New Roman" w:eastAsia="Times New Roman" w:hAnsi="Times New Roman"/>
          <w:sz w:val="20"/>
          <w:szCs w:val="20"/>
          <w:color w:val="auto"/>
        </w:rPr>
        <w:t>between TG Therapeutics,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Hercules Private Credit Fund 1 L.P. (the</w:t>
      </w: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Warrantholder</w:t>
      </w:r>
      <w:r>
        <w:rPr>
          <w:rFonts w:ascii="Times New Roman" w:cs="Times New Roman" w:eastAsia="Times New Roman" w:hAnsi="Times New Roman"/>
          <w:sz w:val="20"/>
          <w:szCs w:val="20"/>
          <w:color w:val="auto"/>
        </w:rPr>
        <w:t>”), to purchase shares of Common Stock of the Company (the “</w:t>
      </w:r>
      <w:r>
        <w:rPr>
          <w:rFonts w:ascii="Times New Roman" w:cs="Times New Roman" w:eastAsia="Times New Roman" w:hAnsi="Times New Roman"/>
          <w:sz w:val="20"/>
          <w:szCs w:val="20"/>
          <w:u w:val="single" w:color="auto"/>
          <w:color w:val="auto"/>
        </w:rPr>
        <w:t>Prior Warrant</w:t>
      </w:r>
      <w:r>
        <w:rPr>
          <w:rFonts w:ascii="Times New Roman" w:cs="Times New Roman" w:eastAsia="Times New Roman" w:hAnsi="Times New Roman"/>
          <w:sz w:val="20"/>
          <w:szCs w:val="20"/>
          <w:color w:val="auto"/>
        </w:rPr>
        <w:t>”), and the Prior Warrant is</w:t>
      </w:r>
    </w:p>
    <w:p>
      <w:pPr>
        <w:spacing w:after="0"/>
        <w:rPr>
          <w:sz w:val="20"/>
          <w:szCs w:val="20"/>
          <w:color w:val="auto"/>
        </w:rPr>
      </w:pPr>
      <w:r>
        <w:rPr>
          <w:rFonts w:ascii="Times New Roman" w:cs="Times New Roman" w:eastAsia="Times New Roman" w:hAnsi="Times New Roman"/>
          <w:sz w:val="20"/>
          <w:szCs w:val="20"/>
          <w:color w:val="auto"/>
        </w:rPr>
        <w:t>superseded and replaced by this Agreement in all respects;</w:t>
      </w:r>
    </w:p>
    <w:p>
      <w:pPr>
        <w:spacing w:after="0" w:line="194"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20"/>
          <w:szCs w:val="20"/>
          <w:color w:val="auto"/>
        </w:rPr>
        <w:t>WHEREAS, the Company has entered into an Amended and Restated Loan and Security Agreement dated as of the Original Issue Date (as amended and in effect from time to time, the “</w:t>
      </w:r>
      <w:r>
        <w:rPr>
          <w:rFonts w:ascii="Times New Roman" w:cs="Times New Roman" w:eastAsia="Times New Roman" w:hAnsi="Times New Roman"/>
          <w:sz w:val="20"/>
          <w:szCs w:val="20"/>
          <w:u w:val="single" w:color="auto"/>
          <w:color w:val="auto"/>
        </w:rPr>
        <w:t>Loan Agreement</w:t>
      </w:r>
      <w:r>
        <w:rPr>
          <w:rFonts w:ascii="Times New Roman" w:cs="Times New Roman" w:eastAsia="Times New Roman" w:hAnsi="Times New Roman"/>
          <w:sz w:val="20"/>
          <w:szCs w:val="20"/>
          <w:color w:val="auto"/>
        </w:rPr>
        <w:t>”) with the Warrantholder, in its capacity as administrative and collateral agent, and the other lenders from time to time party thereto;</w:t>
      </w:r>
    </w:p>
    <w:p>
      <w:pPr>
        <w:spacing w:after="0" w:line="174"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20"/>
          <w:szCs w:val="20"/>
          <w:color w:val="auto"/>
        </w:rPr>
        <w:t>WHEREAS, pursuant to the Loan Agreement and as additional consideration to the Warrantholder for, among other things, its agreements in the Loan Agreement, the Company has agreed to issue to the Warrantholder this Warrant Agreement, evidencing the right to purchase shares of the Company’s Common Stock;</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NOW, THEREFORE, in consideration of the mutual covenants and agreements contained herein, the Company and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Warrantholder agree as follows:</w:t>
      </w:r>
    </w:p>
    <w:p>
      <w:pPr>
        <w:spacing w:after="0" w:line="19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color w:val="auto"/>
        </w:rPr>
        <w:t>GRANT OF THE RIGHT TO PURCHASE COMMON STOCK.</w:t>
      </w:r>
    </w:p>
    <w:p>
      <w:pPr>
        <w:spacing w:after="0" w:line="220" w:lineRule="exact"/>
        <w:rPr>
          <w:sz w:val="20"/>
          <w:szCs w:val="20"/>
          <w:color w:val="auto"/>
        </w:rPr>
      </w:pPr>
    </w:p>
    <w:p>
      <w:pPr>
        <w:ind w:firstLine="656"/>
        <w:spacing w:after="0" w:line="245" w:lineRule="auto"/>
        <w:tabs>
          <w:tab w:leader="none" w:pos="1296"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value received, the Company hereby grants to the Warrantholder, and the Warrantholder is entitled, upon the terms and subject to the conditions hereinafter set forth, to subscribe for and purchase, from the Company, up to the aggregate number of fully paid and non-assessable shares of Common Stock (as defined below) as determined pursuant to Section 1(b) below, at a purchase price per share equal to the Exercise Price (as defined below). The number and Exercise Price of such shares are subject to adjustment as provided in Section 8. As used herein, the following terms shall have the following meanings:</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means the Securities Act of 1933, as amended.</w:t>
      </w:r>
    </w:p>
    <w:p>
      <w:pPr>
        <w:spacing w:after="0" w:line="216" w:lineRule="exact"/>
        <w:rPr>
          <w:sz w:val="20"/>
          <w:szCs w:val="20"/>
          <w:color w:val="auto"/>
        </w:rPr>
      </w:pPr>
    </w:p>
    <w:p>
      <w:pPr>
        <w:ind w:left="660" w:right="3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Charter</w:t>
      </w:r>
      <w:r>
        <w:rPr>
          <w:rFonts w:ascii="Times New Roman" w:cs="Times New Roman" w:eastAsia="Times New Roman" w:hAnsi="Times New Roman"/>
          <w:sz w:val="20"/>
          <w:szCs w:val="20"/>
          <w:color w:val="auto"/>
        </w:rPr>
        <w:t>” means the Company’s Certificate of Incorporation or other constitutional document, as may be amended and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604520</wp:posOffset>
            </wp:positionV>
            <wp:extent cx="629221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97" w:name="page198"/>
    <w:bookmarkEnd w:id="197"/>
    <w:p>
      <w:pPr>
        <w:ind w:left="200" w:right="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means the Company’s common stock, $0.001 par value per share, as presently constituted under the Charter, and any class and/or series of Company capital stock for or into which such common stock may be converted or exchanged in a reorganization, recapitalization or similar transaction.</w:t>
      </w:r>
    </w:p>
    <w:p>
      <w:pPr>
        <w:spacing w:after="0" w:line="174" w:lineRule="exact"/>
        <w:rPr>
          <w:sz w:val="20"/>
          <w:szCs w:val="20"/>
          <w:color w:val="auto"/>
        </w:rPr>
      </w:pPr>
    </w:p>
    <w:p>
      <w:pPr>
        <w:ind w:left="200" w:right="100"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Registration</w:t>
      </w:r>
      <w:r>
        <w:rPr>
          <w:rFonts w:ascii="Times New Roman" w:cs="Times New Roman" w:eastAsia="Times New Roman" w:hAnsi="Times New Roman"/>
          <w:sz w:val="20"/>
          <w:szCs w:val="20"/>
          <w:color w:val="auto"/>
        </w:rPr>
        <w:t xml:space="preserve">” means (i) a registration relating to the sale of securities to employees of the Company or a subsidiary pursuant to an equity option, equity purchase, or similar plan; (ii) a registration relating to an SEC Rule 145 transaction; or (iii) a registration on any form that does not include substantially the same information as would be required to be included in a registration statement covering the sale of the Registrable Securities,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the inclusion of information regarding this Warrant and the plan of distribution of and selling securityholder information related to the Common Shares issuable upon exercise of this Warrant, shall not constitute a basis for excluding the Registrable Securities from a registration pursuant to this clause (iii).</w:t>
      </w:r>
    </w:p>
    <w:p>
      <w:pPr>
        <w:spacing w:after="0" w:line="189" w:lineRule="exact"/>
        <w:rPr>
          <w:sz w:val="20"/>
          <w:szCs w:val="20"/>
          <w:color w:val="auto"/>
        </w:rPr>
      </w:pPr>
    </w:p>
    <w:p>
      <w:pPr>
        <w:ind w:left="200" w:right="1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means $17.95, subject to adjustment from time to time in accordance with the provisions of this Warrant.</w:t>
      </w:r>
    </w:p>
    <w:p>
      <w:pPr>
        <w:spacing w:after="0" w:line="159" w:lineRule="exact"/>
        <w:rPr>
          <w:sz w:val="20"/>
          <w:szCs w:val="20"/>
          <w:color w:val="auto"/>
        </w:rPr>
      </w:pPr>
    </w:p>
    <w:p>
      <w:pPr>
        <w:ind w:left="200" w:right="3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 Sale</w:t>
      </w:r>
      <w:r>
        <w:rPr>
          <w:rFonts w:ascii="Times New Roman" w:cs="Times New Roman" w:eastAsia="Times New Roman" w:hAnsi="Times New Roman"/>
          <w:sz w:val="20"/>
          <w:szCs w:val="20"/>
          <w:color w:val="auto"/>
        </w:rPr>
        <w:t>” means the closing of a Merger Event in which the consideration received by the Company and/or its stockholders, as applicable, consists solely of cash and/or Marketable Securities.</w:t>
      </w:r>
    </w:p>
    <w:p>
      <w:pPr>
        <w:spacing w:after="0" w:line="159" w:lineRule="exact"/>
        <w:rPr>
          <w:sz w:val="20"/>
          <w:szCs w:val="20"/>
          <w:color w:val="auto"/>
        </w:rPr>
      </w:pPr>
    </w:p>
    <w:p>
      <w:pPr>
        <w:ind w:left="200"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Marketable Securities</w:t>
      </w:r>
      <w:r>
        <w:rPr>
          <w:rFonts w:ascii="Times New Roman" w:cs="Times New Roman" w:eastAsia="Times New Roman" w:hAnsi="Times New Roman"/>
          <w:sz w:val="20"/>
          <w:szCs w:val="20"/>
          <w:color w:val="auto"/>
        </w:rPr>
        <w:t>” in connection with a Merger Event means securities meeting all of the following requirements: (i) the issuer thereof is then subject to the reporting requirements of Section 13 or Section 15(d)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is then current in its filing of all required reports and other information under the Act and the Exchange Act; (ii) the class and series of shares or other security of the issuer that would be received by the Warrantholder in connection with the Merger Event were the Warrantholder to exercise this Warrant on or prior to the closing thereof is then traded on a national securities exchange or over-the-counter market, and (iii) following the closing of such Merger Event, the Warrantholder would not be restricted from publicly re-selling all of the issuer’s shares and/or other securities that would be received by the Warrantholder in such Merger Event were the Warrantholder to exercise this Warrant in full on or prior to the closing of such Merger Event, except to the extent that any such restriction (x) arises solely under federal or state securities laws, rules or regulations, and (y) does not extend beyond six (6) months from the closing of such Merger Event.</w:t>
      </w:r>
    </w:p>
    <w:p>
      <w:pPr>
        <w:spacing w:after="0" w:line="187" w:lineRule="exact"/>
        <w:rPr>
          <w:sz w:val="20"/>
          <w:szCs w:val="20"/>
          <w:color w:val="auto"/>
        </w:rPr>
      </w:pPr>
    </w:p>
    <w:p>
      <w:pPr>
        <w:ind w:left="200"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Merger Event</w:t>
      </w:r>
      <w:r>
        <w:rPr>
          <w:rFonts w:ascii="Times New Roman" w:cs="Times New Roman" w:eastAsia="Times New Roman" w:hAnsi="Times New Roman"/>
          <w:sz w:val="20"/>
          <w:szCs w:val="20"/>
          <w:color w:val="auto"/>
        </w:rPr>
        <w:t>” means any of the following: (i) a sale, lease or other transfer of all or substantially all assets of the Company, (ii) any merger or consolidation involving the Company in which the Company is not the surviving entity or in which the outstanding shares of the Company’s capital stock are otherwise converted into or exchanged for shares of capital stock or other securities or property of another entity, or (iii) any sale by holders of the outstanding voting equity securities of the Company in a single transaction or series of related transactions of shares constituting a majority of the outstanding combined voting power of the Company.</w:t>
      </w:r>
    </w:p>
    <w:p>
      <w:pPr>
        <w:spacing w:after="0" w:line="184" w:lineRule="exact"/>
        <w:rPr>
          <w:sz w:val="20"/>
          <w:szCs w:val="20"/>
          <w:color w:val="auto"/>
        </w:rPr>
      </w:pPr>
    </w:p>
    <w:p>
      <w:pPr>
        <w:ind w:left="200" w:right="120"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Purchase Price</w:t>
      </w:r>
      <w:r>
        <w:rPr>
          <w:rFonts w:ascii="Times New Roman" w:cs="Times New Roman" w:eastAsia="Times New Roman" w:hAnsi="Times New Roman"/>
          <w:sz w:val="19"/>
          <w:szCs w:val="19"/>
          <w:color w:val="auto"/>
        </w:rPr>
        <w:t>” means, with respect to any exercise of this Warrant, an amount equal to the then-effective Exercise Price multiplied by the number of shares of Common Stock as to which this Warrant is then exercised.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562" w:right="1019" w:bottom="1440" w:gutter="0" w:footer="0" w:header="0"/>
        </w:sectPr>
      </w:pPr>
    </w:p>
    <w:bookmarkStart w:id="198" w:name="page199"/>
    <w:bookmarkEnd w:id="198"/>
    <w:p>
      <w:pPr>
        <w:ind w:left="660" w:right="80"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Registrable Securities</w:t>
      </w:r>
      <w:r>
        <w:rPr>
          <w:rFonts w:ascii="Times New Roman" w:cs="Times New Roman" w:eastAsia="Times New Roman" w:hAnsi="Times New Roman"/>
          <w:sz w:val="20"/>
          <w:szCs w:val="20"/>
          <w:color w:val="auto"/>
        </w:rPr>
        <w:t xml:space="preserve">” means (i) the shares issuable upon exercise of this Warrant and (ii) any other Common Shares issued as a dividend or other distribution with respect to, in exchange for or in replacement of such shares;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securities referred to in (i)-(ii) above shall cease to be Registrable Securities (A) upon the sale of such securities pursuant to a registration statement or (B) upon the sale of such securities pursuant to Rule 144.</w:t>
      </w:r>
    </w:p>
    <w:p>
      <w:pPr>
        <w:spacing w:after="0" w:line="185" w:lineRule="exact"/>
        <w:rPr>
          <w:sz w:val="20"/>
          <w:szCs w:val="20"/>
          <w:color w:val="auto"/>
        </w:rPr>
      </w:pPr>
    </w:p>
    <w:p>
      <w:pPr>
        <w:ind w:left="660"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Warrant Coverage</w:t>
      </w:r>
      <w:r>
        <w:rPr>
          <w:rFonts w:ascii="Times New Roman" w:cs="Times New Roman" w:eastAsia="Times New Roman" w:hAnsi="Times New Roman"/>
          <w:sz w:val="19"/>
          <w:szCs w:val="19"/>
          <w:color w:val="auto"/>
        </w:rPr>
        <w:t xml:space="preserve">” means 2.95% </w:t>
      </w:r>
      <w:r>
        <w:rPr>
          <w:rFonts w:ascii="Times New Roman" w:cs="Times New Roman" w:eastAsia="Times New Roman" w:hAnsi="Times New Roman"/>
          <w:sz w:val="19"/>
          <w:szCs w:val="19"/>
          <w:u w:val="single" w:color="auto"/>
          <w:color w:val="auto"/>
        </w:rPr>
        <w:t>times</w:t>
      </w:r>
      <w:r>
        <w:rPr>
          <w:rFonts w:ascii="Times New Roman" w:cs="Times New Roman" w:eastAsia="Times New Roman" w:hAnsi="Times New Roman"/>
          <w:sz w:val="19"/>
          <w:szCs w:val="19"/>
          <w:color w:val="auto"/>
        </w:rPr>
        <w:t xml:space="preserve"> the aggregate principal amount of Term Loan Advances (as defined in the Loan Agreement) made and funded by the Warrantholder prior to (but not including) the Effective Date.</w:t>
      </w:r>
    </w:p>
    <w:p>
      <w:pPr>
        <w:spacing w:after="0" w:line="138" w:lineRule="exact"/>
        <w:rPr>
          <w:sz w:val="20"/>
          <w:szCs w:val="20"/>
          <w:color w:val="auto"/>
        </w:rPr>
      </w:pPr>
    </w:p>
    <w:p>
      <w:pPr>
        <w:ind w:right="20" w:firstLine="656"/>
        <w:spacing w:after="0" w:line="254" w:lineRule="auto"/>
        <w:tabs>
          <w:tab w:leader="none" w:pos="1296"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color w:val="auto"/>
        </w:rPr>
        <w:t>. This Warrant shall be exercisable for a number of shares of Common Stock equal to the quotient derived by dividing (i) the Warrant Coverage by (ii) the Exercise Price, subject to adjustment from time to time in accordance with the provisions of this Warrant.</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color w:val="auto"/>
        </w:rPr>
        <w:t>TERM OF THE AGREEMENT.</w:t>
      </w:r>
    </w:p>
    <w:p>
      <w:pPr>
        <w:spacing w:after="0" w:line="220" w:lineRule="exact"/>
        <w:rPr>
          <w:sz w:val="20"/>
          <w:szCs w:val="20"/>
          <w:color w:val="auto"/>
        </w:rPr>
      </w:pPr>
    </w:p>
    <w:p>
      <w:pPr>
        <w:ind w:right="360" w:firstLine="648"/>
        <w:spacing w:after="0" w:line="254" w:lineRule="auto"/>
        <w:rPr>
          <w:sz w:val="20"/>
          <w:szCs w:val="20"/>
          <w:color w:val="auto"/>
        </w:rPr>
      </w:pPr>
      <w:r>
        <w:rPr>
          <w:rFonts w:ascii="Times New Roman" w:cs="Times New Roman" w:eastAsia="Times New Roman" w:hAnsi="Times New Roman"/>
          <w:sz w:val="20"/>
          <w:szCs w:val="20"/>
          <w:color w:val="auto"/>
        </w:rPr>
        <w:t>The term of this Agreement and the right to purchase Common Stock as granted herein shall commence on the Original Issue Date and, subject to Section 8(a) below, shall be exercisable until 5:00 p.m. (Eastern Time) on the seventh (7th) anniversary of the Original Issue Date.</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19"/>
          <w:szCs w:val="19"/>
          <w:color w:val="auto"/>
        </w:rPr>
        <w:t>EXERCISE OF THE PURCHASE RIGHTS.</w:t>
      </w:r>
    </w:p>
    <w:p>
      <w:pPr>
        <w:spacing w:after="0" w:line="220" w:lineRule="exact"/>
        <w:rPr>
          <w:sz w:val="20"/>
          <w:szCs w:val="20"/>
          <w:color w:val="auto"/>
        </w:rPr>
      </w:pPr>
    </w:p>
    <w:p>
      <w:pPr>
        <w:ind w:right="20" w:firstLine="656"/>
        <w:spacing w:after="0" w:line="256" w:lineRule="auto"/>
        <w:tabs>
          <w:tab w:leader="none" w:pos="1296" w:val="left"/>
        </w:tabs>
        <w:numPr>
          <w:ilvl w:val="1"/>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Exercise</w:t>
      </w:r>
      <w:r>
        <w:rPr>
          <w:rFonts w:ascii="Times New Roman" w:cs="Times New Roman" w:eastAsia="Times New Roman" w:hAnsi="Times New Roman"/>
          <w:sz w:val="19"/>
          <w:szCs w:val="19"/>
          <w:color w:val="auto"/>
        </w:rPr>
        <w:t xml:space="preserve">. The purchase rights set forth in this Agreement are exercisable by the Warrantholder, in whole or in part, at any time, or from time to time, prior to the expiration of the term set forth in Section 2, by tendering to the Company at its principal office a notice of exercise in the form attached hereto as </w:t>
      </w:r>
      <w:r>
        <w:rPr>
          <w:rFonts w:ascii="Times New Roman" w:cs="Times New Roman" w:eastAsia="Times New Roman" w:hAnsi="Times New Roman"/>
          <w:sz w:val="19"/>
          <w:szCs w:val="19"/>
          <w:u w:val="single" w:color="auto"/>
          <w:color w:val="auto"/>
        </w:rPr>
        <w:t>Exhibit I</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Notice of Exercise</w:t>
      </w:r>
      <w:r>
        <w:rPr>
          <w:rFonts w:ascii="Times New Roman" w:cs="Times New Roman" w:eastAsia="Times New Roman" w:hAnsi="Times New Roman"/>
          <w:sz w:val="19"/>
          <w:szCs w:val="19"/>
          <w:color w:val="auto"/>
        </w:rPr>
        <w:t>”), duly completed and executed. Promptly upon receipt of the Notice of Exercise and the payment of the Purchase Price in accordance with the terms set forth below, and in no event later than three (3) business days thereafter, the Company or its transfer agent shall either (i) issue to the Warrantholder a certificate for the number of shares of Common Stock purchased or</w:t>
      </w:r>
    </w:p>
    <w:p>
      <w:pPr>
        <w:ind w:right="180" w:firstLine="8"/>
        <w:spacing w:after="0" w:line="242" w:lineRule="auto"/>
        <w:tabs>
          <w:tab w:leader="none" w:pos="291"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credit the same via book entry to the Warrantholder, and the Company shall execute the acknowledgment of exercise in the form attached hereto as </w:t>
      </w:r>
      <w:r>
        <w:rPr>
          <w:rFonts w:ascii="Times New Roman" w:cs="Times New Roman" w:eastAsia="Times New Roman" w:hAnsi="Times New Roman"/>
          <w:sz w:val="20"/>
          <w:szCs w:val="20"/>
          <w:u w:val="single" w:color="auto"/>
          <w:color w:val="auto"/>
        </w:rPr>
        <w:t>Exhibit II</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Acknowledgment of Exercise</w:t>
      </w:r>
      <w:r>
        <w:rPr>
          <w:rFonts w:ascii="Times New Roman" w:cs="Times New Roman" w:eastAsia="Times New Roman" w:hAnsi="Times New Roman"/>
          <w:sz w:val="20"/>
          <w:szCs w:val="20"/>
          <w:color w:val="auto"/>
        </w:rPr>
        <w:t>”) indicating the number of shares which remain subject to future purchases under this Warrant, if any.</w:t>
      </w:r>
    </w:p>
    <w:p>
      <w:pPr>
        <w:spacing w:after="0" w:line="187"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20"/>
          <w:szCs w:val="20"/>
          <w:color w:val="auto"/>
        </w:rPr>
        <w:t>The Purchase Price may be paid at the Warrantholder’s election either (i) by cash or check, or (ii) by surrender of all or a portion of the Warrant for shares of Common Stock to be exercised under this Agreement and, if applicable, an amended Agreement setting forth the remaining number of shares purchasable hereunder, as determined below (“</w:t>
      </w:r>
      <w:r>
        <w:rPr>
          <w:rFonts w:ascii="Times New Roman" w:cs="Times New Roman" w:eastAsia="Times New Roman" w:hAnsi="Times New Roman"/>
          <w:sz w:val="20"/>
          <w:szCs w:val="20"/>
          <w:u w:val="single" w:color="auto"/>
          <w:color w:val="auto"/>
        </w:rPr>
        <w:t>Net Issuance</w:t>
      </w:r>
      <w:r>
        <w:rPr>
          <w:rFonts w:ascii="Times New Roman" w:cs="Times New Roman" w:eastAsia="Times New Roman" w:hAnsi="Times New Roman"/>
          <w:sz w:val="20"/>
          <w:szCs w:val="20"/>
          <w:color w:val="auto"/>
        </w:rPr>
        <w:t>”). If the Warrantholder elects the Net Issuance method, the Company will issue shares of Common Stock in accordance with the following formula:</w:t>
      </w:r>
    </w:p>
    <w:p>
      <w:pPr>
        <w:spacing w:after="0" w:line="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9"/>
          <w:szCs w:val="39"/>
          <w:color w:val="auto"/>
          <w:vertAlign w:val="subscript"/>
        </w:rPr>
        <w:t>X =</w:t>
      </w:r>
      <w:r>
        <w:rPr>
          <w:rFonts w:ascii="Times New Roman" w:cs="Times New Roman" w:eastAsia="Times New Roman" w:hAnsi="Times New Roman"/>
          <w:sz w:val="20"/>
          <w:szCs w:val="20"/>
          <w:color w:val="auto"/>
        </w:rPr>
        <w:t xml:space="preserve">  Y(A-B)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-7620</wp:posOffset>
            </wp:positionV>
            <wp:extent cx="49720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0"/>
          <w:szCs w:val="20"/>
          <w:color w:val="auto"/>
        </w:rPr>
        <w:t>A</w:t>
      </w:r>
    </w:p>
    <w:p>
      <w:pPr>
        <w:spacing w:after="0" w:line="200" w:lineRule="exact"/>
        <w:rPr>
          <w:sz w:val="20"/>
          <w:szCs w:val="20"/>
          <w:color w:val="auto"/>
        </w:rPr>
      </w:pPr>
    </w:p>
    <w:p>
      <w:pPr>
        <w:spacing w:after="0" w:line="223" w:lineRule="exact"/>
        <w:rPr>
          <w:sz w:val="20"/>
          <w:szCs w:val="20"/>
          <w:color w:val="auto"/>
        </w:rPr>
      </w:pPr>
    </w:p>
    <w:p>
      <w:pPr>
        <w:spacing w:after="0"/>
        <w:tabs>
          <w:tab w:leader="none" w:pos="820" w:val="left"/>
          <w:tab w:leader="none" w:pos="1460" w:val="left"/>
        </w:tabs>
        <w:rPr>
          <w:sz w:val="20"/>
          <w:szCs w:val="20"/>
          <w:color w:val="auto"/>
        </w:rPr>
      </w:pPr>
      <w:r>
        <w:rPr>
          <w:rFonts w:ascii="Times New Roman" w:cs="Times New Roman" w:eastAsia="Times New Roman" w:hAnsi="Times New Roman"/>
          <w:sz w:val="20"/>
          <w:szCs w:val="20"/>
          <w:color w:val="auto"/>
        </w:rPr>
        <w:t>Where:</w:t>
        <w:tab/>
        <w:t>X =</w:t>
      </w:r>
      <w:r>
        <w:rPr>
          <w:sz w:val="20"/>
          <w:szCs w:val="20"/>
          <w:color w:val="auto"/>
        </w:rPr>
        <w:tab/>
      </w:r>
      <w:r>
        <w:rPr>
          <w:rFonts w:ascii="Times New Roman" w:cs="Times New Roman" w:eastAsia="Times New Roman" w:hAnsi="Times New Roman"/>
          <w:sz w:val="19"/>
          <w:szCs w:val="19"/>
          <w:color w:val="auto"/>
        </w:rPr>
        <w:t>the number of shares of Common Stock to be issued to the Warrantholder</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62" w:right="999" w:bottom="1440" w:gutter="0" w:footer="0" w:header="0"/>
        </w:sectPr>
      </w:pPr>
    </w:p>
    <w:bookmarkStart w:id="199" w:name="page200"/>
    <w:bookmarkEnd w:id="199"/>
    <w:p>
      <w:pPr>
        <w:ind w:left="840"/>
        <w:spacing w:after="0"/>
        <w:tabs>
          <w:tab w:leader="none" w:pos="1460" w:val="left"/>
        </w:tabs>
        <w:rPr>
          <w:sz w:val="20"/>
          <w:szCs w:val="20"/>
          <w:color w:val="auto"/>
        </w:rPr>
      </w:pPr>
      <w:r>
        <w:rPr>
          <w:rFonts w:ascii="Times New Roman" w:cs="Times New Roman" w:eastAsia="Times New Roman" w:hAnsi="Times New Roman"/>
          <w:sz w:val="20"/>
          <w:szCs w:val="20"/>
          <w:color w:val="auto"/>
        </w:rPr>
        <w:t>Y =</w:t>
      </w:r>
      <w:r>
        <w:rPr>
          <w:sz w:val="20"/>
          <w:szCs w:val="20"/>
          <w:color w:val="auto"/>
        </w:rPr>
        <w:tab/>
      </w:r>
      <w:r>
        <w:rPr>
          <w:rFonts w:ascii="Times New Roman" w:cs="Times New Roman" w:eastAsia="Times New Roman" w:hAnsi="Times New Roman"/>
          <w:sz w:val="19"/>
          <w:szCs w:val="19"/>
          <w:color w:val="auto"/>
        </w:rPr>
        <w:t>the number of shares of Common Stock requested to be exercised under this Agreement.</w:t>
      </w:r>
    </w:p>
    <w:p>
      <w:pPr>
        <w:spacing w:after="0" w:line="108" w:lineRule="exact"/>
        <w:rPr>
          <w:sz w:val="20"/>
          <w:szCs w:val="20"/>
          <w:color w:val="auto"/>
        </w:rPr>
      </w:pPr>
    </w:p>
    <w:p>
      <w:pPr>
        <w:ind w:left="840" w:right="620"/>
        <w:spacing w:after="0" w:line="269" w:lineRule="auto"/>
        <w:rPr>
          <w:sz w:val="20"/>
          <w:szCs w:val="20"/>
          <w:color w:val="auto"/>
        </w:rPr>
      </w:pPr>
      <w:r>
        <w:rPr>
          <w:rFonts w:ascii="Times New Roman" w:cs="Times New Roman" w:eastAsia="Times New Roman" w:hAnsi="Times New Roman"/>
          <w:sz w:val="20"/>
          <w:szCs w:val="20"/>
          <w:color w:val="auto"/>
        </w:rPr>
        <w:t>A = the then-current fair market value of one (1) share of Common Stock at the time of exercise of this Warrant.</w:t>
      </w:r>
    </w:p>
    <w:p>
      <w:pPr>
        <w:spacing w:after="0" w:line="51" w:lineRule="exact"/>
        <w:rPr>
          <w:sz w:val="20"/>
          <w:szCs w:val="20"/>
          <w:color w:val="auto"/>
        </w:rPr>
      </w:pPr>
    </w:p>
    <w:p>
      <w:pPr>
        <w:ind w:left="840"/>
        <w:spacing w:after="0"/>
        <w:tabs>
          <w:tab w:leader="none" w:pos="1460" w:val="left"/>
        </w:tabs>
        <w:rPr>
          <w:sz w:val="20"/>
          <w:szCs w:val="20"/>
          <w:color w:val="auto"/>
        </w:rPr>
      </w:pPr>
      <w:r>
        <w:rPr>
          <w:rFonts w:ascii="Times New Roman" w:cs="Times New Roman" w:eastAsia="Times New Roman" w:hAnsi="Times New Roman"/>
          <w:sz w:val="20"/>
          <w:szCs w:val="20"/>
          <w:color w:val="auto"/>
        </w:rPr>
        <w:t>B =</w:t>
      </w:r>
      <w:r>
        <w:rPr>
          <w:sz w:val="20"/>
          <w:szCs w:val="20"/>
          <w:color w:val="auto"/>
        </w:rPr>
        <w:tab/>
      </w:r>
      <w:r>
        <w:rPr>
          <w:rFonts w:ascii="Times New Roman" w:cs="Times New Roman" w:eastAsia="Times New Roman" w:hAnsi="Times New Roman"/>
          <w:sz w:val="19"/>
          <w:szCs w:val="19"/>
          <w:color w:val="auto"/>
        </w:rPr>
        <w:t>the then-effective Exercise Price.</w:t>
      </w:r>
    </w:p>
    <w:p>
      <w:pPr>
        <w:spacing w:after="0" w:line="216" w:lineRule="exact"/>
        <w:rPr>
          <w:sz w:val="20"/>
          <w:szCs w:val="20"/>
          <w:color w:val="auto"/>
        </w:rPr>
      </w:pPr>
    </w:p>
    <w:p>
      <w:pPr>
        <w:ind w:right="360" w:firstLine="648"/>
        <w:spacing w:after="0" w:line="269" w:lineRule="auto"/>
        <w:rPr>
          <w:sz w:val="20"/>
          <w:szCs w:val="20"/>
          <w:color w:val="auto"/>
        </w:rPr>
      </w:pPr>
      <w:r>
        <w:rPr>
          <w:rFonts w:ascii="Times New Roman" w:cs="Times New Roman" w:eastAsia="Times New Roman" w:hAnsi="Times New Roman"/>
          <w:sz w:val="20"/>
          <w:szCs w:val="20"/>
          <w:color w:val="auto"/>
        </w:rPr>
        <w:t>For purposes of the above calculation, the current fair market value of shares of Common Stock shall mean with respect to each share of Common Stock:</w:t>
      </w:r>
    </w:p>
    <w:p>
      <w:pPr>
        <w:spacing w:after="0" w:line="159" w:lineRule="exact"/>
        <w:rPr>
          <w:sz w:val="20"/>
          <w:szCs w:val="20"/>
          <w:color w:val="auto"/>
        </w:rPr>
      </w:pPr>
    </w:p>
    <w:p>
      <w:pPr>
        <w:ind w:right="240" w:firstLine="656"/>
        <w:spacing w:after="0" w:line="254" w:lineRule="auto"/>
        <w:tabs>
          <w:tab w:leader="none" w:pos="1296"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when the Common Stock is traded on a national securities exchange, inter-dealer quotation system or over-the-counter bulletin board service, the average of the closing prices over a five (5) day period ending three days before the day the current fair market value of the securities is being determined;</w:t>
      </w:r>
    </w:p>
    <w:p>
      <w:pPr>
        <w:spacing w:after="0" w:line="174" w:lineRule="exact"/>
        <w:rPr>
          <w:rFonts w:ascii="Times New Roman" w:cs="Times New Roman" w:eastAsia="Times New Roman" w:hAnsi="Times New Roman"/>
          <w:sz w:val="20"/>
          <w:szCs w:val="20"/>
          <w:color w:val="auto"/>
        </w:rPr>
      </w:pPr>
    </w:p>
    <w:p>
      <w:pPr>
        <w:ind w:right="20" w:firstLine="656"/>
        <w:spacing w:after="0" w:line="249" w:lineRule="auto"/>
        <w:tabs>
          <w:tab w:leader="none" w:pos="1296"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exercise is in connection with a Merger Event, the fair market value of a share of Common Stock shall be deemed to be the per share value received by the holders of the outstanding shares of Common Stock pursuant to such Merger Event as determined in accordance with the definitive transaction documents executed among the parties in connection therewith; or</w:t>
      </w:r>
    </w:p>
    <w:p>
      <w:pPr>
        <w:spacing w:after="0" w:line="179" w:lineRule="exact"/>
        <w:rPr>
          <w:rFonts w:ascii="Times New Roman" w:cs="Times New Roman" w:eastAsia="Times New Roman" w:hAnsi="Times New Roman"/>
          <w:sz w:val="20"/>
          <w:szCs w:val="20"/>
          <w:color w:val="auto"/>
        </w:rPr>
      </w:pPr>
    </w:p>
    <w:p>
      <w:pPr>
        <w:ind w:right="140" w:firstLine="656"/>
        <w:spacing w:after="0" w:line="269" w:lineRule="auto"/>
        <w:tabs>
          <w:tab w:leader="none" w:pos="1296"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cases other than as described in the foregoing clauses (i) and (ii), the current fair market value of a share of Common Stock shall be determined in good faith by the Company’s Board of Directors.</w:t>
      </w:r>
    </w:p>
    <w:p>
      <w:pPr>
        <w:spacing w:after="0" w:line="159" w:lineRule="exact"/>
        <w:rPr>
          <w:sz w:val="20"/>
          <w:szCs w:val="20"/>
          <w:color w:val="auto"/>
        </w:rPr>
      </w:pPr>
    </w:p>
    <w:p>
      <w:pPr>
        <w:ind w:right="100" w:firstLine="648"/>
        <w:spacing w:after="0" w:line="249" w:lineRule="auto"/>
        <w:rPr>
          <w:sz w:val="20"/>
          <w:szCs w:val="20"/>
          <w:color w:val="auto"/>
        </w:rPr>
      </w:pPr>
      <w:r>
        <w:rPr>
          <w:rFonts w:ascii="Times New Roman" w:cs="Times New Roman" w:eastAsia="Times New Roman" w:hAnsi="Times New Roman"/>
          <w:sz w:val="20"/>
          <w:szCs w:val="20"/>
          <w:color w:val="auto"/>
        </w:rPr>
        <w:t>Upon partial exercise by either cash or Net Issuance, prior to the expiration or earlier termination hereof, the Company shall promptly issue an amended Agreement representing the remaining number of shares purchasable hereunder. All other terms and conditions of such amended Agreement shall be identical to those contained herein, including, but not limited to the date hereof.</w:t>
      </w:r>
    </w:p>
    <w:p>
      <w:pPr>
        <w:spacing w:after="0" w:line="180" w:lineRule="exact"/>
        <w:rPr>
          <w:sz w:val="20"/>
          <w:szCs w:val="20"/>
          <w:color w:val="auto"/>
        </w:rPr>
      </w:pPr>
    </w:p>
    <w:p>
      <w:pPr>
        <w:ind w:right="40" w:firstLine="656"/>
        <w:spacing w:after="0" w:line="242" w:lineRule="auto"/>
        <w:tabs>
          <w:tab w:leader="none" w:pos="1296"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Prior to Expiration</w:t>
      </w:r>
      <w:r>
        <w:rPr>
          <w:rFonts w:ascii="Times New Roman" w:cs="Times New Roman" w:eastAsia="Times New Roman" w:hAnsi="Times New Roman"/>
          <w:sz w:val="20"/>
          <w:szCs w:val="20"/>
          <w:color w:val="auto"/>
        </w:rPr>
        <w:t>. To the extent this Warrant is not previously exercised as to all shares of Common Stock subject hereto, and if the then-current fair market value of one share of Common Stock is greater than the Exercise Price then in effect, or, in the case of a Liquid Sale, where the value per share of Common Stock (as determined as of the closing of such Liquid Sale in accordance with the definitive agreements executed by the parties in connection with such Merger Event) to be paid to the holders thereof is greater than the Exercise Price then in effect, this Agreement shall be deemed automatically exercised on a Net Issuance basis pursuant to Section 3(a) (even if not surrendered) as of immediately before its expiration determined in accordance with Section 2. For purposes of such automatic exercise, the fair market value of one share of Common Stock upon such expiration shall be determined pursuant to Section 3(a). To the extent this Warrant or any portion hereof is deemed automatically exercised pursuant to this Section 3(b), the Company agrees to promptly notify the Warrantholder of the number of shares of Common Stock if any, the Warrantholder is to receive by reason of such automatic exercise, and to issue or cause its transfer agent to issue a certificate or a book-entry credit to the Warrantholder evidencing such shares.</w:t>
      </w:r>
    </w:p>
    <w:p>
      <w:pPr>
        <w:spacing w:after="0" w:line="183"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19"/>
          <w:szCs w:val="19"/>
          <w:color w:val="auto"/>
        </w:rPr>
        <w:t>RESERVATION OF SHARES.</w:t>
      </w:r>
    </w:p>
    <w:p>
      <w:pPr>
        <w:spacing w:after="0" w:line="220"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During the term of this Agreement, the Company will at all times have authorized and reserved a sufficient number of shares of its Common Stock to provide for the exercise of the rights to purchase Common Stock as provided for herein. If at any time during the term hereof the number of authorized but unissued shares of Common Stock shall not be sufficient to permit exercise of this Warrant in full, the Company will take such corporate action as may, in the opinion of its counsel, be necessary to increase its authorized but unissued shares of Common Stock to such number of shares as shall be sufficient for such purposes.</w:t>
      </w:r>
    </w:p>
    <w:p>
      <w:pPr>
        <w:spacing w:after="0" w:line="18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19"/>
          <w:szCs w:val="19"/>
          <w:color w:val="auto"/>
        </w:rPr>
        <w:t>NO FRACTIONAL SHARES OR SCRIP.</w:t>
      </w:r>
    </w:p>
    <w:p>
      <w:pPr>
        <w:spacing w:after="0" w:line="220"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20"/>
          <w:szCs w:val="20"/>
          <w:color w:val="auto"/>
        </w:rPr>
        <w:t>No fractional shares or scrip representing fractional shares shall be issued upon the exercise of this Agreement, but in lieu of such fractional shares the Company shall make a cash payment therefor in an amount equal to the product of (a) the Exercise Price then in effect multiplied by (b) the fraction of a share.</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333" w:right="1019" w:bottom="1440" w:gutter="0" w:footer="0" w:header="0"/>
        </w:sectPr>
      </w:pPr>
    </w:p>
    <w:bookmarkStart w:id="200" w:name="page201"/>
    <w:bookmarkEnd w:id="200"/>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6.</w:t>
      </w:r>
      <w:r>
        <w:rPr>
          <w:sz w:val="20"/>
          <w:szCs w:val="20"/>
          <w:color w:val="auto"/>
        </w:rPr>
        <w:tab/>
      </w:r>
      <w:r>
        <w:rPr>
          <w:rFonts w:ascii="Times New Roman" w:cs="Times New Roman" w:eastAsia="Times New Roman" w:hAnsi="Times New Roman"/>
          <w:sz w:val="19"/>
          <w:szCs w:val="19"/>
          <w:color w:val="auto"/>
        </w:rPr>
        <w:t>NO RIGHTS AS SHAREHOLDER/STOCKHOLDER.</w:t>
      </w:r>
    </w:p>
    <w:p>
      <w:pPr>
        <w:spacing w:after="0" w:line="219"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20"/>
          <w:szCs w:val="20"/>
          <w:color w:val="auto"/>
        </w:rPr>
        <w:t>Without limitation of any provision hereof, the Warrantholder agrees that this Agreement does not entitle the Warrantholder to any voting rights or other rights as a shareholder/stockholder of the Company prior to the exercise of any of the purchase rights set forth in this Agreement.</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7.</w:t>
      </w:r>
      <w:r>
        <w:rPr>
          <w:sz w:val="20"/>
          <w:szCs w:val="20"/>
          <w:color w:val="auto"/>
        </w:rPr>
        <w:tab/>
      </w:r>
      <w:r>
        <w:rPr>
          <w:rFonts w:ascii="Times New Roman" w:cs="Times New Roman" w:eastAsia="Times New Roman" w:hAnsi="Times New Roman"/>
          <w:sz w:val="19"/>
          <w:szCs w:val="19"/>
          <w:color w:val="auto"/>
        </w:rPr>
        <w:t>WARRANTHOLDER REGISTRY.</w:t>
      </w:r>
    </w:p>
    <w:p>
      <w:pPr>
        <w:spacing w:after="0" w:line="220" w:lineRule="exact"/>
        <w:rPr>
          <w:sz w:val="20"/>
          <w:szCs w:val="20"/>
          <w:color w:val="auto"/>
        </w:rPr>
      </w:pPr>
    </w:p>
    <w:p>
      <w:pPr>
        <w:jc w:val="both"/>
        <w:ind w:right="280" w:firstLine="648"/>
        <w:spacing w:after="0" w:line="254" w:lineRule="auto"/>
        <w:rPr>
          <w:sz w:val="20"/>
          <w:szCs w:val="20"/>
          <w:color w:val="auto"/>
        </w:rPr>
      </w:pPr>
      <w:r>
        <w:rPr>
          <w:rFonts w:ascii="Times New Roman" w:cs="Times New Roman" w:eastAsia="Times New Roman" w:hAnsi="Times New Roman"/>
          <w:sz w:val="20"/>
          <w:szCs w:val="20"/>
          <w:color w:val="auto"/>
        </w:rPr>
        <w:t>The Company shall maintain a registry showing the name and address of the registered holder of this Agreement. The Warrantholder’s initial address, for purposes of such registry, is set forth in Section 12(g) below. The Warrantholder may change such address by giving written notice of such changed address to the Company.</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8.</w:t>
      </w:r>
      <w:r>
        <w:rPr>
          <w:sz w:val="20"/>
          <w:szCs w:val="20"/>
          <w:color w:val="auto"/>
        </w:rPr>
        <w:tab/>
      </w:r>
      <w:r>
        <w:rPr>
          <w:rFonts w:ascii="Times New Roman" w:cs="Times New Roman" w:eastAsia="Times New Roman" w:hAnsi="Times New Roman"/>
          <w:sz w:val="19"/>
          <w:szCs w:val="19"/>
          <w:color w:val="auto"/>
        </w:rPr>
        <w:t>ADJUSTMENT RIGHTS.</w:t>
      </w:r>
    </w:p>
    <w:p>
      <w:pPr>
        <w:spacing w:after="0" w:line="220" w:lineRule="exact"/>
        <w:rPr>
          <w:sz w:val="20"/>
          <w:szCs w:val="20"/>
          <w:color w:val="auto"/>
        </w:rPr>
      </w:pPr>
    </w:p>
    <w:p>
      <w:pPr>
        <w:ind w:right="360" w:firstLine="648"/>
        <w:spacing w:after="0" w:line="269" w:lineRule="auto"/>
        <w:rPr>
          <w:sz w:val="20"/>
          <w:szCs w:val="20"/>
          <w:color w:val="auto"/>
        </w:rPr>
      </w:pPr>
      <w:r>
        <w:rPr>
          <w:rFonts w:ascii="Times New Roman" w:cs="Times New Roman" w:eastAsia="Times New Roman" w:hAnsi="Times New Roman"/>
          <w:sz w:val="20"/>
          <w:szCs w:val="20"/>
          <w:color w:val="auto"/>
        </w:rPr>
        <w:t>The Exercise Price and the number of shares of Common Stock purchasable hereunder are subject to adjustment from time to time, as follows:</w:t>
      </w:r>
    </w:p>
    <w:p>
      <w:pPr>
        <w:spacing w:after="0" w:line="159" w:lineRule="exact"/>
        <w:rPr>
          <w:sz w:val="20"/>
          <w:szCs w:val="20"/>
          <w:color w:val="auto"/>
        </w:rPr>
      </w:pPr>
    </w:p>
    <w:p>
      <w:pPr>
        <w:ind w:right="40" w:firstLine="1304"/>
        <w:spacing w:after="0" w:line="241" w:lineRule="auto"/>
        <w:tabs>
          <w:tab w:leader="none" w:pos="194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Merger Event</w:t>
      </w:r>
      <w:r>
        <w:rPr>
          <w:rFonts w:ascii="Times New Roman" w:cs="Times New Roman" w:eastAsia="Times New Roman" w:hAnsi="Times New Roman"/>
          <w:sz w:val="20"/>
          <w:szCs w:val="20"/>
          <w:color w:val="auto"/>
        </w:rPr>
        <w:t>. In connection with a Merger Event that is a Liquid Sale, this Warrant shall, on and after the closing thereof, automatically and without further action on the part of any party or other person, represent the right to receive the consideration payable on or in respect of all shares of Common Stock that are issuable hereunder as of immediately prior to the closing of such Merger Event less the Purchase Price for all such shares of Common Stock (such consideration to include both the consideration payable at the closing of such Merger Event and all deferred consideration payable thereafter, if any, including, but not limited to, payments of amounts deposited at such closing into escrow and payments in the nature of earn-outs, milestone payments or other performance-based payments), and such Merger Event consideration shall be paid to the Warrantholder as and when it is paid to the holders of the outstanding shares of Common Stock. In connection with a Merger Event that is not a Liquid Sale, the Company shall cause the successor or surviving entity to assume this Warrant and the obligations of the Company hereunder on the closing thereof, and thereafter this Warrant shall be exercisable for the same number and type of securities or other property as the Warrantholder would have received in consideration for the shares of Common Stock issuable hereunder had it exercised this Warrant in full as of immediately prior to such closing, at an aggregate Exercise Price no greater than the aggregate Exercise Price in effect as of immediately prior to such closing, and subject to further adjustment from time to time in accordance with the provisions of this Warrant. The provisions of this Section 8(a) shall similarly apply to successive Merger Events.</w:t>
      </w:r>
    </w:p>
    <w:p>
      <w:pPr>
        <w:spacing w:after="0" w:line="194" w:lineRule="exact"/>
        <w:rPr>
          <w:rFonts w:ascii="Times New Roman" w:cs="Times New Roman" w:eastAsia="Times New Roman" w:hAnsi="Times New Roman"/>
          <w:sz w:val="20"/>
          <w:szCs w:val="20"/>
          <w:color w:val="auto"/>
        </w:rPr>
      </w:pPr>
    </w:p>
    <w:p>
      <w:pPr>
        <w:ind w:firstLine="1304"/>
        <w:spacing w:after="0" w:line="243" w:lineRule="auto"/>
        <w:tabs>
          <w:tab w:leader="none" w:pos="194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Reclassification of Shares</w:t>
      </w:r>
      <w:r>
        <w:rPr>
          <w:rFonts w:ascii="Times New Roman" w:cs="Times New Roman" w:eastAsia="Times New Roman" w:hAnsi="Times New Roman"/>
          <w:sz w:val="20"/>
          <w:szCs w:val="20"/>
          <w:color w:val="auto"/>
        </w:rPr>
        <w:t>. Except for Merger Events subject to Section 8(a), if the Company at any time shall, by combination, reclassification, exchange or subdivision of securities or otherwise, change any of the securities as to which purchase rights under this Agreement exist into the same or a different number of securities of any other class or classes of securities, this Agreement shall thereafter represent the right to acquire such number and kind of securities as would have been issuable as the result of such change with respect to the securities which were subject to the purchase rights under this Agreement immediately prior to such combination, reclassification, exchange, subdivision or other change. The provisions of this Section 8(b) shall similarly apply to successive combination, reclassification, exchange, subdivision or other change.</w:t>
      </w:r>
    </w:p>
    <w:p>
      <w:pPr>
        <w:spacing w:after="0" w:line="189" w:lineRule="exact"/>
        <w:rPr>
          <w:rFonts w:ascii="Times New Roman" w:cs="Times New Roman" w:eastAsia="Times New Roman" w:hAnsi="Times New Roman"/>
          <w:sz w:val="20"/>
          <w:szCs w:val="20"/>
          <w:color w:val="auto"/>
        </w:rPr>
      </w:pPr>
    </w:p>
    <w:p>
      <w:pPr>
        <w:ind w:right="180" w:firstLine="1304"/>
        <w:spacing w:after="0" w:line="246" w:lineRule="auto"/>
        <w:tabs>
          <w:tab w:leader="none" w:pos="194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Subdivision or Combination of Shares</w:t>
      </w:r>
      <w:r>
        <w:rPr>
          <w:rFonts w:ascii="Times New Roman" w:cs="Times New Roman" w:eastAsia="Times New Roman" w:hAnsi="Times New Roman"/>
          <w:sz w:val="20"/>
          <w:szCs w:val="20"/>
          <w:color w:val="auto"/>
        </w:rPr>
        <w:t>. If the Company at any time shall combine or subdivide its Common Stock, (i) in the case of a subdivision, the Exercise Price shall be proportionately decreased and the number of shares for which this Warrant is exercisable shall be proportionately increased, or (ii) in the case of a combination, the Exercise Price shall be proportionately increased and the number of shares for which this Warrant is exercisable shall be proportionately decreased.</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4" w:right="1019" w:bottom="1440" w:gutter="0" w:footer="0" w:header="0"/>
        </w:sectPr>
      </w:pPr>
    </w:p>
    <w:bookmarkStart w:id="201" w:name="page202"/>
    <w:bookmarkEnd w:id="201"/>
    <w:p>
      <w:pPr>
        <w:ind w:left="1952" w:hanging="656"/>
        <w:spacing w:after="0"/>
        <w:tabs>
          <w:tab w:leader="none" w:pos="1952"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 If the Company at any time while this Agreement is outstanding and unexpired shall:</w:t>
      </w:r>
    </w:p>
    <w:p>
      <w:pPr>
        <w:spacing w:after="0" w:line="214" w:lineRule="exact"/>
        <w:rPr>
          <w:rFonts w:ascii="Times New Roman" w:cs="Times New Roman" w:eastAsia="Times New Roman" w:hAnsi="Times New Roman"/>
          <w:sz w:val="20"/>
          <w:szCs w:val="20"/>
          <w:color w:val="auto"/>
        </w:rPr>
      </w:pPr>
    </w:p>
    <w:p>
      <w:pPr>
        <w:ind w:left="-8" w:right="40" w:firstLine="1952"/>
        <w:spacing w:after="0" w:line="244" w:lineRule="auto"/>
        <w:tabs>
          <w:tab w:leader="none" w:pos="2584"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a dividend with respect to the Common Stock payable in additional shares of Common Stock, then the Exercise Price shall be adjusted, from and after the date of determination of stockholders entitled to receive such dividend, to that price determined by multiplying the Exercise Price in effect immediately prior to such date of determination by a fraction (A) the numerator of which shall be the total number of shares of Common Stock outstanding immediately prior to such dividend or distribution, and (B) the denominator of which shall be the total number of shares of Common Stock outstanding immediately after such dividend or distribution, and the number of shares of Common Stock for which this Warrant is exercisable shall be proportionately increased; or</w:t>
      </w:r>
    </w:p>
    <w:p>
      <w:pPr>
        <w:spacing w:after="0" w:line="185" w:lineRule="exact"/>
        <w:rPr>
          <w:rFonts w:ascii="Times New Roman" w:cs="Times New Roman" w:eastAsia="Times New Roman" w:hAnsi="Times New Roman"/>
          <w:sz w:val="20"/>
          <w:szCs w:val="20"/>
          <w:color w:val="auto"/>
        </w:rPr>
      </w:pPr>
    </w:p>
    <w:p>
      <w:pPr>
        <w:ind w:left="-8" w:right="240" w:firstLine="1952"/>
        <w:spacing w:after="0" w:line="245" w:lineRule="auto"/>
        <w:tabs>
          <w:tab w:leader="none" w:pos="2583"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other dividend or distribution on or with respect to Common Stock, except any dividend or distribution specifically provided for in any other clause of this Section 8, then, in each such case, provision shall be made by the Company such that the Warrantholder shall receive upon exercise or conversion of this Warrant a proportionate share of any such dividend or distribution as though it were the holder of the Common Stock (or other stock for which the Common Stock is convertible) as of the record date fixed for the determination of the stockholders of the Company entitled to receive such dividend or distribution.</w:t>
      </w:r>
    </w:p>
    <w:p>
      <w:pPr>
        <w:spacing w:after="0" w:line="184" w:lineRule="exact"/>
        <w:rPr>
          <w:rFonts w:ascii="Times New Roman" w:cs="Times New Roman" w:eastAsia="Times New Roman" w:hAnsi="Times New Roman"/>
          <w:sz w:val="20"/>
          <w:szCs w:val="20"/>
          <w:color w:val="auto"/>
        </w:rPr>
      </w:pPr>
    </w:p>
    <w:p>
      <w:pPr>
        <w:ind w:left="-8" w:right="100" w:firstLine="1304"/>
        <w:spacing w:after="0" w:line="242" w:lineRule="auto"/>
        <w:tabs>
          <w:tab w:leader="none" w:pos="193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Certain Events</w:t>
      </w:r>
      <w:r>
        <w:rPr>
          <w:rFonts w:ascii="Times New Roman" w:cs="Times New Roman" w:eastAsia="Times New Roman" w:hAnsi="Times New Roman"/>
          <w:sz w:val="20"/>
          <w:szCs w:val="20"/>
          <w:color w:val="auto"/>
        </w:rPr>
        <w:t>. If: (i) the Company shall declare any dividend or distribution upon its outstanding Common Stock, payable in stock, cash, property or other securities (provided that the Warrantholder in its capacity as lender under the Loan Agreement consents to such dividend); (ii) the Company shall offer for subscription pro rata to the holders of its Common Stock any additional shares of stock of any class or other rights; (iii) there shall be any Merger Event; or (iv) there shall be any voluntary dissolution, liquidation or winding up of the Company; then, in connection with each such event, the Company shall give the Warrantholder notice thereof at the same time and in the same manner as it gives notice thereof to the holders of outstanding Common Stock. In addition, if at any time the number of shares of Common Stock (or other securities of any other class or classes of securities of the Company for which this Warrant is then exercisable) outstanding is reduced such that the number of shares of Common Stock or other securities issuable upon exercise of this Warrant shall exceed five percent (5%) of the then outstanding class of such securities, then, within three (3) business days of such event, the Company shall give the Warrantholder written notice thereof.</w:t>
      </w:r>
    </w:p>
    <w:p>
      <w:pPr>
        <w:spacing w:after="0" w:line="186" w:lineRule="exact"/>
        <w:rPr>
          <w:sz w:val="20"/>
          <w:szCs w:val="20"/>
          <w:color w:val="auto"/>
        </w:rPr>
      </w:pPr>
    </w:p>
    <w:p>
      <w:pPr>
        <w:ind w:left="1132"/>
        <w:spacing w:after="0"/>
        <w:tabs>
          <w:tab w:leader="none" w:pos="2571" w:val="left"/>
        </w:tabs>
        <w:rPr>
          <w:sz w:val="20"/>
          <w:szCs w:val="20"/>
          <w:color w:val="auto"/>
        </w:rPr>
      </w:pPr>
      <w:r>
        <w:rPr>
          <w:rFonts w:ascii="Times New Roman" w:cs="Times New Roman" w:eastAsia="Times New Roman" w:hAnsi="Times New Roman"/>
          <w:sz w:val="20"/>
          <w:szCs w:val="20"/>
          <w:b w:val="1"/>
          <w:bCs w:val="1"/>
          <w:color w:val="auto"/>
        </w:rPr>
        <w:t>SECTION 9.</w:t>
      </w:r>
      <w:r>
        <w:rPr>
          <w:sz w:val="20"/>
          <w:szCs w:val="20"/>
          <w:color w:val="auto"/>
        </w:rPr>
        <w:tab/>
      </w:r>
      <w:r>
        <w:rPr>
          <w:rFonts w:ascii="Times New Roman" w:cs="Times New Roman" w:eastAsia="Times New Roman" w:hAnsi="Times New Roman"/>
          <w:sz w:val="19"/>
          <w:szCs w:val="19"/>
          <w:color w:val="auto"/>
        </w:rPr>
        <w:t>REPRESENTATIONS, WARRANTIES AND COVENANTS OF THE COMPANY.</w:t>
      </w:r>
    </w:p>
    <w:p>
      <w:pPr>
        <w:spacing w:after="0" w:line="220" w:lineRule="exact"/>
        <w:rPr>
          <w:sz w:val="20"/>
          <w:szCs w:val="20"/>
          <w:color w:val="auto"/>
        </w:rPr>
      </w:pPr>
    </w:p>
    <w:p>
      <w:pPr>
        <w:ind w:left="-8" w:right="40" w:firstLine="656"/>
        <w:spacing w:after="0" w:line="242" w:lineRule="auto"/>
        <w:tabs>
          <w:tab w:leader="none" w:pos="964"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Reservation of Common Stock</w:t>
      </w:r>
      <w:r>
        <w:rPr>
          <w:rFonts w:ascii="Times New Roman" w:cs="Times New Roman" w:eastAsia="Times New Roman" w:hAnsi="Times New Roman"/>
          <w:sz w:val="20"/>
          <w:szCs w:val="20"/>
          <w:color w:val="auto"/>
        </w:rPr>
        <w:t>. The Company covenants and agrees that all shares of Common Stock that may be issued upon the exercise of the rights represented by this Warrant will, upon issuance, be validly issued and outstanding, fully paid and non-assessable, and will be free of any taxes, liens, charges or encumbrances of any nature whatsoever; provided, that the Common Stock issuable pursuant to this Agreement may be subject to restrictions on transfer under state and/or federal securities laws. The Company has made available to the Warrantholder true, correct and complete copies of its Charter and bylaws currently in effect. The issuance of certificates or book-entry credit for shares of Common Stock upon exercise of this Warrant shall be made without charge to the Warrantholder for any issuance tax in respect thereof, or other cost incurred by the Company in connection with such exercise and related issuance of shares of Common Stock. The Company further covenants and agrees that the Company will, at all times during the term hereof, have authorized and reserved, free from preemptive rights, a sufficient number of shares of Common Stock to provide for the exercise of the rights represented by this Warrant.</w:t>
      </w:r>
    </w:p>
    <w:p>
      <w:pPr>
        <w:spacing w:after="0" w:line="189" w:lineRule="exact"/>
        <w:rPr>
          <w:rFonts w:ascii="Times New Roman" w:cs="Times New Roman" w:eastAsia="Times New Roman" w:hAnsi="Times New Roman"/>
          <w:sz w:val="20"/>
          <w:szCs w:val="20"/>
          <w:color w:val="auto"/>
        </w:rPr>
      </w:pPr>
    </w:p>
    <w:p>
      <w:pPr>
        <w:jc w:val="both"/>
        <w:ind w:left="-8" w:right="140" w:firstLine="656"/>
        <w:spacing w:after="0" w:line="260" w:lineRule="auto"/>
        <w:tabs>
          <w:tab w:leader="none" w:pos="964"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Due Authority</w:t>
      </w:r>
      <w:r>
        <w:rPr>
          <w:rFonts w:ascii="Times New Roman" w:cs="Times New Roman" w:eastAsia="Times New Roman" w:hAnsi="Times New Roman"/>
          <w:sz w:val="19"/>
          <w:szCs w:val="19"/>
          <w:color w:val="auto"/>
        </w:rPr>
        <w:t>. The execution and delivery by the Company of this Agreement and the performance of all obligations of the Company hereunder, including the issuance to the Warrantholder of the right to acquire the shares of Common Stock, have been duly authorized by all necessary corporate action on the part of the Company. This Agreement:</w:t>
      </w:r>
    </w:p>
    <w:p>
      <w:pPr>
        <w:ind w:left="-8" w:firstLine="8"/>
        <w:spacing w:after="0"/>
        <w:tabs>
          <w:tab w:leader="none" w:pos="228"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violate the Charter or the Company’s current bylaws; (ii) does not contravene any law or governmental rule, regulation or order applicable to the Company; and (iii) except as could not reasonably be expected to have a Material Adverse Effect (as defined in the Loan Agreement), does not and will not contravene any provision of, or constitute a default under, any indenture, mortgage, contract or other instrument to which the Company is a party or by which it is bound. This Agreement constitutes a legal, valid and binding agreement of the Company, enforceable in accordance with its terms, except as may be limited by bankruptcy, insolvency, reorganization, moratorium or similar</w:t>
      </w: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92"/>
          </w:cols>
          <w:pgMar w:left="988" w:top="118" w:right="1019" w:bottom="1440" w:gutter="0" w:footer="0" w:header="0"/>
        </w:sectPr>
      </w:pPr>
    </w:p>
    <w:bookmarkStart w:id="202" w:name="page203"/>
    <w:bookmarkEnd w:id="202"/>
    <w:p>
      <w:pPr>
        <w:ind w:right="300"/>
        <w:spacing w:after="0" w:line="268" w:lineRule="auto"/>
        <w:rPr>
          <w:sz w:val="20"/>
          <w:szCs w:val="20"/>
          <w:color w:val="auto"/>
        </w:rPr>
      </w:pPr>
      <w:r>
        <w:rPr>
          <w:rFonts w:ascii="Times New Roman" w:cs="Times New Roman" w:eastAsia="Times New Roman" w:hAnsi="Times New Roman"/>
          <w:sz w:val="20"/>
          <w:szCs w:val="20"/>
          <w:color w:val="auto"/>
        </w:rPr>
        <w:t>laws relating to or affecting creditors’ rights generally (including, without limitation, fraudulent conveyance laws) and by general principles of equity, regardless of whether considered in a proceeding in equity or at law.</w:t>
      </w:r>
    </w:p>
    <w:p>
      <w:pPr>
        <w:spacing w:after="0" w:line="161" w:lineRule="exact"/>
        <w:rPr>
          <w:sz w:val="20"/>
          <w:szCs w:val="20"/>
          <w:color w:val="auto"/>
        </w:rPr>
      </w:pPr>
    </w:p>
    <w:p>
      <w:pPr>
        <w:ind w:right="20" w:firstLine="656"/>
        <w:spacing w:after="0" w:line="246" w:lineRule="auto"/>
        <w:tabs>
          <w:tab w:leader="none" w:pos="972"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Consents and Approvals</w:t>
      </w:r>
      <w:r>
        <w:rPr>
          <w:rFonts w:ascii="Times New Roman" w:cs="Times New Roman" w:eastAsia="Times New Roman" w:hAnsi="Times New Roman"/>
          <w:sz w:val="20"/>
          <w:szCs w:val="20"/>
          <w:color w:val="auto"/>
        </w:rPr>
        <w:t>. No consent or approval of, giving of notice to, registration with, or taking of any other action in respect of any state, federal or other governmental authority or agency is required with respect to the execution, delivery and performance by the Company of its obligations under this Agreement, except for the filing of notices pursuant to Regulation D under the Act and any filing required by applicable state securities law, which filings will be effective by the time required thereby.</w:t>
      </w:r>
    </w:p>
    <w:p>
      <w:pPr>
        <w:spacing w:after="0" w:line="184" w:lineRule="exact"/>
        <w:rPr>
          <w:rFonts w:ascii="Times New Roman" w:cs="Times New Roman" w:eastAsia="Times New Roman" w:hAnsi="Times New Roman"/>
          <w:sz w:val="20"/>
          <w:szCs w:val="20"/>
          <w:color w:val="auto"/>
        </w:rPr>
      </w:pPr>
    </w:p>
    <w:p>
      <w:pPr>
        <w:ind w:right="120" w:firstLine="656"/>
        <w:spacing w:after="0" w:line="249" w:lineRule="auto"/>
        <w:tabs>
          <w:tab w:leader="none" w:pos="972"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Exempt Transaction</w:t>
      </w:r>
      <w:r>
        <w:rPr>
          <w:rFonts w:ascii="Times New Roman" w:cs="Times New Roman" w:eastAsia="Times New Roman" w:hAnsi="Times New Roman"/>
          <w:sz w:val="20"/>
          <w:szCs w:val="20"/>
          <w:color w:val="auto"/>
        </w:rPr>
        <w:t>. Subject to the accuracy of the Warrantholder’s representations in Section 10, the issuance of the Common Stock upon exercise of this Agreement will constitute a transaction exempt from (i) the registration requirements of Section 5 of the Act, in reliance upon Section 4(a)(2) thereof, and (ii) the qualification requirements of the applicable state securities laws.</w:t>
      </w:r>
    </w:p>
    <w:p>
      <w:pPr>
        <w:spacing w:after="0" w:line="179" w:lineRule="exact"/>
        <w:rPr>
          <w:rFonts w:ascii="Times New Roman" w:cs="Times New Roman" w:eastAsia="Times New Roman" w:hAnsi="Times New Roman"/>
          <w:sz w:val="20"/>
          <w:szCs w:val="20"/>
          <w:color w:val="auto"/>
        </w:rPr>
      </w:pPr>
    </w:p>
    <w:p>
      <w:pPr>
        <w:ind w:right="20" w:firstLine="656"/>
        <w:spacing w:after="0" w:line="258" w:lineRule="auto"/>
        <w:tabs>
          <w:tab w:leader="none" w:pos="972" w:val="left"/>
        </w:tabs>
        <w:numPr>
          <w:ilvl w:val="1"/>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Information Rights</w:t>
      </w:r>
      <w:r>
        <w:rPr>
          <w:rFonts w:ascii="Times New Roman" w:cs="Times New Roman" w:eastAsia="Times New Roman" w:hAnsi="Times New Roman"/>
          <w:sz w:val="19"/>
          <w:szCs w:val="19"/>
          <w:color w:val="auto"/>
        </w:rPr>
        <w:t>. At all times (if any) prior to the earlier to occur of (x) the date on which all shares of Common Stock issued on exercise of this Warrant have been sold, or (y) the expiration or earlier termination of this Warrant, when the Company shall not be required to file reports pursuant to Section 13 or 15(d) of the Exchange Act or shall not have timely filed all such required reports, the Warrantholder shall be entitled to the information rights contained in Section 7.1(b)</w:t>
      </w:r>
    </w:p>
    <w:p>
      <w:pPr>
        <w:ind w:right="100"/>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(f) of the Loan Agreement, and in any such event Section 7.1(b) – (f) of the Loan Agreement is hereby incorporated into this Agreement by this reference as though fully set forth herein, provided, however, that the Company shall not be required to deliver a Compliance Certificate once all Indebtedness (as defined in the Loan Agreement) owed by the Company and its Subsidiaries to Warrantholder has been repaid.</w:t>
      </w:r>
    </w:p>
    <w:p>
      <w:pPr>
        <w:spacing w:after="0" w:line="188" w:lineRule="exact"/>
        <w:rPr>
          <w:rFonts w:ascii="Times New Roman" w:cs="Times New Roman" w:eastAsia="Times New Roman" w:hAnsi="Times New Roman"/>
          <w:sz w:val="19"/>
          <w:szCs w:val="19"/>
          <w:color w:val="auto"/>
        </w:rPr>
      </w:pPr>
    </w:p>
    <w:p>
      <w:pPr>
        <w:ind w:right="100" w:firstLine="656"/>
        <w:spacing w:after="0" w:line="242" w:lineRule="auto"/>
        <w:tabs>
          <w:tab w:leader="none" w:pos="972"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of Shares</w:t>
      </w:r>
      <w:r>
        <w:rPr>
          <w:rFonts w:ascii="Times New Roman" w:cs="Times New Roman" w:eastAsia="Times New Roman" w:hAnsi="Times New Roman"/>
          <w:sz w:val="20"/>
          <w:szCs w:val="20"/>
          <w:color w:val="auto"/>
        </w:rPr>
        <w:t xml:space="preserve">. If the Company proposes to register (including, for this purpose, a registration effected by the Company for the sale by the Company of its securities and/or the resale of securities of the Company by security holders other than the Warrantholder) the sale or resale of any of its Common Shares or other securities under the Act in connection with the public offering of such securities (other than in an Excluded Registration), the Company shall cause to be registered all of the Registrable Securities in such registration. The Company shall have the right to terminate or withdraw any registration initiated by it under this Section 9(f) before the effective date of such registration,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Company’s obligations to register the Registrable Securities under this Section 9(f) in any subsequent registration (other than in an Excluded Registration) shall continue following any such termination or withdrawal. All fees and expenses incident to the Company’s performance of or compliance with its obligations under this Section 9(f) (excluding any underwriting discounts and selling commissions) shall be borne by the Company.</w:t>
      </w:r>
    </w:p>
    <w:p>
      <w:pPr>
        <w:spacing w:after="0" w:line="192" w:lineRule="exact"/>
        <w:rPr>
          <w:rFonts w:ascii="Times New Roman" w:cs="Times New Roman" w:eastAsia="Times New Roman" w:hAnsi="Times New Roman"/>
          <w:sz w:val="20"/>
          <w:szCs w:val="20"/>
          <w:color w:val="auto"/>
        </w:rPr>
      </w:pPr>
    </w:p>
    <w:p>
      <w:pPr>
        <w:ind w:firstLine="656"/>
        <w:spacing w:after="0" w:line="242" w:lineRule="auto"/>
        <w:tabs>
          <w:tab w:leader="none" w:pos="972"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Rule 144 Compliance</w:t>
      </w:r>
      <w:r>
        <w:rPr>
          <w:rFonts w:ascii="Times New Roman" w:cs="Times New Roman" w:eastAsia="Times New Roman" w:hAnsi="Times New Roman"/>
          <w:sz w:val="20"/>
          <w:szCs w:val="20"/>
          <w:color w:val="auto"/>
        </w:rPr>
        <w:t>. The Company shall, at all times prior to the earlier to occur of (i) the date of sale or other disposition by Warrantholder of this Warrant or all shares of Common Stock issued on exercise of this Warrant, (ii) the registration pursuant to subsection (f) above of the shares issued on exercise of this Warrant, or (iii) the expiration or earlier termination of this Warrant if the Warrant has not been exercised in full or in part on such date, use all commercially reasonable efforts to timely file all reports required under the Exchange Act and otherwise timely take all actions necessary to permit the Warrantholder to sell or otherwise dispose of this Warrant and the shares of Common Stock issued on exercise hereof pursuant to Rule 144 promulgated under the Act (“Rule 144”), provided that the foregoing shall not apply in the event of a Merger Event following which the successor or surviving entity is not subject to the reporting requirements of the Exchange Act. If the Warrantholder proposes to sell Common Stock issuable upon the exercise of this Agreement in compliance with Rule 144, then, upon the Warrantholder’s written request to the Company, the Company shall furnish to the Warrantholder, within five (5) business days after receipt of such request, a written statement confirming the Company’s compliance with the filing and other requirements of such Rule 144.</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3" w:name="page204"/>
    <w:bookmarkEnd w:id="203"/>
    <w:p>
      <w:pPr>
        <w:jc w:val="center"/>
        <w:ind w:right="40"/>
        <w:spacing w:after="0"/>
        <w:tabs>
          <w:tab w:leader="none" w:pos="240" w:val="left"/>
        </w:tabs>
        <w:rPr>
          <w:sz w:val="20"/>
          <w:szCs w:val="20"/>
          <w:color w:val="auto"/>
        </w:rPr>
      </w:pPr>
      <w:r>
        <w:rPr>
          <w:rFonts w:ascii="Times New Roman" w:cs="Times New Roman" w:eastAsia="Times New Roman" w:hAnsi="Times New Roman"/>
          <w:sz w:val="20"/>
          <w:szCs w:val="20"/>
          <w:b w:val="1"/>
          <w:bCs w:val="1"/>
          <w:color w:val="auto"/>
        </w:rPr>
        <w:t>SECTION 10.</w:t>
      </w:r>
      <w:r>
        <w:rPr>
          <w:sz w:val="20"/>
          <w:szCs w:val="20"/>
          <w:color w:val="auto"/>
        </w:rPr>
        <w:tab/>
      </w:r>
      <w:r>
        <w:rPr>
          <w:rFonts w:ascii="Times New Roman" w:cs="Times New Roman" w:eastAsia="Times New Roman" w:hAnsi="Times New Roman"/>
          <w:sz w:val="19"/>
          <w:szCs w:val="19"/>
          <w:color w:val="auto"/>
        </w:rPr>
        <w:t>REPRESENTATIONS AND COVENANTS OF THE WARRANTHOLDER.</w:t>
      </w:r>
    </w:p>
    <w:p>
      <w:pPr>
        <w:spacing w:after="0" w:line="219"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This Agreement has been entered into by the Company in reliance upon the following representations and covenants of the Warrantholder:</w:t>
      </w:r>
    </w:p>
    <w:p>
      <w:pPr>
        <w:spacing w:after="0" w:line="159" w:lineRule="exact"/>
        <w:rPr>
          <w:sz w:val="20"/>
          <w:szCs w:val="20"/>
          <w:color w:val="auto"/>
        </w:rPr>
      </w:pPr>
    </w:p>
    <w:p>
      <w:pPr>
        <w:jc w:val="both"/>
        <w:ind w:right="120" w:firstLine="656"/>
        <w:spacing w:after="0" w:line="249" w:lineRule="auto"/>
        <w:tabs>
          <w:tab w:leader="none" w:pos="972"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Investment Purpose</w:t>
      </w:r>
      <w:r>
        <w:rPr>
          <w:rFonts w:ascii="Times New Roman" w:cs="Times New Roman" w:eastAsia="Times New Roman" w:hAnsi="Times New Roman"/>
          <w:sz w:val="20"/>
          <w:szCs w:val="20"/>
          <w:color w:val="auto"/>
        </w:rPr>
        <w:t>. This Warrant and the shares issued on exercise hereof will be acquired for investment and not with a view to the sale or distribution of any part thereof in violation of applicable federal and state securities laws, and the Warrantholder has no present intention of selling or engaging in any public distribution of the same except pursuant to a registration or exemption.</w:t>
      </w:r>
    </w:p>
    <w:p>
      <w:pPr>
        <w:spacing w:after="0" w:line="179" w:lineRule="exact"/>
        <w:rPr>
          <w:rFonts w:ascii="Times New Roman" w:cs="Times New Roman" w:eastAsia="Times New Roman" w:hAnsi="Times New Roman"/>
          <w:sz w:val="20"/>
          <w:szCs w:val="20"/>
          <w:color w:val="auto"/>
        </w:rPr>
      </w:pPr>
    </w:p>
    <w:p>
      <w:pPr>
        <w:ind w:right="120" w:firstLine="656"/>
        <w:spacing w:after="0" w:line="249" w:lineRule="auto"/>
        <w:tabs>
          <w:tab w:leader="none" w:pos="972"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Private Issue</w:t>
      </w:r>
      <w:r>
        <w:rPr>
          <w:rFonts w:ascii="Times New Roman" w:cs="Times New Roman" w:eastAsia="Times New Roman" w:hAnsi="Times New Roman"/>
          <w:sz w:val="20"/>
          <w:szCs w:val="20"/>
          <w:color w:val="auto"/>
        </w:rPr>
        <w:t>. The Warrantholder understands that (i) the Common Stock issuable upon exercise of this Agreement is not, as of the Original Issue or Effective Date, registered under the Act or qualified under applicable state securities laws, and (ii) the Company’s reliance on exemption from such registration is predicated on the representations set forth in this Section 10.</w:t>
      </w:r>
    </w:p>
    <w:p>
      <w:pPr>
        <w:spacing w:after="0" w:line="179" w:lineRule="exact"/>
        <w:rPr>
          <w:rFonts w:ascii="Times New Roman" w:cs="Times New Roman" w:eastAsia="Times New Roman" w:hAnsi="Times New Roman"/>
          <w:sz w:val="20"/>
          <w:szCs w:val="20"/>
          <w:color w:val="auto"/>
        </w:rPr>
      </w:pPr>
    </w:p>
    <w:p>
      <w:pPr>
        <w:ind w:right="220" w:firstLine="656"/>
        <w:spacing w:after="0" w:line="254" w:lineRule="auto"/>
        <w:tabs>
          <w:tab w:leader="none" w:pos="972"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Risk</w:t>
      </w:r>
      <w:r>
        <w:rPr>
          <w:rFonts w:ascii="Times New Roman" w:cs="Times New Roman" w:eastAsia="Times New Roman" w:hAnsi="Times New Roman"/>
          <w:sz w:val="20"/>
          <w:szCs w:val="20"/>
          <w:color w:val="auto"/>
        </w:rPr>
        <w:t>. The Warrantholder has such knowledge and experience­ in financial and business matters as to be capable of evaluating the merits and risks of its investment, and has the ability to bear the economic risks of its investment.</w:t>
      </w:r>
    </w:p>
    <w:p>
      <w:pPr>
        <w:spacing w:after="0" w:line="174" w:lineRule="exact"/>
        <w:rPr>
          <w:rFonts w:ascii="Times New Roman" w:cs="Times New Roman" w:eastAsia="Times New Roman" w:hAnsi="Times New Roman"/>
          <w:sz w:val="20"/>
          <w:szCs w:val="20"/>
          <w:color w:val="auto"/>
        </w:rPr>
      </w:pPr>
    </w:p>
    <w:p>
      <w:pPr>
        <w:ind w:right="820" w:firstLine="656"/>
        <w:spacing w:after="0" w:line="269" w:lineRule="auto"/>
        <w:tabs>
          <w:tab w:leader="none" w:pos="972"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Accredited Investor</w:t>
      </w:r>
      <w:r>
        <w:rPr>
          <w:rFonts w:ascii="Times New Roman" w:cs="Times New Roman" w:eastAsia="Times New Roman" w:hAnsi="Times New Roman"/>
          <w:sz w:val="20"/>
          <w:szCs w:val="20"/>
          <w:color w:val="auto"/>
        </w:rPr>
        <w:t>. The Warrantholder is an “accredited investor” within the meaning of Rule 501 of Regulation D promulgated under the Act, as presently in effect (“Regulation D”).</w:t>
      </w:r>
    </w:p>
    <w:p>
      <w:pPr>
        <w:spacing w:after="0" w:line="159" w:lineRule="exact"/>
        <w:rPr>
          <w:rFonts w:ascii="Times New Roman" w:cs="Times New Roman" w:eastAsia="Times New Roman" w:hAnsi="Times New Roman"/>
          <w:sz w:val="20"/>
          <w:szCs w:val="20"/>
          <w:color w:val="auto"/>
        </w:rPr>
      </w:pPr>
    </w:p>
    <w:p>
      <w:pPr>
        <w:ind w:right="80" w:firstLine="656"/>
        <w:spacing w:after="0" w:line="249" w:lineRule="auto"/>
        <w:tabs>
          <w:tab w:leader="none" w:pos="972"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Short Sales</w:t>
      </w:r>
      <w:r>
        <w:rPr>
          <w:rFonts w:ascii="Times New Roman" w:cs="Times New Roman" w:eastAsia="Times New Roman" w:hAnsi="Times New Roman"/>
          <w:sz w:val="20"/>
          <w:szCs w:val="20"/>
          <w:color w:val="auto"/>
        </w:rPr>
        <w:t>. The Warrantholder has not at any time on or prior to the Original Issue or Effective Date engaged in any short sales or equivalent transactions in the Common Stock. Warrantholder agrees that at all times from and after the Effective Date and on or before the expiration or earlier termination of this Warrant, it shall not engage in any short sales or equivalent transactions in the Common Stock.</w:t>
      </w:r>
    </w:p>
    <w:p>
      <w:pPr>
        <w:spacing w:after="0" w:line="1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 xml:space="preserve">SECTION 11. </w:t>
      </w:r>
      <w:r>
        <w:rPr>
          <w:rFonts w:ascii="Times New Roman" w:cs="Times New Roman" w:eastAsia="Times New Roman" w:hAnsi="Times New Roman"/>
          <w:sz w:val="20"/>
          <w:szCs w:val="20"/>
          <w:color w:val="auto"/>
        </w:rPr>
        <w:t>TRANSFERS.</w:t>
      </w:r>
    </w:p>
    <w:p>
      <w:pPr>
        <w:spacing w:after="0" w:line="22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9"/>
          <w:szCs w:val="19"/>
          <w:color w:val="auto"/>
        </w:rPr>
        <w:t>Subject to compliance with applicable federal and state securities laws, this Agreement and all rights hereunder are transferable, in whole or in part, without charge to the holder hereof (except for transfer taxes) upon surrender of this Agreement properly endorsed. Each taker and holder of this Agreement, by taking or holding the same, consents and agrees that this Agreement, when endorsed in blank, shall be deemed negotiable, and that the holder hereof, when this Agreement shall have been so endorsed and its transfer recorded on the Company’s books, shall be treated by the Company and all other persons dealing with this Agreement as the absolute owner hereof for any purpose and as the person entitled to exercise the rights represented by this Agreement. The transfer of this Agreement shall be recorded on the books of the Company upon receipt by the Company of a notice of transfer in the form attached hereto as Exhibit III (the “</w:t>
      </w:r>
      <w:r>
        <w:rPr>
          <w:rFonts w:ascii="Times New Roman" w:cs="Times New Roman" w:eastAsia="Times New Roman" w:hAnsi="Times New Roman"/>
          <w:sz w:val="19"/>
          <w:szCs w:val="19"/>
          <w:u w:val="single" w:color="auto"/>
          <w:color w:val="auto"/>
        </w:rPr>
        <w:t>Transfer Notice</w:t>
      </w:r>
      <w:r>
        <w:rPr>
          <w:rFonts w:ascii="Times New Roman" w:cs="Times New Roman" w:eastAsia="Times New Roman" w:hAnsi="Times New Roman"/>
          <w:sz w:val="19"/>
          <w:szCs w:val="19"/>
          <w:color w:val="auto"/>
        </w:rPr>
        <w:t>”), at its principal offices and the payment to the Company of all transfer taxes and other governmental charges imposed on such transfer. Until the Company receives such Transfer Notice, the Company may treat the registered owner hereof as the owner for all purposes. Notwithstanding anything herein or in any legend to the contrary, the Company shall not require an opinion of counsel in connection with any sale, assignment or other transfer by the Warrantholder of this Warrant (or any portion hereof or any interest herein) or of any shares of Common Stock issued upon any exercise hereof to an affiliate (as defined in Regulation D) of the Warrantholder, provided that such affiliate is an “accredited investor” as defined in Regulation D.</w:t>
      </w:r>
    </w:p>
    <w:p>
      <w:pPr>
        <w:spacing w:after="0" w:line="1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 xml:space="preserve">SECTION 12. </w:t>
      </w:r>
      <w:r>
        <w:rPr>
          <w:rFonts w:ascii="Times New Roman" w:cs="Times New Roman" w:eastAsia="Times New Roman" w:hAnsi="Times New Roman"/>
          <w:sz w:val="20"/>
          <w:szCs w:val="20"/>
          <w:color w:val="auto"/>
        </w:rPr>
        <w:t>MISCELLANEOUS.</w:t>
      </w:r>
    </w:p>
    <w:p>
      <w:pPr>
        <w:spacing w:after="0" w:line="220" w:lineRule="exact"/>
        <w:rPr>
          <w:sz w:val="20"/>
          <w:szCs w:val="20"/>
          <w:color w:val="auto"/>
        </w:rPr>
      </w:pPr>
    </w:p>
    <w:p>
      <w:pPr>
        <w:ind w:right="520" w:firstLine="656"/>
        <w:spacing w:after="0" w:line="254" w:lineRule="auto"/>
        <w:tabs>
          <w:tab w:leader="none" w:pos="972"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Original Issue Date</w:t>
      </w:r>
      <w:r>
        <w:rPr>
          <w:rFonts w:ascii="Times New Roman" w:cs="Times New Roman" w:eastAsia="Times New Roman" w:hAnsi="Times New Roman"/>
          <w:sz w:val="20"/>
          <w:szCs w:val="20"/>
          <w:color w:val="auto"/>
        </w:rPr>
        <w:t>. The provisions of this Agreement shall be construed and shall be given effect in all respects as if it had been executed and delivered by the Company on the Original Issue Date. This Agreement shall be binding upon any successors or assigns of the Company.</w:t>
      </w:r>
    </w:p>
    <w:p>
      <w:pPr>
        <w:spacing w:after="0" w:line="174" w:lineRule="exact"/>
        <w:rPr>
          <w:rFonts w:ascii="Times New Roman" w:cs="Times New Roman" w:eastAsia="Times New Roman" w:hAnsi="Times New Roman"/>
          <w:sz w:val="20"/>
          <w:szCs w:val="20"/>
          <w:color w:val="auto"/>
        </w:rPr>
      </w:pPr>
    </w:p>
    <w:p>
      <w:pPr>
        <w:ind w:firstLine="656"/>
        <w:spacing w:after="0" w:line="269" w:lineRule="auto"/>
        <w:tabs>
          <w:tab w:leader="none" w:pos="972"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In the event of any default hereunder, the non-defaulting party may proceed to protect and enforce its rights either by suit in equity and/or by action at law, including but not limited to an action for damages as a result of</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04" w:name="page205"/>
    <w:bookmarkEnd w:id="204"/>
    <w:p>
      <w:pPr>
        <w:ind w:right="660"/>
        <w:spacing w:after="0" w:line="268" w:lineRule="auto"/>
        <w:rPr>
          <w:sz w:val="20"/>
          <w:szCs w:val="20"/>
          <w:color w:val="auto"/>
        </w:rPr>
      </w:pPr>
      <w:r>
        <w:rPr>
          <w:rFonts w:ascii="Times New Roman" w:cs="Times New Roman" w:eastAsia="Times New Roman" w:hAnsi="Times New Roman"/>
          <w:sz w:val="20"/>
          <w:szCs w:val="20"/>
          <w:color w:val="auto"/>
        </w:rPr>
        <w:t>any such default, and/or an action for specific performance for any default where the Warrantholder will not have an adequate remedy at law and where damages will not be readily ascertainable.</w:t>
      </w:r>
    </w:p>
    <w:p>
      <w:pPr>
        <w:spacing w:after="0" w:line="161" w:lineRule="exact"/>
        <w:rPr>
          <w:sz w:val="20"/>
          <w:szCs w:val="20"/>
          <w:color w:val="auto"/>
        </w:rPr>
      </w:pPr>
    </w:p>
    <w:p>
      <w:pPr>
        <w:jc w:val="both"/>
        <w:ind w:right="280" w:firstLine="656"/>
        <w:spacing w:after="0" w:line="249" w:lineRule="auto"/>
        <w:tabs>
          <w:tab w:leader="none" w:pos="972"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Impairment of Rights</w:t>
      </w:r>
      <w:r>
        <w:rPr>
          <w:rFonts w:ascii="Times New Roman" w:cs="Times New Roman" w:eastAsia="Times New Roman" w:hAnsi="Times New Roman"/>
          <w:sz w:val="20"/>
          <w:szCs w:val="20"/>
          <w:color w:val="auto"/>
        </w:rPr>
        <w:t>. The Company will not, by amendment of its Charter or through any other means, avoid or seek to avoid the observance or performance of any of the terms of this Agreement, but will at all times in good faith assist in the carrying out of all such terms and in the taking of all such actions as may be necessary or appropriate in order to protect the rights of the Warrantholder against impairment.</w:t>
      </w:r>
    </w:p>
    <w:p>
      <w:pPr>
        <w:spacing w:after="0" w:line="179" w:lineRule="exact"/>
        <w:rPr>
          <w:rFonts w:ascii="Times New Roman" w:cs="Times New Roman" w:eastAsia="Times New Roman" w:hAnsi="Times New Roman"/>
          <w:sz w:val="20"/>
          <w:szCs w:val="20"/>
          <w:color w:val="auto"/>
        </w:rPr>
      </w:pPr>
    </w:p>
    <w:p>
      <w:pPr>
        <w:ind w:right="200" w:firstLine="656"/>
        <w:spacing w:after="0" w:line="269" w:lineRule="auto"/>
        <w:tabs>
          <w:tab w:leader="none" w:pos="972"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Documents</w:t>
      </w:r>
      <w:r>
        <w:rPr>
          <w:rFonts w:ascii="Times New Roman" w:cs="Times New Roman" w:eastAsia="Times New Roman" w:hAnsi="Times New Roman"/>
          <w:sz w:val="20"/>
          <w:szCs w:val="20"/>
          <w:color w:val="auto"/>
        </w:rPr>
        <w:t>. The Company agrees to supply such other documents as the Warrantholder may from time to time reasonably request.</w:t>
      </w:r>
    </w:p>
    <w:p>
      <w:pPr>
        <w:spacing w:after="0" w:line="159" w:lineRule="exact"/>
        <w:rPr>
          <w:rFonts w:ascii="Times New Roman" w:cs="Times New Roman" w:eastAsia="Times New Roman" w:hAnsi="Times New Roman"/>
          <w:sz w:val="20"/>
          <w:szCs w:val="20"/>
          <w:color w:val="auto"/>
        </w:rPr>
      </w:pPr>
    </w:p>
    <w:p>
      <w:pPr>
        <w:ind w:firstLine="656"/>
        <w:spacing w:after="0" w:line="244" w:lineRule="auto"/>
        <w:tabs>
          <w:tab w:leader="none" w:pos="972"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Attorneys’ Fees</w:t>
      </w:r>
      <w:r>
        <w:rPr>
          <w:rFonts w:ascii="Times New Roman" w:cs="Times New Roman" w:eastAsia="Times New Roman" w:hAnsi="Times New Roman"/>
          <w:sz w:val="20"/>
          <w:szCs w:val="20"/>
          <w:color w:val="auto"/>
        </w:rPr>
        <w:t>. In any litigation, arbitration or court proceeding between the Company and the Warrantholder relating hereto, the prevailing party shall be entitled to attorneys’ fees and expenses and all costs of proceedings incurred in enforcing this Agreement. For the purposes of this Section 12(e), attorneys’ fees shall include without limitation fees incurred in connection with the following: (i) contempt proceedings; (ii) discovery; (iii) any motion, proceeding or other activity of any kind in connection with an insolvency proceeding; (iv) garnishment, levy, and debtor and third party examinations; and (v) post-judgment motions and proceedings of any kind, including without limitation any activity taken to collect or enforce any judgment.</w:t>
      </w:r>
    </w:p>
    <w:p>
      <w:pPr>
        <w:spacing w:after="0" w:line="185" w:lineRule="exact"/>
        <w:rPr>
          <w:rFonts w:ascii="Times New Roman" w:cs="Times New Roman" w:eastAsia="Times New Roman" w:hAnsi="Times New Roman"/>
          <w:sz w:val="20"/>
          <w:szCs w:val="20"/>
          <w:color w:val="auto"/>
        </w:rPr>
      </w:pPr>
    </w:p>
    <w:p>
      <w:pPr>
        <w:ind w:right="100" w:firstLine="656"/>
        <w:spacing w:after="0" w:line="249" w:lineRule="auto"/>
        <w:tabs>
          <w:tab w:leader="none" w:pos="972"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any one or more of the provisions of this Agreement shall for any reason be held invalid, illegal or unenforceable, the remaining provisions of this Agreement shall be unimpaired, and the invalid, illegal or unenforceable provision shall be replaced by a mutually acceptable valid, legal and enforceable provision, which comes closest to the intention of the parties underlying the invalid, illegal or unenforceable provision.</w:t>
      </w:r>
    </w:p>
    <w:p>
      <w:pPr>
        <w:spacing w:after="0" w:line="179" w:lineRule="exact"/>
        <w:rPr>
          <w:rFonts w:ascii="Times New Roman" w:cs="Times New Roman" w:eastAsia="Times New Roman" w:hAnsi="Times New Roman"/>
          <w:sz w:val="20"/>
          <w:szCs w:val="20"/>
          <w:color w:val="auto"/>
        </w:rPr>
      </w:pPr>
    </w:p>
    <w:p>
      <w:pPr>
        <w:ind w:right="20" w:firstLine="656"/>
        <w:spacing w:after="0" w:line="256" w:lineRule="auto"/>
        <w:tabs>
          <w:tab w:leader="none" w:pos="972"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Except as otherwise provided herein, any notice, demand, request, consent, approval, declaration, service of process or other communication that is required, contemplated, or permitted under this Agreement or with respect to the subject matter hereof shall be in writing, and shall be deemed to have been validly served, given, delivered, and received upon the earlier of: (i) personal delivery to the party to be notified, (ii) when sent by confirmed telex, electronic transmission or facsimile if sent during normal business hours of the recipient, if not, then on the next business day, (iii) five</w:t>
      </w:r>
    </w:p>
    <w:p>
      <w:pPr>
        <w:spacing w:after="0" w:line="4" w:lineRule="exact"/>
        <w:rPr>
          <w:rFonts w:ascii="Times New Roman" w:cs="Times New Roman" w:eastAsia="Times New Roman" w:hAnsi="Times New Roman"/>
          <w:sz w:val="19"/>
          <w:szCs w:val="19"/>
          <w:color w:val="auto"/>
        </w:rPr>
      </w:pPr>
    </w:p>
    <w:p>
      <w:pPr>
        <w:jc w:val="both"/>
        <w:ind w:right="40" w:firstLine="8"/>
        <w:spacing w:after="0" w:line="242" w:lineRule="auto"/>
        <w:tabs>
          <w:tab w:leader="none" w:pos="28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having been sent by registered or certified mail, return receipt requested, postage prepaid, or (iv) one day after deposit with a nationally recognized overnight courier, specifying next day delivery, with written verification of receipt, and shall be addressed to the party to be notified as follows: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to the Warrantholder:</w:t>
      </w:r>
    </w:p>
    <w:p>
      <w:pPr>
        <w:spacing w:after="0" w:line="2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HERCULES PRIVATE CREDIT FUND 1 L.P.</w:t>
      </w:r>
    </w:p>
    <w:p>
      <w:pPr>
        <w:spacing w:after="0" w:line="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Legal Department</w:t>
      </w:r>
    </w:p>
    <w:p>
      <w:pPr>
        <w:ind w:left="2600"/>
        <w:spacing w:after="0"/>
        <w:rPr>
          <w:sz w:val="20"/>
          <w:szCs w:val="20"/>
          <w:color w:val="auto"/>
        </w:rPr>
      </w:pPr>
      <w:r>
        <w:rPr>
          <w:rFonts w:ascii="Times New Roman" w:cs="Times New Roman" w:eastAsia="Times New Roman" w:hAnsi="Times New Roman"/>
          <w:sz w:val="20"/>
          <w:szCs w:val="20"/>
          <w:color w:val="auto"/>
        </w:rPr>
        <w:t>Attention: Chief Legal Officer and Michael Dutra and John Miotti</w:t>
      </w:r>
    </w:p>
    <w:p>
      <w:pPr>
        <w:ind w:left="2600"/>
        <w:spacing w:after="0"/>
        <w:rPr>
          <w:sz w:val="20"/>
          <w:szCs w:val="20"/>
          <w:color w:val="auto"/>
        </w:rPr>
      </w:pPr>
      <w:r>
        <w:rPr>
          <w:rFonts w:ascii="Times New Roman" w:cs="Times New Roman" w:eastAsia="Times New Roman" w:hAnsi="Times New Roman"/>
          <w:sz w:val="20"/>
          <w:szCs w:val="20"/>
          <w:color w:val="auto"/>
        </w:rPr>
        <w:t>400 Hamilton Avenue, Suite 310</w:t>
      </w:r>
    </w:p>
    <w:p>
      <w:pPr>
        <w:ind w:left="2600"/>
        <w:spacing w:after="0"/>
        <w:rPr>
          <w:sz w:val="20"/>
          <w:szCs w:val="20"/>
          <w:color w:val="auto"/>
        </w:rPr>
      </w:pPr>
      <w:r>
        <w:rPr>
          <w:rFonts w:ascii="Times New Roman" w:cs="Times New Roman" w:eastAsia="Times New Roman" w:hAnsi="Times New Roman"/>
          <w:sz w:val="20"/>
          <w:szCs w:val="20"/>
          <w:color w:val="auto"/>
        </w:rPr>
        <w:t>Palo Alto, CA 94301</w:t>
      </w:r>
    </w:p>
    <w:p>
      <w:pPr>
        <w:ind w:left="2600"/>
        <w:spacing w:after="0"/>
        <w:rPr>
          <w:sz w:val="20"/>
          <w:szCs w:val="20"/>
          <w:color w:val="auto"/>
        </w:rPr>
      </w:pPr>
      <w:r>
        <w:rPr>
          <w:rFonts w:ascii="Times New Roman" w:cs="Times New Roman" w:eastAsia="Times New Roman" w:hAnsi="Times New Roman"/>
          <w:sz w:val="20"/>
          <w:szCs w:val="20"/>
          <w:color w:val="auto"/>
        </w:rPr>
        <w:t>Facsimile: 650-473-9194</w:t>
      </w:r>
    </w:p>
    <w:p>
      <w:pPr>
        <w:ind w:left="2600"/>
        <w:spacing w:after="0"/>
        <w:rPr>
          <w:sz w:val="20"/>
          <w:szCs w:val="20"/>
          <w:color w:val="auto"/>
        </w:rPr>
      </w:pPr>
      <w:r>
        <w:rPr>
          <w:rFonts w:ascii="Times New Roman" w:cs="Times New Roman" w:eastAsia="Times New Roman" w:hAnsi="Times New Roman"/>
          <w:sz w:val="20"/>
          <w:szCs w:val="20"/>
          <w:color w:val="auto"/>
        </w:rPr>
        <w:t>Telephone: 650-289-3060</w:t>
      </w:r>
    </w:p>
    <w:p>
      <w:pPr>
        <w:ind w:left="2600"/>
        <w:spacing w:after="0"/>
        <w:rPr>
          <w:sz w:val="20"/>
          <w:szCs w:val="20"/>
          <w:color w:val="auto"/>
        </w:rPr>
      </w:pPr>
      <w:r>
        <w:rPr>
          <w:rFonts w:ascii="Times New Roman" w:cs="Times New Roman" w:eastAsia="Times New Roman" w:hAnsi="Times New Roman"/>
          <w:sz w:val="20"/>
          <w:szCs w:val="20"/>
          <w:color w:val="auto"/>
        </w:rPr>
        <w:t>Email : legal@herculestech.com; mdutra@htgc.com; jmiotti@htgc.com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18" w:right="1039" w:bottom="1440" w:gutter="0" w:footer="0" w:header="0"/>
        </w:sectPr>
      </w:pPr>
    </w:p>
    <w:bookmarkStart w:id="205" w:name="page206"/>
    <w:bookmarkEnd w:id="205"/>
    <w:p>
      <w:pPr>
        <w:ind w:left="1300"/>
        <w:spacing w:after="0"/>
        <w:rPr>
          <w:sz w:val="20"/>
          <w:szCs w:val="20"/>
          <w:color w:val="auto"/>
        </w:rPr>
      </w:pPr>
      <w:r>
        <w:rPr>
          <w:rFonts w:ascii="Times New Roman" w:cs="Times New Roman" w:eastAsia="Times New Roman" w:hAnsi="Times New Roman"/>
          <w:sz w:val="18"/>
          <w:szCs w:val="18"/>
          <w:color w:val="auto"/>
        </w:rPr>
        <w:t xml:space="preserve">With </w:t>
      </w:r>
      <w:r>
        <w:rPr>
          <w:rFonts w:ascii="Times New Roman" w:cs="Times New Roman" w:eastAsia="Times New Roman" w:hAnsi="Times New Roman"/>
          <w:sz w:val="19"/>
          <w:szCs w:val="19"/>
          <w:color w:val="auto"/>
        </w:rPr>
        <w:t>a copy to:</w:t>
      </w:r>
    </w:p>
    <w:p>
      <w:pPr>
        <w:spacing w:after="0" w:line="22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LATHAM &amp; WATKINS</w:t>
      </w:r>
    </w:p>
    <w:p>
      <w:pPr>
        <w:spacing w:after="0" w:line="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Attn: Haim Zaltzman</w:t>
      </w:r>
    </w:p>
    <w:p>
      <w:pPr>
        <w:ind w:left="2600"/>
        <w:spacing w:after="0"/>
        <w:rPr>
          <w:sz w:val="20"/>
          <w:szCs w:val="20"/>
          <w:color w:val="auto"/>
        </w:rPr>
      </w:pPr>
      <w:r>
        <w:rPr>
          <w:rFonts w:ascii="Times New Roman" w:cs="Times New Roman" w:eastAsia="Times New Roman" w:hAnsi="Times New Roman"/>
          <w:sz w:val="20"/>
          <w:szCs w:val="20"/>
          <w:color w:val="auto"/>
        </w:rPr>
        <w:t>505 Montgomery Street, Suite 2000</w:t>
      </w:r>
    </w:p>
    <w:p>
      <w:pPr>
        <w:ind w:left="2600"/>
        <w:spacing w:after="0"/>
        <w:rPr>
          <w:sz w:val="20"/>
          <w:szCs w:val="20"/>
          <w:color w:val="auto"/>
        </w:rPr>
      </w:pPr>
      <w:r>
        <w:rPr>
          <w:rFonts w:ascii="Times New Roman" w:cs="Times New Roman" w:eastAsia="Times New Roman" w:hAnsi="Times New Roman"/>
          <w:sz w:val="20"/>
          <w:szCs w:val="20"/>
          <w:color w:val="auto"/>
        </w:rPr>
        <w:t>San Francisco, CA 94111</w:t>
      </w:r>
    </w:p>
    <w:p>
      <w:pPr>
        <w:ind w:left="2600"/>
        <w:spacing w:after="0"/>
        <w:rPr>
          <w:sz w:val="20"/>
          <w:szCs w:val="20"/>
          <w:color w:val="auto"/>
        </w:rPr>
      </w:pPr>
      <w:r>
        <w:rPr>
          <w:rFonts w:ascii="Times New Roman" w:cs="Times New Roman" w:eastAsia="Times New Roman" w:hAnsi="Times New Roman"/>
          <w:sz w:val="20"/>
          <w:szCs w:val="20"/>
          <w:color w:val="auto"/>
        </w:rPr>
        <w:t>Facsimile: (415) 395-8095</w:t>
      </w:r>
    </w:p>
    <w:p>
      <w:pPr>
        <w:ind w:left="2600"/>
        <w:spacing w:after="0"/>
        <w:rPr>
          <w:sz w:val="20"/>
          <w:szCs w:val="20"/>
          <w:color w:val="auto"/>
        </w:rPr>
      </w:pPr>
      <w:r>
        <w:rPr>
          <w:rFonts w:ascii="Times New Roman" w:cs="Times New Roman" w:eastAsia="Times New Roman" w:hAnsi="Times New Roman"/>
          <w:sz w:val="20"/>
          <w:szCs w:val="20"/>
          <w:color w:val="auto"/>
        </w:rPr>
        <w:t>Telephone: (415) 395-8870</w:t>
      </w:r>
    </w:p>
    <w:p>
      <w:pPr>
        <w:ind w:left="2600"/>
        <w:spacing w:after="0"/>
        <w:rPr>
          <w:sz w:val="20"/>
          <w:szCs w:val="20"/>
          <w:color w:val="auto"/>
        </w:rPr>
      </w:pPr>
      <w:r>
        <w:rPr>
          <w:rFonts w:ascii="Times New Roman" w:cs="Times New Roman" w:eastAsia="Times New Roman" w:hAnsi="Times New Roman"/>
          <w:sz w:val="20"/>
          <w:szCs w:val="20"/>
          <w:color w:val="auto"/>
        </w:rPr>
        <w:t>Email: haim.zaltzman@lw.com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2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TG THERAPEUTICS, INC.</w:t>
      </w:r>
    </w:p>
    <w:p>
      <w:pPr>
        <w:spacing w:after="0" w:line="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Attention: Sean Power, Chief Financial Officer</w:t>
      </w:r>
    </w:p>
    <w:p>
      <w:pPr>
        <w:ind w:left="2600"/>
        <w:spacing w:after="0" w:line="184" w:lineRule="auto"/>
        <w:rPr>
          <w:sz w:val="20"/>
          <w:szCs w:val="20"/>
          <w:color w:val="auto"/>
        </w:rPr>
      </w:pPr>
      <w:r>
        <w:rPr>
          <w:rFonts w:ascii="Times New Roman" w:cs="Times New Roman" w:eastAsia="Times New Roman" w:hAnsi="Times New Roman"/>
          <w:sz w:val="18"/>
          <w:szCs w:val="18"/>
          <w:color w:val="auto"/>
        </w:rPr>
        <w:t>2 Gansevoort St., 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ind w:left="2600"/>
        <w:spacing w:after="0"/>
        <w:rPr>
          <w:sz w:val="20"/>
          <w:szCs w:val="20"/>
          <w:color w:val="auto"/>
        </w:rPr>
      </w:pPr>
      <w:r>
        <w:rPr>
          <w:rFonts w:ascii="Times New Roman" w:cs="Times New Roman" w:eastAsia="Times New Roman" w:hAnsi="Times New Roman"/>
          <w:sz w:val="20"/>
          <w:szCs w:val="20"/>
          <w:color w:val="auto"/>
        </w:rPr>
        <w:t>New York, NY 10014</w:t>
      </w:r>
    </w:p>
    <w:p>
      <w:pPr>
        <w:ind w:left="2600"/>
        <w:spacing w:after="0"/>
        <w:rPr>
          <w:sz w:val="20"/>
          <w:szCs w:val="20"/>
          <w:color w:val="auto"/>
        </w:rPr>
      </w:pPr>
      <w:r>
        <w:rPr>
          <w:rFonts w:ascii="Times New Roman" w:cs="Times New Roman" w:eastAsia="Times New Roman" w:hAnsi="Times New Roman"/>
          <w:sz w:val="20"/>
          <w:szCs w:val="20"/>
          <w:color w:val="auto"/>
        </w:rPr>
        <w:t>Telephone: (212)-554-4484</w:t>
      </w:r>
    </w:p>
    <w:p>
      <w:pPr>
        <w:ind w:left="2600"/>
        <w:spacing w:after="0"/>
        <w:rPr>
          <w:sz w:val="20"/>
          <w:szCs w:val="20"/>
          <w:color w:val="auto"/>
        </w:rPr>
      </w:pPr>
      <w:r>
        <w:rPr>
          <w:rFonts w:ascii="Times New Roman" w:cs="Times New Roman" w:eastAsia="Times New Roman" w:hAnsi="Times New Roman"/>
          <w:sz w:val="20"/>
          <w:szCs w:val="20"/>
          <w:color w:val="auto"/>
        </w:rPr>
        <w:t>Email: sp@tgtxinc.com</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or to such other address as each party may designate for itself by like notice.</w:t>
      </w:r>
    </w:p>
    <w:p>
      <w:pPr>
        <w:spacing w:after="0" w:line="216" w:lineRule="exact"/>
        <w:rPr>
          <w:sz w:val="20"/>
          <w:szCs w:val="20"/>
          <w:color w:val="auto"/>
        </w:rPr>
      </w:pPr>
    </w:p>
    <w:p>
      <w:pPr>
        <w:ind w:right="180" w:firstLine="656"/>
        <w:spacing w:after="0" w:line="246" w:lineRule="auto"/>
        <w:tabs>
          <w:tab w:leader="none" w:pos="972"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 Amendments</w:t>
      </w:r>
      <w:r>
        <w:rPr>
          <w:rFonts w:ascii="Times New Roman" w:cs="Times New Roman" w:eastAsia="Times New Roman" w:hAnsi="Times New Roman"/>
          <w:sz w:val="20"/>
          <w:szCs w:val="20"/>
          <w:color w:val="auto"/>
        </w:rPr>
        <w:t>. This Agreement constitutes the entire agreement and understanding of the parties hereto in respect of the subject matter hereof, and supersedes and replaces in their entirety any prior proposals, term sheets, letters, negotiations or other documents or agreements, whether written or oral, with respect to the subject matter hereof. None of the terms of this Agreement may be amended except by an instrument executed by each of the parties hereto.</w:t>
      </w:r>
    </w:p>
    <w:p>
      <w:pPr>
        <w:spacing w:after="0" w:line="184" w:lineRule="exact"/>
        <w:rPr>
          <w:rFonts w:ascii="Times New Roman" w:cs="Times New Roman" w:eastAsia="Times New Roman" w:hAnsi="Times New Roman"/>
          <w:sz w:val="20"/>
          <w:szCs w:val="20"/>
          <w:color w:val="auto"/>
        </w:rPr>
      </w:pPr>
    </w:p>
    <w:p>
      <w:pPr>
        <w:ind w:right="360" w:firstLine="656"/>
        <w:spacing w:after="0" w:line="269" w:lineRule="auto"/>
        <w:tabs>
          <w:tab w:leader="none" w:pos="972"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various headings in this Agreement are inserted for convenience only and shall not affect the meaning or interpretation of this Agreement or any provisions hereof.</w:t>
      </w:r>
    </w:p>
    <w:p>
      <w:pPr>
        <w:spacing w:after="0" w:line="159" w:lineRule="exact"/>
        <w:rPr>
          <w:rFonts w:ascii="Times New Roman" w:cs="Times New Roman" w:eastAsia="Times New Roman" w:hAnsi="Times New Roman"/>
          <w:sz w:val="20"/>
          <w:szCs w:val="20"/>
          <w:color w:val="auto"/>
        </w:rPr>
      </w:pPr>
    </w:p>
    <w:p>
      <w:pPr>
        <w:ind w:firstLine="656"/>
        <w:spacing w:after="0" w:line="254" w:lineRule="auto"/>
        <w:tabs>
          <w:tab w:leader="none" w:pos="972"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Advice of Counsel</w:t>
      </w:r>
      <w:r>
        <w:rPr>
          <w:rFonts w:ascii="Times New Roman" w:cs="Times New Roman" w:eastAsia="Times New Roman" w:hAnsi="Times New Roman"/>
          <w:sz w:val="20"/>
          <w:szCs w:val="20"/>
          <w:color w:val="auto"/>
        </w:rPr>
        <w:t>. Each of the parties represents to each other party hereto that it has discussed (or had an opportunity to discuss) with its counsel this Agreement and, specifically, the provisions of Sections 12(n), 12(o), 12(p), 12(q) and 12(r).</w:t>
      </w:r>
    </w:p>
    <w:p>
      <w:pPr>
        <w:spacing w:after="0" w:line="174" w:lineRule="exact"/>
        <w:rPr>
          <w:rFonts w:ascii="Times New Roman" w:cs="Times New Roman" w:eastAsia="Times New Roman" w:hAnsi="Times New Roman"/>
          <w:sz w:val="20"/>
          <w:szCs w:val="20"/>
          <w:color w:val="auto"/>
        </w:rPr>
      </w:pPr>
    </w:p>
    <w:p>
      <w:pPr>
        <w:ind w:right="200" w:firstLine="656"/>
        <w:spacing w:after="0" w:line="249" w:lineRule="auto"/>
        <w:tabs>
          <w:tab w:leader="none" w:pos="972"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Strict Construction</w:t>
      </w:r>
      <w:r>
        <w:rPr>
          <w:rFonts w:ascii="Times New Roman" w:cs="Times New Roman" w:eastAsia="Times New Roman" w:hAnsi="Times New Roman"/>
          <w:sz w:val="20"/>
          <w:szCs w:val="20"/>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79" w:lineRule="exact"/>
        <w:rPr>
          <w:rFonts w:ascii="Times New Roman" w:cs="Times New Roman" w:eastAsia="Times New Roman" w:hAnsi="Times New Roman"/>
          <w:sz w:val="20"/>
          <w:szCs w:val="20"/>
          <w:color w:val="auto"/>
        </w:rPr>
      </w:pPr>
    </w:p>
    <w:p>
      <w:pPr>
        <w:ind w:firstLine="656"/>
        <w:spacing w:after="0" w:line="249" w:lineRule="auto"/>
        <w:tabs>
          <w:tab w:leader="none" w:pos="972"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Waiver</w:t>
      </w:r>
      <w:r>
        <w:rPr>
          <w:rFonts w:ascii="Times New Roman" w:cs="Times New Roman" w:eastAsia="Times New Roman" w:hAnsi="Times New Roman"/>
          <w:sz w:val="20"/>
          <w:szCs w:val="20"/>
          <w:color w:val="auto"/>
        </w:rPr>
        <w:t>. No omission or delay by the Warrantholder at any time to enforce any right or remedy reserved to it, or to require performance of any of the terms, covenants or provisions hereof by the Company at any time designated, shall be a waiver of any such right or remedy to which the Warrantholder is entitled, nor shall it in any way affect the right of the Warrantholder to enforce such provisions thereafter during the term of this Agreement.</w:t>
      </w:r>
    </w:p>
    <w:p>
      <w:pPr>
        <w:spacing w:after="0" w:line="179" w:lineRule="exact"/>
        <w:rPr>
          <w:rFonts w:ascii="Times New Roman" w:cs="Times New Roman" w:eastAsia="Times New Roman" w:hAnsi="Times New Roman"/>
          <w:sz w:val="20"/>
          <w:szCs w:val="20"/>
          <w:color w:val="auto"/>
        </w:rPr>
      </w:pPr>
    </w:p>
    <w:p>
      <w:pPr>
        <w:ind w:right="300" w:firstLine="656"/>
        <w:spacing w:after="0" w:line="254" w:lineRule="auto"/>
        <w:tabs>
          <w:tab w:leader="none" w:pos="972"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All agreements, representations and warranties contained in this Agreement or in any document delivered pursuant hereto shall be for the benefit of the Warrantholder and shall survive the execution and delivery of this Agreement and the expiration or other termination of this Agreement.</w:t>
      </w:r>
    </w:p>
    <w:p>
      <w:pPr>
        <w:spacing w:after="0" w:line="174" w:lineRule="exact"/>
        <w:rPr>
          <w:rFonts w:ascii="Times New Roman" w:cs="Times New Roman" w:eastAsia="Times New Roman" w:hAnsi="Times New Roman"/>
          <w:sz w:val="20"/>
          <w:szCs w:val="20"/>
          <w:color w:val="auto"/>
        </w:rPr>
      </w:pPr>
    </w:p>
    <w:p>
      <w:pPr>
        <w:ind w:right="40" w:firstLine="656"/>
        <w:spacing w:after="0" w:line="246" w:lineRule="auto"/>
        <w:tabs>
          <w:tab w:leader="none" w:pos="972"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has been negotiated and delivered to the Warrantholder in the State of California, and shall be deemed to have been accepted by the Warrantholder in the State of California. Delivery of Common Stock to the Warrantholder by the Company under this Agreement is due in the State of California. This Agreement shall be governed by, and construed and enforced in accordance with, the laws of the State of California, excluding conflict of laws principles that would cause the application of laws of any other jurisdiction.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6" w:name="page207"/>
    <w:bookmarkEnd w:id="206"/>
    <w:p>
      <w:pPr>
        <w:ind w:left="-20" w:firstLine="656"/>
        <w:spacing w:after="0" w:line="242" w:lineRule="auto"/>
        <w:tabs>
          <w:tab w:leader="none" w:pos="952"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 to Jurisdiction and Venue</w:t>
      </w:r>
      <w:r>
        <w:rPr>
          <w:rFonts w:ascii="Times New Roman" w:cs="Times New Roman" w:eastAsia="Times New Roman" w:hAnsi="Times New Roman"/>
          <w:sz w:val="20"/>
          <w:szCs w:val="20"/>
          <w:color w:val="auto"/>
        </w:rPr>
        <w:t>. All judicial proceedings arising in or under or related to this Agreement may be brought in any state or federal court of competent jurisdiction located in the State of California. By execution and delivery of this Agreement, each party hereto generally and unconditionally: (i) consents to personal jurisdiction in Santa Clara County, State of California; (ii) waives any objection as to jurisdiction or venue in Santa Clara County, State of California; (iii) agrees not to assert any defense based on lack of jurisdiction or venue in the aforesaid courts; and (iv) irrevocably agrees to be bound by any judgment rendered thereby in connection with this Agreement. Service of process on any party hereto in any action arising out of or relating to this Agreement shall be effective if given in accordance with the requirements for notice set forth in Section 12(g), and shall be deemed effective and received as set forth in Section 12(g). Nothing herein shall affect the right to serve process in any other manner permitted by law or shall limit the right of either party to bring proceedings in the courts of any other jurisdiction.</w:t>
      </w:r>
    </w:p>
    <w:p>
      <w:pPr>
        <w:spacing w:after="0" w:line="191" w:lineRule="exact"/>
        <w:rPr>
          <w:rFonts w:ascii="Times New Roman" w:cs="Times New Roman" w:eastAsia="Times New Roman" w:hAnsi="Times New Roman"/>
          <w:sz w:val="20"/>
          <w:szCs w:val="20"/>
          <w:color w:val="auto"/>
        </w:rPr>
      </w:pPr>
    </w:p>
    <w:p>
      <w:pPr>
        <w:ind w:left="-20" w:right="120" w:firstLine="656"/>
        <w:spacing w:after="0" w:line="242" w:lineRule="auto"/>
        <w:tabs>
          <w:tab w:leader="none" w:pos="952"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Mutual Waiver of Jury Trial</w:t>
      </w:r>
      <w:r>
        <w:rPr>
          <w:rFonts w:ascii="Times New Roman" w:cs="Times New Roman" w:eastAsia="Times New Roman" w:hAnsi="Times New Roman"/>
          <w:sz w:val="20"/>
          <w:szCs w:val="20"/>
          <w:color w:val="auto"/>
        </w:rPr>
        <w:t>. 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arising under or in connection with this Warrant be resolved by a judge applying such applicable laws. EACH OF THE COMPANY AND THE WARRANTHOLDER SPECIFICALLY WAIVES ANY RIGHT IT MAY HAVE TO TRIAL BY JURY OF ANY CAUSE OF ACTION, CLAIM, CROSS-CLAIM, COUNTERCLAIM, THIRD PARTY CLAIM OR ANY OTHER CLAIM (COLLECTIVELY, “CLAIMS”) ASSERTED BY THE COMPANY AGAINST THE WARRANTHOLDER OR ITS ASSIGNEE OR BY THE WARRANTHOLDER OR ITS ASSIGNEE AGAINST THE COMPANY RELATING TO THIS WARRANT. This waiver extends to all such Claims, including Claims that involve persons or entities other the Company and the Warrantholder; Claims that arise out of or are in any way connected to the relationship between the Company and the Warrantholder; and any Claims for damages, breach of contract, specific performance, or any equitable or legal relief of any kind, arising out of this Agreement.</w:t>
      </w:r>
    </w:p>
    <w:p>
      <w:pPr>
        <w:spacing w:after="0" w:line="187" w:lineRule="exact"/>
        <w:rPr>
          <w:rFonts w:ascii="Times New Roman" w:cs="Times New Roman" w:eastAsia="Times New Roman" w:hAnsi="Times New Roman"/>
          <w:sz w:val="20"/>
          <w:szCs w:val="20"/>
          <w:color w:val="auto"/>
        </w:rPr>
      </w:pPr>
    </w:p>
    <w:p>
      <w:pPr>
        <w:ind w:left="-20" w:right="100" w:firstLine="656"/>
        <w:spacing w:after="0" w:line="243" w:lineRule="auto"/>
        <w:tabs>
          <w:tab w:leader="none" w:pos="952"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If the Mutual Waiver of Jury Trial set forth in Section 12(p) is ineffective or unenforceable, the parties agree that all Claims shall be submitted to binding arbitration in accordance with the commercial arbitration rules of JAMS (the “Rules”), such arbitration to occur before one arbitrator, which arbitrator shall be a retired California state judge or a retired Federal court judge. Such proceeding shall be conducted in Santa Clara County, State of California, with California rules of evidence and discovery applicable to such arbitration. The decision of the arbitrator shall be binding on the parties, and shall be final and nonappealable to the maximum extent permitted by law. Any judgment rendered by the arbitrator may be entered in a court of competent jurisdiction and enforced by the prevailing party as a final judgment of such court.</w:t>
      </w:r>
    </w:p>
    <w:p>
      <w:pPr>
        <w:spacing w:after="0" w:line="189" w:lineRule="exact"/>
        <w:rPr>
          <w:rFonts w:ascii="Times New Roman" w:cs="Times New Roman" w:eastAsia="Times New Roman" w:hAnsi="Times New Roman"/>
          <w:sz w:val="20"/>
          <w:szCs w:val="20"/>
          <w:color w:val="auto"/>
        </w:rPr>
      </w:pPr>
    </w:p>
    <w:p>
      <w:pPr>
        <w:jc w:val="both"/>
        <w:ind w:left="-20" w:right="100" w:firstLine="656"/>
        <w:spacing w:after="0" w:line="249" w:lineRule="auto"/>
        <w:tabs>
          <w:tab w:leader="none" w:pos="952"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Pre-arbitration Relief</w:t>
      </w:r>
      <w:r>
        <w:rPr>
          <w:rFonts w:ascii="Times New Roman" w:cs="Times New Roman" w:eastAsia="Times New Roman" w:hAnsi="Times New Roman"/>
          <w:sz w:val="20"/>
          <w:szCs w:val="20"/>
          <w:color w:val="auto"/>
        </w:rPr>
        <w:t>. In the event Claims are to be resolved by arbitration, either party may seek from a court of competent jurisdiction identified in Section 12(o), any prejudgment order, writ or other relief and have such prejudgment order, writ or other relief enforced to the fullest extent permitted by law notwithstanding that all Claims are otherwise subject to resolution by binding arbitration.</w:t>
      </w:r>
    </w:p>
    <w:p>
      <w:pPr>
        <w:spacing w:after="0" w:line="179" w:lineRule="exact"/>
        <w:rPr>
          <w:rFonts w:ascii="Times New Roman" w:cs="Times New Roman" w:eastAsia="Times New Roman" w:hAnsi="Times New Roman"/>
          <w:sz w:val="20"/>
          <w:szCs w:val="20"/>
          <w:color w:val="auto"/>
        </w:rPr>
      </w:pPr>
    </w:p>
    <w:p>
      <w:pPr>
        <w:ind w:left="-20" w:right="80" w:firstLine="656"/>
        <w:spacing w:after="0" w:line="249" w:lineRule="auto"/>
        <w:tabs>
          <w:tab w:leader="none" w:pos="952"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and any amendments, waivers, consents or supplements hereto may be executed in any number of counterparts (including by facsimile or electronic delivery (PDF)), and by different parties hereto in separate counterparts, each of which when so delivered shall be deemed an original, but all of which counterparts shall constitute but one and the same instrument.</w:t>
      </w:r>
    </w:p>
    <w:p>
      <w:pPr>
        <w:spacing w:after="0" w:line="179" w:lineRule="exact"/>
        <w:rPr>
          <w:rFonts w:ascii="Times New Roman" w:cs="Times New Roman" w:eastAsia="Times New Roman" w:hAnsi="Times New Roman"/>
          <w:sz w:val="20"/>
          <w:szCs w:val="20"/>
          <w:color w:val="auto"/>
        </w:rPr>
      </w:pPr>
    </w:p>
    <w:p>
      <w:pPr>
        <w:ind w:left="-20" w:right="60" w:firstLine="656"/>
        <w:spacing w:after="0" w:line="244" w:lineRule="auto"/>
        <w:tabs>
          <w:tab w:leader="none" w:pos="952"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The parties hereto hereby declare that it is impossible to measure in money the damages which will accrue to the Warrantholder by reason of the Company’s failure to perform any of the obligations under this Agreement and agree that the terms of this Agreement shall be specifically enforceable by the Warrantholder. If the Warrantholder institutes any action or proceeding to specifically enforce the provisions hereof, any person against whom such action or proceeding is brought hereby waives the claim or defense therein that the Warrantholder has an adequate remedy at law, and such person shall not offer in any such action or proceeding the claim or defense that such remedy at law exists.</w:t>
      </w:r>
    </w:p>
    <w:p>
      <w:pPr>
        <w:spacing w:after="0" w:line="185" w:lineRule="exact"/>
        <w:rPr>
          <w:rFonts w:ascii="Times New Roman" w:cs="Times New Roman" w:eastAsia="Times New Roman" w:hAnsi="Times New Roman"/>
          <w:sz w:val="20"/>
          <w:szCs w:val="20"/>
          <w:color w:val="auto"/>
        </w:rPr>
      </w:pPr>
    </w:p>
    <w:p>
      <w:pPr>
        <w:ind w:left="-20" w:right="380" w:firstLine="656"/>
        <w:spacing w:after="0" w:line="274" w:lineRule="auto"/>
        <w:tabs>
          <w:tab w:leader="none" w:pos="952"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Lost, Stolen, Mutilated or Destroyed Warrant</w:t>
      </w:r>
      <w:r>
        <w:rPr>
          <w:rFonts w:ascii="Times New Roman" w:cs="Times New Roman" w:eastAsia="Times New Roman" w:hAnsi="Times New Roman"/>
          <w:sz w:val="19"/>
          <w:szCs w:val="19"/>
          <w:color w:val="auto"/>
        </w:rPr>
        <w:t>. If this Warrant is lost, stolen, mutilated or destroyed, the Company may, on such terms as to indemnity or otherwise as it may reasonably impose (which shall, in the case of a mutilated Warrant, include the surrender thereof), issue a new Warrant of like denomination and tenor as this Warrant so</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356870</wp:posOffset>
            </wp:positionV>
            <wp:extent cx="629221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00" w:top="118" w:right="1019" w:bottom="1440" w:gutter="0" w:footer="0" w:header="0"/>
        </w:sectPr>
      </w:pPr>
    </w:p>
    <w:bookmarkStart w:id="207" w:name="page208"/>
    <w:bookmarkEnd w:id="207"/>
    <w:p>
      <w:pPr>
        <w:ind w:right="560"/>
        <w:spacing w:after="0" w:line="253" w:lineRule="auto"/>
        <w:rPr>
          <w:sz w:val="20"/>
          <w:szCs w:val="20"/>
          <w:color w:val="auto"/>
        </w:rPr>
      </w:pPr>
      <w:r>
        <w:rPr>
          <w:rFonts w:ascii="Times New Roman" w:cs="Times New Roman" w:eastAsia="Times New Roman" w:hAnsi="Times New Roman"/>
          <w:sz w:val="20"/>
          <w:szCs w:val="20"/>
          <w:color w:val="auto"/>
        </w:rPr>
        <w:t>lost, stolen, mutilated or destroyed. Any such new Warrant shall constitute an original contractual obligation of the Company, whether or not the allegedly lost, stolen, mutilated or destroyed Warrant shall be at any time enforceable by anyone.</w:t>
      </w:r>
    </w:p>
    <w:p>
      <w:pPr>
        <w:spacing w:after="0" w:line="176" w:lineRule="exact"/>
        <w:rPr>
          <w:sz w:val="20"/>
          <w:szCs w:val="20"/>
          <w:color w:val="auto"/>
        </w:rPr>
      </w:pPr>
    </w:p>
    <w:p>
      <w:pPr>
        <w:ind w:right="140" w:firstLine="656"/>
        <w:spacing w:after="0" w:line="254" w:lineRule="auto"/>
        <w:tabs>
          <w:tab w:leader="none" w:pos="972"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Legends</w:t>
      </w:r>
      <w:r>
        <w:rPr>
          <w:rFonts w:ascii="Times New Roman" w:cs="Times New Roman" w:eastAsia="Times New Roman" w:hAnsi="Times New Roman"/>
          <w:sz w:val="20"/>
          <w:szCs w:val="20"/>
          <w:color w:val="auto"/>
        </w:rPr>
        <w:t>. To the extent required by applicable laws, this Warrant and the shares of Common Stock issuable hereunder (and the securities issuable, directly or indirectly, upon conversion of such shares of Common Stock, if any) may be imprinted with a restricted securities legend in substantially the following form:</w:t>
      </w:r>
    </w:p>
    <w:p>
      <w:pPr>
        <w:spacing w:after="0" w:line="174"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0"/>
          <w:szCs w:val="20"/>
          <w:color w:val="auto"/>
        </w:rPr>
        <w:t>THIS SECURITY HAS NOT BEEN REGISTERED UNDER THE SECURITIES ACT OF 1933, AS AMENDED (THE “ACT”), OR ANY APPLICABLE STATE SECURITIES LAWS, AND MAY NOT BE SOLD, OFFERED FOR SALE, PLEDGED OR HYPOTHECATED IN THE ABSENCE OF AN EFFECTIVE REGISTRATION RELATED THERETO OR, SUBJECT TO SECTION 11 OF THE AMENDED AND RESTATED WARRANT AGREEMENT DATED MARCH 31, 2023, BETWEEN THE COMPANY AND HERCULES PRIVATE CREDIT FUND 1 L.P., AN OPINION OF COUNSEL (WHICH MAY BE COMPANY COUNSEL) REASONABLY SATISFACTORY TO THE COMPANY THAT SUCH REGISTRATION IS NOT REQUIRED UNDER THE ACTOR ANY STATE SECURITIES LAWS.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8" w:name="page209"/>
    <w:bookmarkEnd w:id="208"/>
    <w:p>
      <w:pPr>
        <w:ind w:firstLine="648"/>
        <w:spacing w:after="0" w:line="268"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Amended and Restated Warrant Agreement to be executed by its officers thereunto duly authorized as of the date first written above.</w:t>
      </w:r>
    </w:p>
    <w:p>
      <w:pPr>
        <w:spacing w:after="0" w:line="390" w:lineRule="exact"/>
        <w:rPr>
          <w:sz w:val="20"/>
          <w:szCs w:val="20"/>
          <w:color w:val="auto"/>
        </w:rPr>
      </w:pPr>
    </w:p>
    <w:p>
      <w:pPr>
        <w:ind w:left="660"/>
        <w:spacing w:after="0"/>
        <w:tabs>
          <w:tab w:leader="none" w:pos="4960" w:val="left"/>
        </w:tabs>
        <w:rPr>
          <w:sz w:val="20"/>
          <w:szCs w:val="20"/>
          <w:color w:val="auto"/>
        </w:rPr>
      </w:pPr>
      <w:r>
        <w:rPr>
          <w:rFonts w:ascii="Times New Roman" w:cs="Times New Roman" w:eastAsia="Times New Roman" w:hAnsi="Times New Roman"/>
          <w:sz w:val="20"/>
          <w:szCs w:val="20"/>
          <w:color w:val="auto"/>
        </w:rPr>
        <w:t>COMPANY:</w:t>
      </w:r>
      <w:r>
        <w:rPr>
          <w:sz w:val="20"/>
          <w:szCs w:val="20"/>
          <w:color w:val="auto"/>
        </w:rPr>
        <w:tab/>
      </w:r>
      <w:r>
        <w:rPr>
          <w:rFonts w:ascii="Times New Roman" w:cs="Times New Roman" w:eastAsia="Times New Roman" w:hAnsi="Times New Roman"/>
          <w:sz w:val="20"/>
          <w:szCs w:val="20"/>
          <w:color w:val="auto"/>
        </w:rPr>
        <w:t>TG THERAPEUTICS, INC.</w:t>
      </w:r>
    </w:p>
    <w:p>
      <w:pPr>
        <w:spacing w:after="0" w:line="200" w:lineRule="exact"/>
        <w:rPr>
          <w:sz w:val="20"/>
          <w:szCs w:val="20"/>
          <w:color w:val="auto"/>
        </w:rPr>
      </w:pPr>
    </w:p>
    <w:p>
      <w:pPr>
        <w:spacing w:after="0" w:line="25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-144780</wp:posOffset>
            </wp:positionV>
            <wp:extent cx="276034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13335</wp:posOffset>
            </wp:positionV>
            <wp:extent cx="276034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760345" cy="825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-140335</wp:posOffset>
            </wp:positionV>
            <wp:extent cx="276034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i w:val="1"/>
          <w:iCs w:val="1"/>
          <w:color w:val="auto"/>
        </w:rPr>
        <w:t>[Signature Page to Amended and Restated Warrant (TG Therapeutics/Hercules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00"/>
          </w:cols>
          <w:pgMar w:left="980" w:top="118" w:right="1419" w:bottom="1440" w:gutter="0" w:footer="0" w:header="0"/>
        </w:sectPr>
      </w:pPr>
    </w:p>
    <w:bookmarkStart w:id="209" w:name="page210"/>
    <w:bookmarkEnd w:id="209"/>
    <w:p>
      <w:pPr>
        <w:ind w:left="200"/>
        <w:spacing w:after="0"/>
        <w:tabs>
          <w:tab w:leader="none" w:pos="4500" w:val="left"/>
        </w:tabs>
        <w:rPr>
          <w:sz w:val="20"/>
          <w:szCs w:val="20"/>
          <w:color w:val="auto"/>
        </w:rPr>
      </w:pPr>
      <w:r>
        <w:rPr>
          <w:rFonts w:ascii="Times New Roman" w:cs="Times New Roman" w:eastAsia="Times New Roman" w:hAnsi="Times New Roman"/>
          <w:sz w:val="19"/>
          <w:szCs w:val="19"/>
          <w:color w:val="auto"/>
        </w:rPr>
        <w:t>WARRANTHOLDER:</w:t>
      </w:r>
      <w:r>
        <w:rPr>
          <w:sz w:val="20"/>
          <w:szCs w:val="20"/>
          <w:color w:val="auto"/>
        </w:rPr>
        <w:tab/>
      </w:r>
      <w:r>
        <w:rPr>
          <w:rFonts w:ascii="Times New Roman" w:cs="Times New Roman" w:eastAsia="Times New Roman" w:hAnsi="Times New Roman"/>
          <w:sz w:val="19"/>
          <w:szCs w:val="19"/>
          <w:color w:val="auto"/>
        </w:rPr>
        <w:t>HERCULES PRIVATE CREDIT FUND 1 L.P.</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 Hercules Private Global Venture Growth</w:t>
      </w:r>
    </w:p>
    <w:p>
      <w:pPr>
        <w:spacing w:after="0" w:line="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Fund GP I, LLC, its general partner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 Hercules Adviser LLC, its sole member</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-144780</wp:posOffset>
            </wp:positionV>
            <wp:extent cx="276034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jc w:val="center"/>
        <w:ind w:right="-4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to Amended and Restated Warrant (TG Therapeutics/Hercules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364490</wp:posOffset>
            </wp:positionV>
            <wp:extent cx="629221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210" w:name="page211"/>
    <w:bookmarkEnd w:id="210"/>
    <w:p>
      <w:pPr>
        <w:jc w:val="center"/>
        <w:ind w:right="-99"/>
        <w:spacing w:after="0"/>
        <w:rPr>
          <w:sz w:val="20"/>
          <w:szCs w:val="20"/>
          <w:color w:val="auto"/>
        </w:rPr>
      </w:pPr>
      <w:r>
        <w:rPr>
          <w:rFonts w:ascii="Times New Roman" w:cs="Times New Roman" w:eastAsia="Times New Roman" w:hAnsi="Times New Roman"/>
          <w:sz w:val="20"/>
          <w:szCs w:val="20"/>
          <w:color w:val="auto"/>
        </w:rPr>
        <w:t>EXHIBIT I</w:t>
      </w: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EXHIBIT II</w:t>
      </w: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EXHIBIT III</w:t>
      </w: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TRANSFER NOTICE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(To transfer or assign the foregoing Agreement execute this form and supply required information. Do not use this form to purchase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VALUE RECEIVED, the foregoing Agreement and all rights evidenced thereby are hereby transferred and assigned to</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Print)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whose address is___________________________________________________</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w:t>
      </w:r>
    </w:p>
    <w:p>
      <w:pPr>
        <w:spacing w:after="0" w:line="2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Dated: ____________________________________</w:t>
      </w:r>
    </w:p>
    <w:p>
      <w:pPr>
        <w:sectPr>
          <w:pgSz w:w="11900" w:h="16838" w:orient="portrait"/>
          <w:cols w:equalWidth="0" w:num="1">
            <w:col w:w="9840"/>
          </w:cols>
          <w:pgMar w:left="980" w:top="118" w:right="1079" w:bottom="1440" w:gutter="0" w:footer="0" w:header="0"/>
        </w:sectPr>
      </w:pPr>
    </w:p>
    <w:p>
      <w:pPr>
        <w:spacing w:after="0" w:line="2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Holder’s Signature:</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w:t>
      </w:r>
    </w:p>
    <w:p>
      <w:pPr>
        <w:spacing w:after="0" w:line="200" w:lineRule="exact"/>
        <w:rPr>
          <w:sz w:val="20"/>
          <w:szCs w:val="20"/>
          <w:color w:val="auto"/>
        </w:rPr>
      </w:pPr>
    </w:p>
    <w:p>
      <w:pPr>
        <w:sectPr>
          <w:pgSz w:w="11900" w:h="16838" w:orient="portrait"/>
          <w:cols w:equalWidth="0" w:num="2">
            <w:col w:w="2860" w:space="380"/>
            <w:col w:w="6600"/>
          </w:cols>
          <w:pgMar w:left="980" w:top="118" w:right="1079" w:bottom="1440" w:gutter="0" w:footer="0" w:header="0"/>
          <w:type w:val="continuous"/>
        </w:sectPr>
      </w:pP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Holder’s Address: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w:t>
      </w:r>
    </w:p>
    <w:p>
      <w:pPr>
        <w:spacing w:after="0" w:line="200" w:lineRule="exact"/>
        <w:rPr>
          <w:sz w:val="20"/>
          <w:szCs w:val="20"/>
          <w:color w:val="auto"/>
        </w:rPr>
      </w:pPr>
    </w:p>
    <w:p>
      <w:pPr>
        <w:sectPr>
          <w:pgSz w:w="11900" w:h="16838" w:orient="portrait"/>
          <w:cols w:equalWidth="0" w:num="2">
            <w:col w:w="2740" w:space="500"/>
            <w:col w:w="6600"/>
          </w:cols>
          <w:pgMar w:left="980" w:top="118" w:right="1079" w:bottom="1440" w:gutter="0" w:footer="0" w:header="0"/>
          <w:type w:val="continuous"/>
        </w:sectPr>
      </w:pPr>
    </w:p>
    <w:p>
      <w:pPr>
        <w:spacing w:after="0" w:line="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_____________________________________________________</w:t>
      </w:r>
    </w:p>
    <w:p>
      <w:pPr>
        <w:spacing w:after="0" w:line="28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0"/>
          <w:szCs w:val="20"/>
          <w:color w:val="auto"/>
        </w:rPr>
        <w:t>Signature Guaranteed:</w:t>
      </w:r>
      <w:r>
        <w:rPr>
          <w:sz w:val="20"/>
          <w:szCs w:val="20"/>
          <w:color w:val="auto"/>
        </w:rPr>
        <w:tab/>
      </w:r>
      <w:r>
        <w:rPr>
          <w:rFonts w:ascii="Times New Roman" w:cs="Times New Roman" w:eastAsia="Times New Roman" w:hAnsi="Times New Roman"/>
          <w:sz w:val="19"/>
          <w:szCs w:val="19"/>
          <w:color w:val="auto"/>
        </w:rPr>
        <w:t>____________________________________________</w:t>
      </w:r>
    </w:p>
    <w:p>
      <w:pPr>
        <w:spacing w:after="0" w:line="200" w:lineRule="exact"/>
        <w:rPr>
          <w:sz w:val="20"/>
          <w:szCs w:val="20"/>
          <w:color w:val="auto"/>
        </w:rPr>
      </w:pPr>
    </w:p>
    <w:p>
      <w:pPr>
        <w:spacing w:after="0" w:line="245" w:lineRule="exact"/>
        <w:rPr>
          <w:sz w:val="20"/>
          <w:szCs w:val="20"/>
          <w:color w:val="auto"/>
        </w:rPr>
      </w:pPr>
    </w:p>
    <w:p>
      <w:pPr>
        <w:jc w:val="both"/>
        <w:ind w:right="560" w:firstLine="648"/>
        <w:spacing w:after="0" w:line="274" w:lineRule="auto"/>
        <w:rPr>
          <w:sz w:val="20"/>
          <w:szCs w:val="20"/>
          <w:color w:val="auto"/>
        </w:rPr>
      </w:pPr>
      <w:r>
        <w:rPr>
          <w:rFonts w:ascii="Times New Roman" w:cs="Times New Roman" w:eastAsia="Times New Roman" w:hAnsi="Times New Roman"/>
          <w:sz w:val="19"/>
          <w:szCs w:val="19"/>
          <w:color w:val="auto"/>
        </w:rPr>
        <w:t>NOTE: The signature to this Transfer Notice must correspond with the name as it appears on the face of the Agreement, without alteration or enlargement or any change whatever. Officers of corporations and those acting in a fiduciary or other representative capacity should file proper evidence of authority to assign the foregoing Agreement.</w:t>
      </w: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18" w:right="1079" w:bottom="1440" w:gutter="0" w:footer="0" w:header="0"/>
          <w:type w:val="continuous"/>
        </w:sectPr>
      </w:pPr>
    </w:p>
    <w:bookmarkStart w:id="211" w:name="page212"/>
    <w:bookmarkEnd w:id="211"/>
    <w:p>
      <w:pPr>
        <w:ind w:left="8900"/>
        <w:spacing w:after="0"/>
        <w:rPr>
          <w:sz w:val="20"/>
          <w:szCs w:val="20"/>
          <w:color w:val="auto"/>
        </w:rPr>
      </w:pPr>
      <w:r>
        <w:rPr>
          <w:rFonts w:ascii="Times New Roman" w:cs="Times New Roman" w:eastAsia="Times New Roman" w:hAnsi="Times New Roman"/>
          <w:sz w:val="19"/>
          <w:szCs w:val="19"/>
          <w:b w:val="1"/>
          <w:bCs w:val="1"/>
          <w:color w:val="auto"/>
        </w:rPr>
        <w:t>Exhibit 10.5</w:t>
      </w:r>
    </w:p>
    <w:p>
      <w:pPr>
        <w:spacing w:after="0" w:line="2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WARRANT AND THE SHARES ISSUABLE UPON EXERCISE HEREOF HAVE NOT BEEN REGISTERED UNDER THE SECURITIES ACT OF 1933, AS AMENDED (THE “ACT”), OR ANY STATE SECURITIES LAWS, AND MAY NOT BE SOLD, OFFERED FOR SALE, PLEDGED, OR HYPOTHECATED IN THE ABSENCE OF AN EFFECTIVE REGISTRATION STATEMENT RELATED THERETO OR, SUBJECT TO SECTION 11 HEREOF, AN OPINION OF COUNSEL (WHICH MAY BE COMPANY COUNSEL) REASONABLY SATISFACTORY TO THE COMPANY THAT SUCH REGISTRATION IS NOT REQUIRED UNDER THE ACT, OR ANY APPLICABLE STATE SECURITIES LAWS.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AMENDED AND RESTATED WARRANT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To Purchase Shares of the Common Stock of</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TG THERAPEUTICS,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as of March 31, 2023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this Amended and Restated Warrant Agreement (this “</w:t>
      </w:r>
      <w:r>
        <w:rPr>
          <w:rFonts w:ascii="Times New Roman" w:cs="Times New Roman" w:eastAsia="Times New Roman" w:hAnsi="Times New Roman"/>
          <w:sz w:val="20"/>
          <w:szCs w:val="20"/>
          <w:u w:val="single" w:color="auto"/>
          <w:color w:val="auto"/>
        </w:rPr>
        <w:t>Warrant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Warrant Agreement</w:t>
      </w:r>
      <w:r>
        <w:rPr>
          <w:rFonts w:ascii="Times New Roman" w:cs="Times New Roman" w:eastAsia="Times New Roman" w:hAnsi="Times New Roman"/>
          <w:sz w:val="20"/>
          <w:szCs w:val="20"/>
          <w:color w:val="auto"/>
        </w:rPr>
        <w:t>”, or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amends and restates the Warrant Agreement, dated December 30, 2021 (the “</w:t>
      </w:r>
      <w:r>
        <w:rPr>
          <w:rFonts w:ascii="Times New Roman" w:cs="Times New Roman" w:eastAsia="Times New Roman" w:hAnsi="Times New Roman"/>
          <w:sz w:val="20"/>
          <w:szCs w:val="20"/>
          <w:u w:val="single" w:color="auto"/>
          <w:color w:val="auto"/>
        </w:rPr>
        <w:t>Original Issue Date</w:t>
      </w:r>
      <w:r>
        <w:rPr>
          <w:rFonts w:ascii="Times New Roman" w:cs="Times New Roman" w:eastAsia="Times New Roman" w:hAnsi="Times New Roman"/>
          <w:sz w:val="20"/>
          <w:szCs w:val="20"/>
          <w:color w:val="auto"/>
        </w:rPr>
        <w:t>”), by and</w:t>
      </w:r>
    </w:p>
    <w:p>
      <w:pPr>
        <w:spacing w:after="0"/>
        <w:rPr>
          <w:sz w:val="20"/>
          <w:szCs w:val="20"/>
          <w:color w:val="auto"/>
        </w:rPr>
      </w:pPr>
      <w:r>
        <w:rPr>
          <w:rFonts w:ascii="Times New Roman" w:cs="Times New Roman" w:eastAsia="Times New Roman" w:hAnsi="Times New Roman"/>
          <w:sz w:val="19"/>
          <w:szCs w:val="19"/>
          <w:color w:val="auto"/>
        </w:rPr>
        <w:t>between TG Therapeutics, Inc., a Delaware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Hercules Private Global Venture Growth Fund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L.P. (the “</w:t>
      </w:r>
      <w:r>
        <w:rPr>
          <w:rFonts w:ascii="Times New Roman" w:cs="Times New Roman" w:eastAsia="Times New Roman" w:hAnsi="Times New Roman"/>
          <w:sz w:val="20"/>
          <w:szCs w:val="20"/>
          <w:u w:val="single" w:color="auto"/>
          <w:color w:val="auto"/>
        </w:rPr>
        <w:t>Warrantholder</w:t>
      </w:r>
      <w:r>
        <w:rPr>
          <w:rFonts w:ascii="Times New Roman" w:cs="Times New Roman" w:eastAsia="Times New Roman" w:hAnsi="Times New Roman"/>
          <w:sz w:val="20"/>
          <w:szCs w:val="20"/>
          <w:color w:val="auto"/>
        </w:rPr>
        <w:t>”), to purchase shares of Common Stock of the Company (the “</w:t>
      </w:r>
      <w:r>
        <w:rPr>
          <w:rFonts w:ascii="Times New Roman" w:cs="Times New Roman" w:eastAsia="Times New Roman" w:hAnsi="Times New Roman"/>
          <w:sz w:val="20"/>
          <w:szCs w:val="20"/>
          <w:u w:val="single" w:color="auto"/>
          <w:color w:val="auto"/>
        </w:rPr>
        <w:t>Prior Warrant</w:t>
      </w:r>
      <w:r>
        <w:rPr>
          <w:rFonts w:ascii="Times New Roman" w:cs="Times New Roman" w:eastAsia="Times New Roman" w:hAnsi="Times New Roman"/>
          <w:sz w:val="20"/>
          <w:szCs w:val="20"/>
          <w:color w:val="auto"/>
        </w:rPr>
        <w:t>”), and the Prior</w:t>
      </w:r>
    </w:p>
    <w:p>
      <w:pPr>
        <w:spacing w:after="0"/>
        <w:rPr>
          <w:sz w:val="20"/>
          <w:szCs w:val="20"/>
          <w:color w:val="auto"/>
        </w:rPr>
      </w:pPr>
      <w:r>
        <w:rPr>
          <w:rFonts w:ascii="Times New Roman" w:cs="Times New Roman" w:eastAsia="Times New Roman" w:hAnsi="Times New Roman"/>
          <w:sz w:val="20"/>
          <w:szCs w:val="20"/>
          <w:color w:val="auto"/>
        </w:rPr>
        <w:t>Warrant is superseded and replaced by this Agreement in all respects;</w:t>
      </w:r>
    </w:p>
    <w:p>
      <w:pPr>
        <w:spacing w:after="0" w:line="194"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20"/>
          <w:szCs w:val="20"/>
          <w:color w:val="auto"/>
        </w:rPr>
        <w:t>WHEREAS, the Company has entered into an Amended and Restated Loan and Security Agreement dated as of the Original Issue Date (as amended and in effect from time to time, the “</w:t>
      </w:r>
      <w:r>
        <w:rPr>
          <w:rFonts w:ascii="Times New Roman" w:cs="Times New Roman" w:eastAsia="Times New Roman" w:hAnsi="Times New Roman"/>
          <w:sz w:val="20"/>
          <w:szCs w:val="20"/>
          <w:u w:val="single" w:color="auto"/>
          <w:color w:val="auto"/>
        </w:rPr>
        <w:t>Loan Agreement</w:t>
      </w:r>
      <w:r>
        <w:rPr>
          <w:rFonts w:ascii="Times New Roman" w:cs="Times New Roman" w:eastAsia="Times New Roman" w:hAnsi="Times New Roman"/>
          <w:sz w:val="20"/>
          <w:szCs w:val="20"/>
          <w:color w:val="auto"/>
        </w:rPr>
        <w:t>”) with the Warrantholder, in its capacity as administrative and collateral agent, and the other lenders from time to time party thereto;</w:t>
      </w:r>
    </w:p>
    <w:p>
      <w:pPr>
        <w:spacing w:after="0" w:line="174"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20"/>
          <w:szCs w:val="20"/>
          <w:color w:val="auto"/>
        </w:rPr>
        <w:t>WHEREAS, pursuant to the Loan Agreement and as additional consideration to the Warrantholder for, among other things, its agreements in the Loan Agreement, the Company has agreed to issue to the Warrantholder this Warrant Agreement, evidencing the right to purchase shares of the Company’s Common Stock;</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NOW, THEREFORE, in consideration of the mutual covenants and agreements contained herein, the Company and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Warrantholder agree as follows:</w:t>
      </w:r>
    </w:p>
    <w:p>
      <w:pPr>
        <w:spacing w:after="0" w:line="19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color w:val="auto"/>
        </w:rPr>
        <w:t>GRANT OF THE RIGHT TO PURCHASE COMMON STOCK.</w:t>
      </w:r>
    </w:p>
    <w:p>
      <w:pPr>
        <w:spacing w:after="0" w:line="220" w:lineRule="exact"/>
        <w:rPr>
          <w:sz w:val="20"/>
          <w:szCs w:val="20"/>
          <w:color w:val="auto"/>
        </w:rPr>
      </w:pPr>
    </w:p>
    <w:p>
      <w:pPr>
        <w:ind w:firstLine="656"/>
        <w:spacing w:after="0" w:line="245" w:lineRule="auto"/>
        <w:tabs>
          <w:tab w:leader="none" w:pos="1296"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value received, the Company hereby grants to the Warrantholder, and the Warrantholder is entitled, upon the terms and subject to the conditions hereinafter set forth, to subscribe for and purchase, from the Company, up to the aggregate number of fully paid and non-assessable shares of Common Stock (as defined below) as determined pursuant to Section 1(b) below, at a purchase price per share equal to the Exercise Price (as defined below). The number and Exercise Price of such shares are subject to adjustment as provided in Section 8. As used herein, the following terms shall have the following meanings:</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means the Securities Act of 1933, as amended.</w:t>
      </w:r>
    </w:p>
    <w:p>
      <w:pPr>
        <w:spacing w:after="0" w:line="216" w:lineRule="exact"/>
        <w:rPr>
          <w:sz w:val="20"/>
          <w:szCs w:val="20"/>
          <w:color w:val="auto"/>
        </w:rPr>
      </w:pPr>
    </w:p>
    <w:p>
      <w:pPr>
        <w:ind w:left="660" w:right="3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Charter</w:t>
      </w:r>
      <w:r>
        <w:rPr>
          <w:rFonts w:ascii="Times New Roman" w:cs="Times New Roman" w:eastAsia="Times New Roman" w:hAnsi="Times New Roman"/>
          <w:sz w:val="20"/>
          <w:szCs w:val="20"/>
          <w:color w:val="auto"/>
        </w:rPr>
        <w:t>” means the Company’s Certificate of Incorporation or other constitutional document, as may be amended and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604520</wp:posOffset>
            </wp:positionV>
            <wp:extent cx="629221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12" w:name="page213"/>
    <w:bookmarkEnd w:id="212"/>
    <w:p>
      <w:pPr>
        <w:ind w:left="200" w:right="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means the Company’s common stock, $0.001 par value per share, as presently constituted under the Charter, and any class and/or series of Company capital stock for or into which such common stock may be converted or exchanged in a reorganization, recapitalization or similar transaction.</w:t>
      </w:r>
    </w:p>
    <w:p>
      <w:pPr>
        <w:spacing w:after="0" w:line="174" w:lineRule="exact"/>
        <w:rPr>
          <w:sz w:val="20"/>
          <w:szCs w:val="20"/>
          <w:color w:val="auto"/>
        </w:rPr>
      </w:pPr>
    </w:p>
    <w:p>
      <w:pPr>
        <w:ind w:left="200" w:right="100"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Registration</w:t>
      </w:r>
      <w:r>
        <w:rPr>
          <w:rFonts w:ascii="Times New Roman" w:cs="Times New Roman" w:eastAsia="Times New Roman" w:hAnsi="Times New Roman"/>
          <w:sz w:val="20"/>
          <w:szCs w:val="20"/>
          <w:color w:val="auto"/>
        </w:rPr>
        <w:t xml:space="preserve">” means (i) a registration relating to the sale of securities to employees of the Company or a subsidiary pursuant to an equity option, equity purchase, or similar plan; (ii) a registration relating to an SEC Rule 145 transaction; or (iii) a registration on any form that does not include substantially the same information as would be required to be included in a registration statement covering the sale of the Registrable Securities,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the inclusion of information regarding this Warrant and the plan of distribution of and selling securityholder information related to the Common Shares issuable upon exercise of this Warrant, shall not constitute a basis for excluding the Registrable Securities from a registration pursuant to this clause (iii).</w:t>
      </w:r>
    </w:p>
    <w:p>
      <w:pPr>
        <w:spacing w:after="0" w:line="189" w:lineRule="exact"/>
        <w:rPr>
          <w:sz w:val="20"/>
          <w:szCs w:val="20"/>
          <w:color w:val="auto"/>
        </w:rPr>
      </w:pPr>
    </w:p>
    <w:p>
      <w:pPr>
        <w:ind w:left="200" w:right="1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means $17.95, subject to adjustment from time to time in accordance with the provisions of this Warrant.</w:t>
      </w:r>
    </w:p>
    <w:p>
      <w:pPr>
        <w:spacing w:after="0" w:line="159" w:lineRule="exact"/>
        <w:rPr>
          <w:sz w:val="20"/>
          <w:szCs w:val="20"/>
          <w:color w:val="auto"/>
        </w:rPr>
      </w:pPr>
    </w:p>
    <w:p>
      <w:pPr>
        <w:ind w:left="200" w:right="3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 Sale</w:t>
      </w:r>
      <w:r>
        <w:rPr>
          <w:rFonts w:ascii="Times New Roman" w:cs="Times New Roman" w:eastAsia="Times New Roman" w:hAnsi="Times New Roman"/>
          <w:sz w:val="20"/>
          <w:szCs w:val="20"/>
          <w:color w:val="auto"/>
        </w:rPr>
        <w:t>” means the closing of a Merger Event in which the consideration received by the Company and/or its stockholders, as applicable, consists solely of cash and/or Marketable Securities.</w:t>
      </w:r>
    </w:p>
    <w:p>
      <w:pPr>
        <w:spacing w:after="0" w:line="159" w:lineRule="exact"/>
        <w:rPr>
          <w:sz w:val="20"/>
          <w:szCs w:val="20"/>
          <w:color w:val="auto"/>
        </w:rPr>
      </w:pPr>
    </w:p>
    <w:p>
      <w:pPr>
        <w:ind w:left="200"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Marketable Securities</w:t>
      </w:r>
      <w:r>
        <w:rPr>
          <w:rFonts w:ascii="Times New Roman" w:cs="Times New Roman" w:eastAsia="Times New Roman" w:hAnsi="Times New Roman"/>
          <w:sz w:val="20"/>
          <w:szCs w:val="20"/>
          <w:color w:val="auto"/>
        </w:rPr>
        <w:t>” in connection with a Merger Event means securities meeting all of the following requirements: (i) the issuer thereof is then subject to the reporting requirements of Section 13 or Section 15(d)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is then current in its filing of all required reports and other information under the Act and the Exchange Act; (ii) the class and series of shares or other security of the issuer that would be received by the Warrantholder in connection with the Merger Event were the Warrantholder to exercise this Warrant on or prior to the closing thereof is then traded on a national securities exchange or over-the-counter market, and (iii) following the closing of such Merger Event, the Warrantholder would not be restricted from publicly re-selling all of the issuer’s shares and/or other securities that would be received by the Warrantholder in such Merger Event were the Warrantholder to exercise this Warrant in full on or prior to the closing of such Merger Event, except to the extent that any such restriction (x) arises solely under federal or state securities laws, rules or regulations, and (y) does not extend beyond six (6) months from the closing of such Merger Event.</w:t>
      </w:r>
    </w:p>
    <w:p>
      <w:pPr>
        <w:spacing w:after="0" w:line="187" w:lineRule="exact"/>
        <w:rPr>
          <w:sz w:val="20"/>
          <w:szCs w:val="20"/>
          <w:color w:val="auto"/>
        </w:rPr>
      </w:pPr>
    </w:p>
    <w:p>
      <w:pPr>
        <w:ind w:left="200"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Merger Event</w:t>
      </w:r>
      <w:r>
        <w:rPr>
          <w:rFonts w:ascii="Times New Roman" w:cs="Times New Roman" w:eastAsia="Times New Roman" w:hAnsi="Times New Roman"/>
          <w:sz w:val="20"/>
          <w:szCs w:val="20"/>
          <w:color w:val="auto"/>
        </w:rPr>
        <w:t>” means any of the following: (i) a sale, lease or other transfer of all or substantially all assets of the Company, (ii) any merger or consolidation involving the Company in which the Company is not the surviving entity or in which the outstanding shares of the Company’s capital stock are otherwise converted into or exchanged for shares of capital stock or other securities or property of another entity, or (iii) any sale by holders of the outstanding voting equity securities of the Company in a single transaction or series of related transactions of shares constituting a majority of the outstanding combined voting power of the Company.</w:t>
      </w:r>
    </w:p>
    <w:p>
      <w:pPr>
        <w:spacing w:after="0" w:line="184" w:lineRule="exact"/>
        <w:rPr>
          <w:sz w:val="20"/>
          <w:szCs w:val="20"/>
          <w:color w:val="auto"/>
        </w:rPr>
      </w:pPr>
    </w:p>
    <w:p>
      <w:pPr>
        <w:ind w:left="200" w:right="120"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Purchase Price</w:t>
      </w:r>
      <w:r>
        <w:rPr>
          <w:rFonts w:ascii="Times New Roman" w:cs="Times New Roman" w:eastAsia="Times New Roman" w:hAnsi="Times New Roman"/>
          <w:sz w:val="19"/>
          <w:szCs w:val="19"/>
          <w:color w:val="auto"/>
        </w:rPr>
        <w:t>” means, with respect to any exercise of this Warrant, an amount equal to the then-effective Exercise Price multiplied by the number of shares of Common Stock as to which this Warrant is then exercised.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562" w:right="1019" w:bottom="1440" w:gutter="0" w:footer="0" w:header="0"/>
        </w:sectPr>
      </w:pPr>
    </w:p>
    <w:bookmarkStart w:id="213" w:name="page214"/>
    <w:bookmarkEnd w:id="213"/>
    <w:p>
      <w:pPr>
        <w:ind w:left="660" w:right="80"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Registrable Securities</w:t>
      </w:r>
      <w:r>
        <w:rPr>
          <w:rFonts w:ascii="Times New Roman" w:cs="Times New Roman" w:eastAsia="Times New Roman" w:hAnsi="Times New Roman"/>
          <w:sz w:val="20"/>
          <w:szCs w:val="20"/>
          <w:color w:val="auto"/>
        </w:rPr>
        <w:t xml:space="preserve">” means (i) the shares issuable upon exercise of this Warrant and (ii) any other Common Shares issued as a dividend or other distribution with respect to, in exchange for or in replacement of such shares;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securities referred to in (i)-(ii) above shall cease to be Registrable Securities (A) upon the sale of such securities pursuant to a registration statement or (B) upon the sale of such securities pursuant to Rule 144.</w:t>
      </w:r>
    </w:p>
    <w:p>
      <w:pPr>
        <w:spacing w:after="0" w:line="185" w:lineRule="exact"/>
        <w:rPr>
          <w:sz w:val="20"/>
          <w:szCs w:val="20"/>
          <w:color w:val="auto"/>
        </w:rPr>
      </w:pPr>
    </w:p>
    <w:p>
      <w:pPr>
        <w:ind w:left="660"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Warrant Coverage</w:t>
      </w:r>
      <w:r>
        <w:rPr>
          <w:rFonts w:ascii="Times New Roman" w:cs="Times New Roman" w:eastAsia="Times New Roman" w:hAnsi="Times New Roman"/>
          <w:sz w:val="19"/>
          <w:szCs w:val="19"/>
          <w:color w:val="auto"/>
        </w:rPr>
        <w:t xml:space="preserve">” means 2.95% </w:t>
      </w:r>
      <w:r>
        <w:rPr>
          <w:rFonts w:ascii="Times New Roman" w:cs="Times New Roman" w:eastAsia="Times New Roman" w:hAnsi="Times New Roman"/>
          <w:sz w:val="19"/>
          <w:szCs w:val="19"/>
          <w:u w:val="single" w:color="auto"/>
          <w:color w:val="auto"/>
        </w:rPr>
        <w:t>times</w:t>
      </w:r>
      <w:r>
        <w:rPr>
          <w:rFonts w:ascii="Times New Roman" w:cs="Times New Roman" w:eastAsia="Times New Roman" w:hAnsi="Times New Roman"/>
          <w:sz w:val="19"/>
          <w:szCs w:val="19"/>
          <w:color w:val="auto"/>
        </w:rPr>
        <w:t xml:space="preserve"> the aggregate principal amount of Term Loan Advances (as defined in the Loan Agreement) made and funded by the Warrantholder prior to (but not including) the Effective Date.</w:t>
      </w:r>
    </w:p>
    <w:p>
      <w:pPr>
        <w:spacing w:after="0" w:line="138" w:lineRule="exact"/>
        <w:rPr>
          <w:sz w:val="20"/>
          <w:szCs w:val="20"/>
          <w:color w:val="auto"/>
        </w:rPr>
      </w:pPr>
    </w:p>
    <w:p>
      <w:pPr>
        <w:ind w:right="20" w:firstLine="656"/>
        <w:spacing w:after="0" w:line="254" w:lineRule="auto"/>
        <w:tabs>
          <w:tab w:leader="none" w:pos="1296"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color w:val="auto"/>
        </w:rPr>
        <w:t>. This Warrant shall be exercisable for a number of shares of Common Stock equal to the quotient derived by dividing (i) the Warrant Coverage by (ii) the Exercise Price, subject to adjustment from time to time in accordance with the provisions of this Warrant.</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color w:val="auto"/>
        </w:rPr>
        <w:t>TERM OF THE AGREEMENT.</w:t>
      </w:r>
    </w:p>
    <w:p>
      <w:pPr>
        <w:spacing w:after="0" w:line="220" w:lineRule="exact"/>
        <w:rPr>
          <w:sz w:val="20"/>
          <w:szCs w:val="20"/>
          <w:color w:val="auto"/>
        </w:rPr>
      </w:pPr>
    </w:p>
    <w:p>
      <w:pPr>
        <w:ind w:right="360" w:firstLine="648"/>
        <w:spacing w:after="0" w:line="254" w:lineRule="auto"/>
        <w:rPr>
          <w:sz w:val="20"/>
          <w:szCs w:val="20"/>
          <w:color w:val="auto"/>
        </w:rPr>
      </w:pPr>
      <w:r>
        <w:rPr>
          <w:rFonts w:ascii="Times New Roman" w:cs="Times New Roman" w:eastAsia="Times New Roman" w:hAnsi="Times New Roman"/>
          <w:sz w:val="20"/>
          <w:szCs w:val="20"/>
          <w:color w:val="auto"/>
        </w:rPr>
        <w:t>The term of this Agreement and the right to purchase Common Stock as granted herein shall commence on the Original Issue Date and, subject to Section 8(a) below, shall be exercisable until 5:00 p.m. (Eastern Time) on the seventh (7th) anniversary of the Original Issue Date.</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19"/>
          <w:szCs w:val="19"/>
          <w:color w:val="auto"/>
        </w:rPr>
        <w:t>EXERCISE OF THE PURCHASE RIGHTS.</w:t>
      </w:r>
    </w:p>
    <w:p>
      <w:pPr>
        <w:spacing w:after="0" w:line="220" w:lineRule="exact"/>
        <w:rPr>
          <w:sz w:val="20"/>
          <w:szCs w:val="20"/>
          <w:color w:val="auto"/>
        </w:rPr>
      </w:pPr>
    </w:p>
    <w:p>
      <w:pPr>
        <w:ind w:right="20" w:firstLine="656"/>
        <w:spacing w:after="0" w:line="256" w:lineRule="auto"/>
        <w:tabs>
          <w:tab w:leader="none" w:pos="1296" w:val="left"/>
        </w:tabs>
        <w:numPr>
          <w:ilvl w:val="1"/>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Exercise</w:t>
      </w:r>
      <w:r>
        <w:rPr>
          <w:rFonts w:ascii="Times New Roman" w:cs="Times New Roman" w:eastAsia="Times New Roman" w:hAnsi="Times New Roman"/>
          <w:sz w:val="19"/>
          <w:szCs w:val="19"/>
          <w:color w:val="auto"/>
        </w:rPr>
        <w:t xml:space="preserve">. The purchase rights set forth in this Agreement are exercisable by the Warrantholder, in whole or in part, at any time, or from time to time, prior to the expiration of the term set forth in Section 2, by tendering to the Company at its principal office a notice of exercise in the form attached hereto as </w:t>
      </w:r>
      <w:r>
        <w:rPr>
          <w:rFonts w:ascii="Times New Roman" w:cs="Times New Roman" w:eastAsia="Times New Roman" w:hAnsi="Times New Roman"/>
          <w:sz w:val="19"/>
          <w:szCs w:val="19"/>
          <w:u w:val="single" w:color="auto"/>
          <w:color w:val="auto"/>
        </w:rPr>
        <w:t>Exhibit I</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Notice of Exercise</w:t>
      </w:r>
      <w:r>
        <w:rPr>
          <w:rFonts w:ascii="Times New Roman" w:cs="Times New Roman" w:eastAsia="Times New Roman" w:hAnsi="Times New Roman"/>
          <w:sz w:val="19"/>
          <w:szCs w:val="19"/>
          <w:color w:val="auto"/>
        </w:rPr>
        <w:t>”), duly completed and executed. Promptly upon receipt of the Notice of Exercise and the payment of the Purchase Price in accordance with the terms set forth below, and in no event later than three (3) business days thereafter, the Company or its transfer agent shall either (i) issue to the Warrantholder a certificate for the number of shares of Common Stock purchased or</w:t>
      </w:r>
    </w:p>
    <w:p>
      <w:pPr>
        <w:ind w:right="180" w:firstLine="8"/>
        <w:spacing w:after="0" w:line="242" w:lineRule="auto"/>
        <w:tabs>
          <w:tab w:leader="none" w:pos="291"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credit the same via book entry to the Warrantholder, and the Company shall execute the acknowledgment of exercise in the form attached hereto as </w:t>
      </w:r>
      <w:r>
        <w:rPr>
          <w:rFonts w:ascii="Times New Roman" w:cs="Times New Roman" w:eastAsia="Times New Roman" w:hAnsi="Times New Roman"/>
          <w:sz w:val="20"/>
          <w:szCs w:val="20"/>
          <w:u w:val="single" w:color="auto"/>
          <w:color w:val="auto"/>
        </w:rPr>
        <w:t>Exhibit II</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Acknowledgment of Exercise</w:t>
      </w:r>
      <w:r>
        <w:rPr>
          <w:rFonts w:ascii="Times New Roman" w:cs="Times New Roman" w:eastAsia="Times New Roman" w:hAnsi="Times New Roman"/>
          <w:sz w:val="20"/>
          <w:szCs w:val="20"/>
          <w:color w:val="auto"/>
        </w:rPr>
        <w:t>”) indicating the number of shares which remain subject to future purchases under this Warrant, if any.</w:t>
      </w:r>
    </w:p>
    <w:p>
      <w:pPr>
        <w:spacing w:after="0" w:line="187"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20"/>
          <w:szCs w:val="20"/>
          <w:color w:val="auto"/>
        </w:rPr>
        <w:t>The Purchase Price may be paid at the Warrantholder’s election either (i) by cash or check, or (ii) by surrender of all or a portion of the Warrant for shares of Common Stock to be exercised under this Agreement and, if applicable, an amended Agreement setting forth the remaining number of shares purchasable hereunder, as determined below (“</w:t>
      </w:r>
      <w:r>
        <w:rPr>
          <w:rFonts w:ascii="Times New Roman" w:cs="Times New Roman" w:eastAsia="Times New Roman" w:hAnsi="Times New Roman"/>
          <w:sz w:val="20"/>
          <w:szCs w:val="20"/>
          <w:u w:val="single" w:color="auto"/>
          <w:color w:val="auto"/>
        </w:rPr>
        <w:t>Net Issuance</w:t>
      </w:r>
      <w:r>
        <w:rPr>
          <w:rFonts w:ascii="Times New Roman" w:cs="Times New Roman" w:eastAsia="Times New Roman" w:hAnsi="Times New Roman"/>
          <w:sz w:val="20"/>
          <w:szCs w:val="20"/>
          <w:color w:val="auto"/>
        </w:rPr>
        <w:t>”). If the Warrantholder elects the Net Issuance method, the Company will issue shares of Common Stock in accordance with the following formula:</w:t>
      </w:r>
    </w:p>
    <w:p>
      <w:pPr>
        <w:spacing w:after="0" w:line="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9"/>
          <w:szCs w:val="39"/>
          <w:color w:val="auto"/>
          <w:vertAlign w:val="subscript"/>
        </w:rPr>
        <w:t>X =</w:t>
      </w:r>
      <w:r>
        <w:rPr>
          <w:rFonts w:ascii="Times New Roman" w:cs="Times New Roman" w:eastAsia="Times New Roman" w:hAnsi="Times New Roman"/>
          <w:sz w:val="20"/>
          <w:szCs w:val="20"/>
          <w:color w:val="auto"/>
        </w:rPr>
        <w:t xml:space="preserve">  Y(A-B)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-7620</wp:posOffset>
            </wp:positionV>
            <wp:extent cx="49720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0"/>
          <w:szCs w:val="20"/>
          <w:color w:val="auto"/>
        </w:rPr>
        <w:t>A</w:t>
      </w:r>
    </w:p>
    <w:p>
      <w:pPr>
        <w:spacing w:after="0" w:line="200" w:lineRule="exact"/>
        <w:rPr>
          <w:sz w:val="20"/>
          <w:szCs w:val="20"/>
          <w:color w:val="auto"/>
        </w:rPr>
      </w:pPr>
    </w:p>
    <w:p>
      <w:pPr>
        <w:spacing w:after="0" w:line="223" w:lineRule="exact"/>
        <w:rPr>
          <w:sz w:val="20"/>
          <w:szCs w:val="20"/>
          <w:color w:val="auto"/>
        </w:rPr>
      </w:pPr>
    </w:p>
    <w:p>
      <w:pPr>
        <w:spacing w:after="0"/>
        <w:tabs>
          <w:tab w:leader="none" w:pos="820" w:val="left"/>
          <w:tab w:leader="none" w:pos="1460" w:val="left"/>
        </w:tabs>
        <w:rPr>
          <w:sz w:val="20"/>
          <w:szCs w:val="20"/>
          <w:color w:val="auto"/>
        </w:rPr>
      </w:pPr>
      <w:r>
        <w:rPr>
          <w:rFonts w:ascii="Times New Roman" w:cs="Times New Roman" w:eastAsia="Times New Roman" w:hAnsi="Times New Roman"/>
          <w:sz w:val="20"/>
          <w:szCs w:val="20"/>
          <w:color w:val="auto"/>
        </w:rPr>
        <w:t>Where:</w:t>
        <w:tab/>
        <w:t>X =</w:t>
      </w:r>
      <w:r>
        <w:rPr>
          <w:sz w:val="20"/>
          <w:szCs w:val="20"/>
          <w:color w:val="auto"/>
        </w:rPr>
        <w:tab/>
      </w:r>
      <w:r>
        <w:rPr>
          <w:rFonts w:ascii="Times New Roman" w:cs="Times New Roman" w:eastAsia="Times New Roman" w:hAnsi="Times New Roman"/>
          <w:sz w:val="19"/>
          <w:szCs w:val="19"/>
          <w:color w:val="auto"/>
        </w:rPr>
        <w:t>the number of shares of Common Stock to be issued to the Warrantholder</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62" w:right="999" w:bottom="1440" w:gutter="0" w:footer="0" w:header="0"/>
        </w:sectPr>
      </w:pPr>
    </w:p>
    <w:bookmarkStart w:id="214" w:name="page215"/>
    <w:bookmarkEnd w:id="214"/>
    <w:p>
      <w:pPr>
        <w:ind w:left="840"/>
        <w:spacing w:after="0"/>
        <w:tabs>
          <w:tab w:leader="none" w:pos="1460" w:val="left"/>
        </w:tabs>
        <w:rPr>
          <w:sz w:val="20"/>
          <w:szCs w:val="20"/>
          <w:color w:val="auto"/>
        </w:rPr>
      </w:pPr>
      <w:r>
        <w:rPr>
          <w:rFonts w:ascii="Times New Roman" w:cs="Times New Roman" w:eastAsia="Times New Roman" w:hAnsi="Times New Roman"/>
          <w:sz w:val="20"/>
          <w:szCs w:val="20"/>
          <w:color w:val="auto"/>
        </w:rPr>
        <w:t>Y =</w:t>
      </w:r>
      <w:r>
        <w:rPr>
          <w:sz w:val="20"/>
          <w:szCs w:val="20"/>
          <w:color w:val="auto"/>
        </w:rPr>
        <w:tab/>
      </w:r>
      <w:r>
        <w:rPr>
          <w:rFonts w:ascii="Times New Roman" w:cs="Times New Roman" w:eastAsia="Times New Roman" w:hAnsi="Times New Roman"/>
          <w:sz w:val="19"/>
          <w:szCs w:val="19"/>
          <w:color w:val="auto"/>
        </w:rPr>
        <w:t>the number of shares of Common Stock requested to be exercised under this Agreement.</w:t>
      </w:r>
    </w:p>
    <w:p>
      <w:pPr>
        <w:spacing w:after="0" w:line="108" w:lineRule="exact"/>
        <w:rPr>
          <w:sz w:val="20"/>
          <w:szCs w:val="20"/>
          <w:color w:val="auto"/>
        </w:rPr>
      </w:pPr>
    </w:p>
    <w:p>
      <w:pPr>
        <w:ind w:left="840" w:right="620"/>
        <w:spacing w:after="0" w:line="269" w:lineRule="auto"/>
        <w:rPr>
          <w:sz w:val="20"/>
          <w:szCs w:val="20"/>
          <w:color w:val="auto"/>
        </w:rPr>
      </w:pPr>
      <w:r>
        <w:rPr>
          <w:rFonts w:ascii="Times New Roman" w:cs="Times New Roman" w:eastAsia="Times New Roman" w:hAnsi="Times New Roman"/>
          <w:sz w:val="20"/>
          <w:szCs w:val="20"/>
          <w:color w:val="auto"/>
        </w:rPr>
        <w:t>A = the then-current fair market value of one (1) share of Common Stock at the time of exercise of this Warrant.</w:t>
      </w:r>
    </w:p>
    <w:p>
      <w:pPr>
        <w:spacing w:after="0" w:line="51" w:lineRule="exact"/>
        <w:rPr>
          <w:sz w:val="20"/>
          <w:szCs w:val="20"/>
          <w:color w:val="auto"/>
        </w:rPr>
      </w:pPr>
    </w:p>
    <w:p>
      <w:pPr>
        <w:ind w:left="840"/>
        <w:spacing w:after="0"/>
        <w:tabs>
          <w:tab w:leader="none" w:pos="1460" w:val="left"/>
        </w:tabs>
        <w:rPr>
          <w:sz w:val="20"/>
          <w:szCs w:val="20"/>
          <w:color w:val="auto"/>
        </w:rPr>
      </w:pPr>
      <w:r>
        <w:rPr>
          <w:rFonts w:ascii="Times New Roman" w:cs="Times New Roman" w:eastAsia="Times New Roman" w:hAnsi="Times New Roman"/>
          <w:sz w:val="20"/>
          <w:szCs w:val="20"/>
          <w:color w:val="auto"/>
        </w:rPr>
        <w:t>B =</w:t>
      </w:r>
      <w:r>
        <w:rPr>
          <w:sz w:val="20"/>
          <w:szCs w:val="20"/>
          <w:color w:val="auto"/>
        </w:rPr>
        <w:tab/>
      </w:r>
      <w:r>
        <w:rPr>
          <w:rFonts w:ascii="Times New Roman" w:cs="Times New Roman" w:eastAsia="Times New Roman" w:hAnsi="Times New Roman"/>
          <w:sz w:val="19"/>
          <w:szCs w:val="19"/>
          <w:color w:val="auto"/>
        </w:rPr>
        <w:t>the then-effective Exercise Price.</w:t>
      </w:r>
    </w:p>
    <w:p>
      <w:pPr>
        <w:spacing w:after="0" w:line="216" w:lineRule="exact"/>
        <w:rPr>
          <w:sz w:val="20"/>
          <w:szCs w:val="20"/>
          <w:color w:val="auto"/>
        </w:rPr>
      </w:pPr>
    </w:p>
    <w:p>
      <w:pPr>
        <w:ind w:right="360" w:firstLine="648"/>
        <w:spacing w:after="0" w:line="269" w:lineRule="auto"/>
        <w:rPr>
          <w:sz w:val="20"/>
          <w:szCs w:val="20"/>
          <w:color w:val="auto"/>
        </w:rPr>
      </w:pPr>
      <w:r>
        <w:rPr>
          <w:rFonts w:ascii="Times New Roman" w:cs="Times New Roman" w:eastAsia="Times New Roman" w:hAnsi="Times New Roman"/>
          <w:sz w:val="20"/>
          <w:szCs w:val="20"/>
          <w:color w:val="auto"/>
        </w:rPr>
        <w:t>For purposes of the above calculation, the current fair market value of shares of Common Stock shall mean with respect to each share of Common Stock:</w:t>
      </w:r>
    </w:p>
    <w:p>
      <w:pPr>
        <w:spacing w:after="0" w:line="159" w:lineRule="exact"/>
        <w:rPr>
          <w:sz w:val="20"/>
          <w:szCs w:val="20"/>
          <w:color w:val="auto"/>
        </w:rPr>
      </w:pPr>
    </w:p>
    <w:p>
      <w:pPr>
        <w:ind w:right="240" w:firstLine="656"/>
        <w:spacing w:after="0" w:line="254" w:lineRule="auto"/>
        <w:tabs>
          <w:tab w:leader="none" w:pos="1296"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when the Common Stock is traded on a national securities exchange, inter-dealer quotation system or over-the-counter bulletin board service, the average of the closing prices over a five (5) day period ending three days before the day the current fair market value of the securities is being determined;</w:t>
      </w:r>
    </w:p>
    <w:p>
      <w:pPr>
        <w:spacing w:after="0" w:line="174" w:lineRule="exact"/>
        <w:rPr>
          <w:rFonts w:ascii="Times New Roman" w:cs="Times New Roman" w:eastAsia="Times New Roman" w:hAnsi="Times New Roman"/>
          <w:sz w:val="20"/>
          <w:szCs w:val="20"/>
          <w:color w:val="auto"/>
        </w:rPr>
      </w:pPr>
    </w:p>
    <w:p>
      <w:pPr>
        <w:ind w:right="20" w:firstLine="656"/>
        <w:spacing w:after="0" w:line="249" w:lineRule="auto"/>
        <w:tabs>
          <w:tab w:leader="none" w:pos="1296"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exercise is in connection with a Merger Event, the fair market value of a share of Common Stock shall be deemed to be the per share value received by the holders of the outstanding shares of Common Stock pursuant to such Merger Event as determined in accordance with the definitive transaction documents executed among the parties in connection therewith; or</w:t>
      </w:r>
    </w:p>
    <w:p>
      <w:pPr>
        <w:spacing w:after="0" w:line="179" w:lineRule="exact"/>
        <w:rPr>
          <w:rFonts w:ascii="Times New Roman" w:cs="Times New Roman" w:eastAsia="Times New Roman" w:hAnsi="Times New Roman"/>
          <w:sz w:val="20"/>
          <w:szCs w:val="20"/>
          <w:color w:val="auto"/>
        </w:rPr>
      </w:pPr>
    </w:p>
    <w:p>
      <w:pPr>
        <w:ind w:right="140" w:firstLine="656"/>
        <w:spacing w:after="0" w:line="269" w:lineRule="auto"/>
        <w:tabs>
          <w:tab w:leader="none" w:pos="1296"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cases other than as described in the foregoing clauses (i) and (ii), the current fair market value of a share of Common Stock shall be determined in good faith by the Company’s Board of Directors.</w:t>
      </w:r>
    </w:p>
    <w:p>
      <w:pPr>
        <w:spacing w:after="0" w:line="159" w:lineRule="exact"/>
        <w:rPr>
          <w:sz w:val="20"/>
          <w:szCs w:val="20"/>
          <w:color w:val="auto"/>
        </w:rPr>
      </w:pPr>
    </w:p>
    <w:p>
      <w:pPr>
        <w:ind w:right="100" w:firstLine="648"/>
        <w:spacing w:after="0" w:line="249" w:lineRule="auto"/>
        <w:rPr>
          <w:sz w:val="20"/>
          <w:szCs w:val="20"/>
          <w:color w:val="auto"/>
        </w:rPr>
      </w:pPr>
      <w:r>
        <w:rPr>
          <w:rFonts w:ascii="Times New Roman" w:cs="Times New Roman" w:eastAsia="Times New Roman" w:hAnsi="Times New Roman"/>
          <w:sz w:val="20"/>
          <w:szCs w:val="20"/>
          <w:color w:val="auto"/>
        </w:rPr>
        <w:t>Upon partial exercise by either cash or Net Issuance, prior to the expiration or earlier termination hereof, the Company shall promptly issue an amended Agreement representing the remaining number of shares purchasable hereunder. All other terms and conditions of such amended Agreement shall be identical to those contained herein, including, but not limited to the date hereof.</w:t>
      </w:r>
    </w:p>
    <w:p>
      <w:pPr>
        <w:spacing w:after="0" w:line="180" w:lineRule="exact"/>
        <w:rPr>
          <w:sz w:val="20"/>
          <w:szCs w:val="20"/>
          <w:color w:val="auto"/>
        </w:rPr>
      </w:pPr>
    </w:p>
    <w:p>
      <w:pPr>
        <w:ind w:right="40" w:firstLine="656"/>
        <w:spacing w:after="0" w:line="242" w:lineRule="auto"/>
        <w:tabs>
          <w:tab w:leader="none" w:pos="1296"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Prior to Expiration</w:t>
      </w:r>
      <w:r>
        <w:rPr>
          <w:rFonts w:ascii="Times New Roman" w:cs="Times New Roman" w:eastAsia="Times New Roman" w:hAnsi="Times New Roman"/>
          <w:sz w:val="20"/>
          <w:szCs w:val="20"/>
          <w:color w:val="auto"/>
        </w:rPr>
        <w:t>. To the extent this Warrant is not previously exercised as to all shares of Common Stock subject hereto, and if the then-current fair market value of one share of Common Stock is greater than the Exercise Price then in effect, or, in the case of a Liquid Sale, where the value per share of Common Stock (as determined as of the closing of such Liquid Sale in accordance with the definitive agreements executed by the parties in connection with such Merger Event) to be paid to the holders thereof is greater than the Exercise Price then in effect, this Agreement shall be deemed automatically exercised on a Net Issuance basis pursuant to Section 3(a) (even if not surrendered) as of immediately before its expiration determined in accordance with Section 2. For purposes of such automatic exercise, the fair market value of one share of Common Stock upon such expiration shall be determined pursuant to Section 3(a). To the extent this Warrant or any portion hereof is deemed automatically exercised pursuant to this Section 3(b), the Company agrees to promptly notify the Warrantholder of the number of shares of Common Stock if any, the Warrantholder is to receive by reason of such automatic exercise, and to issue or cause its transfer agent to issue a certificate or a book-entry credit to the Warrantholder evidencing such shares.</w:t>
      </w:r>
    </w:p>
    <w:p>
      <w:pPr>
        <w:spacing w:after="0" w:line="183"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19"/>
          <w:szCs w:val="19"/>
          <w:color w:val="auto"/>
        </w:rPr>
        <w:t>RESERVATION OF SHARES.</w:t>
      </w:r>
    </w:p>
    <w:p>
      <w:pPr>
        <w:spacing w:after="0" w:line="220"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During the term of this Agreement, the Company will at all times have authorized and reserved a sufficient number of shares of its Common Stock to provide for the exercise of the rights to purchase Common Stock as provided for herein. If at any time during the term hereof the number of authorized but unissued shares of Common Stock shall not be sufficient to permit exercise of this Warrant in full, the Company will take such corporate action as may, in the opinion of its counsel, be necessary to increase its authorized but unissued shares of Common Stock to such number of shares as shall be sufficient for such purposes.</w:t>
      </w:r>
    </w:p>
    <w:p>
      <w:pPr>
        <w:spacing w:after="0" w:line="18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19"/>
          <w:szCs w:val="19"/>
          <w:color w:val="auto"/>
        </w:rPr>
        <w:t>NO FRACTIONAL SHARES OR SCRIP.</w:t>
      </w:r>
    </w:p>
    <w:p>
      <w:pPr>
        <w:spacing w:after="0" w:line="220"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20"/>
          <w:szCs w:val="20"/>
          <w:color w:val="auto"/>
        </w:rPr>
        <w:t>No fractional shares or scrip representing fractional shares shall be issued upon the exercise of this Agreement, but in lieu of such fractional shares the Company shall make a cash payment therefor in an amount equal to the product of (a) the Exercise Price then in effect multiplied by (b) the fraction of a share.</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333" w:right="1019" w:bottom="1440" w:gutter="0" w:footer="0" w:header="0"/>
        </w:sectPr>
      </w:pPr>
    </w:p>
    <w:bookmarkStart w:id="215" w:name="page216"/>
    <w:bookmarkEnd w:id="215"/>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6.</w:t>
      </w:r>
      <w:r>
        <w:rPr>
          <w:sz w:val="20"/>
          <w:szCs w:val="20"/>
          <w:color w:val="auto"/>
        </w:rPr>
        <w:tab/>
      </w:r>
      <w:r>
        <w:rPr>
          <w:rFonts w:ascii="Times New Roman" w:cs="Times New Roman" w:eastAsia="Times New Roman" w:hAnsi="Times New Roman"/>
          <w:sz w:val="19"/>
          <w:szCs w:val="19"/>
          <w:color w:val="auto"/>
        </w:rPr>
        <w:t>NO RIGHTS AS SHAREHOLDER/STOCKHOLDER.</w:t>
      </w:r>
    </w:p>
    <w:p>
      <w:pPr>
        <w:spacing w:after="0" w:line="219"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20"/>
          <w:szCs w:val="20"/>
          <w:color w:val="auto"/>
        </w:rPr>
        <w:t>Without limitation of any provision hereof, the Warrantholder agrees that this Agreement does not entitle the Warrantholder to any voting rights or other rights as a shareholder/stockholder of the Company prior to the exercise of any of the purchase rights set forth in this Agreement.</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7.</w:t>
      </w:r>
      <w:r>
        <w:rPr>
          <w:sz w:val="20"/>
          <w:szCs w:val="20"/>
          <w:color w:val="auto"/>
        </w:rPr>
        <w:tab/>
      </w:r>
      <w:r>
        <w:rPr>
          <w:rFonts w:ascii="Times New Roman" w:cs="Times New Roman" w:eastAsia="Times New Roman" w:hAnsi="Times New Roman"/>
          <w:sz w:val="19"/>
          <w:szCs w:val="19"/>
          <w:color w:val="auto"/>
        </w:rPr>
        <w:t>WARRANTHOLDER REGISTRY.</w:t>
      </w:r>
    </w:p>
    <w:p>
      <w:pPr>
        <w:spacing w:after="0" w:line="220" w:lineRule="exact"/>
        <w:rPr>
          <w:sz w:val="20"/>
          <w:szCs w:val="20"/>
          <w:color w:val="auto"/>
        </w:rPr>
      </w:pPr>
    </w:p>
    <w:p>
      <w:pPr>
        <w:jc w:val="both"/>
        <w:ind w:right="280" w:firstLine="648"/>
        <w:spacing w:after="0" w:line="254" w:lineRule="auto"/>
        <w:rPr>
          <w:sz w:val="20"/>
          <w:szCs w:val="20"/>
          <w:color w:val="auto"/>
        </w:rPr>
      </w:pPr>
      <w:r>
        <w:rPr>
          <w:rFonts w:ascii="Times New Roman" w:cs="Times New Roman" w:eastAsia="Times New Roman" w:hAnsi="Times New Roman"/>
          <w:sz w:val="20"/>
          <w:szCs w:val="20"/>
          <w:color w:val="auto"/>
        </w:rPr>
        <w:t>The Company shall maintain a registry showing the name and address of the registered holder of this Agreement. The Warrantholder’s initial address, for purposes of such registry, is set forth in Section 12(g) below. The Warrantholder may change such address by giving written notice of such changed address to the Company.</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8.</w:t>
      </w:r>
      <w:r>
        <w:rPr>
          <w:sz w:val="20"/>
          <w:szCs w:val="20"/>
          <w:color w:val="auto"/>
        </w:rPr>
        <w:tab/>
      </w:r>
      <w:r>
        <w:rPr>
          <w:rFonts w:ascii="Times New Roman" w:cs="Times New Roman" w:eastAsia="Times New Roman" w:hAnsi="Times New Roman"/>
          <w:sz w:val="19"/>
          <w:szCs w:val="19"/>
          <w:color w:val="auto"/>
        </w:rPr>
        <w:t>ADJUSTMENT RIGHTS.</w:t>
      </w:r>
    </w:p>
    <w:p>
      <w:pPr>
        <w:spacing w:after="0" w:line="220" w:lineRule="exact"/>
        <w:rPr>
          <w:sz w:val="20"/>
          <w:szCs w:val="20"/>
          <w:color w:val="auto"/>
        </w:rPr>
      </w:pPr>
    </w:p>
    <w:p>
      <w:pPr>
        <w:ind w:right="360" w:firstLine="648"/>
        <w:spacing w:after="0" w:line="269" w:lineRule="auto"/>
        <w:rPr>
          <w:sz w:val="20"/>
          <w:szCs w:val="20"/>
          <w:color w:val="auto"/>
        </w:rPr>
      </w:pPr>
      <w:r>
        <w:rPr>
          <w:rFonts w:ascii="Times New Roman" w:cs="Times New Roman" w:eastAsia="Times New Roman" w:hAnsi="Times New Roman"/>
          <w:sz w:val="20"/>
          <w:szCs w:val="20"/>
          <w:color w:val="auto"/>
        </w:rPr>
        <w:t>The Exercise Price and the number of shares of Common Stock purchasable hereunder are subject to adjustment from time to time, as follows:</w:t>
      </w:r>
    </w:p>
    <w:p>
      <w:pPr>
        <w:spacing w:after="0" w:line="159" w:lineRule="exact"/>
        <w:rPr>
          <w:sz w:val="20"/>
          <w:szCs w:val="20"/>
          <w:color w:val="auto"/>
        </w:rPr>
      </w:pPr>
    </w:p>
    <w:p>
      <w:pPr>
        <w:ind w:right="40" w:firstLine="1304"/>
        <w:spacing w:after="0" w:line="241" w:lineRule="auto"/>
        <w:tabs>
          <w:tab w:leader="none" w:pos="194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Merger Event</w:t>
      </w:r>
      <w:r>
        <w:rPr>
          <w:rFonts w:ascii="Times New Roman" w:cs="Times New Roman" w:eastAsia="Times New Roman" w:hAnsi="Times New Roman"/>
          <w:sz w:val="20"/>
          <w:szCs w:val="20"/>
          <w:color w:val="auto"/>
        </w:rPr>
        <w:t>. In connection with a Merger Event that is a Liquid Sale, this Warrant shall, on and after the closing thereof, automatically and without further action on the part of any party or other person, represent the right to receive the consideration payable on or in respect of all shares of Common Stock that are issuable hereunder as of immediately prior to the closing of such Merger Event less the Purchase Price for all such shares of Common Stock (such consideration to include both the consideration payable at the closing of such Merger Event and all deferred consideration payable thereafter, if any, including, but not limited to, payments of amounts deposited at such closing into escrow and payments in the nature of earn-outs, milestone payments or other performance-based payments), and such Merger Event consideration shall be paid to the Warrantholder as and when it is paid to the holders of the outstanding shares of Common Stock. In connection with a Merger Event that is not a Liquid Sale, the Company shall cause the successor or surviving entity to assume this Warrant and the obligations of the Company hereunder on the closing thereof, and thereafter this Warrant shall be exercisable for the same number and type of securities or other property as the Warrantholder would have received in consideration for the shares of Common Stock issuable hereunder had it exercised this Warrant in full as of immediately prior to such closing, at an aggregate Exercise Price no greater than the aggregate Exercise Price in effect as of immediately prior to such closing, and subject to further adjustment from time to time in accordance with the provisions of this Warrant. The provisions of this Section 8(a) shall similarly apply to successive Merger Events.</w:t>
      </w:r>
    </w:p>
    <w:p>
      <w:pPr>
        <w:spacing w:after="0" w:line="194" w:lineRule="exact"/>
        <w:rPr>
          <w:rFonts w:ascii="Times New Roman" w:cs="Times New Roman" w:eastAsia="Times New Roman" w:hAnsi="Times New Roman"/>
          <w:sz w:val="20"/>
          <w:szCs w:val="20"/>
          <w:color w:val="auto"/>
        </w:rPr>
      </w:pPr>
    </w:p>
    <w:p>
      <w:pPr>
        <w:ind w:firstLine="1304"/>
        <w:spacing w:after="0" w:line="243" w:lineRule="auto"/>
        <w:tabs>
          <w:tab w:leader="none" w:pos="194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Reclassification of Shares</w:t>
      </w:r>
      <w:r>
        <w:rPr>
          <w:rFonts w:ascii="Times New Roman" w:cs="Times New Roman" w:eastAsia="Times New Roman" w:hAnsi="Times New Roman"/>
          <w:sz w:val="20"/>
          <w:szCs w:val="20"/>
          <w:color w:val="auto"/>
        </w:rPr>
        <w:t>. Except for Merger Events subject to Section 8(a), if the Company at any time shall, by combination, reclassification, exchange or subdivision of securities or otherwise, change any of the securities as to which purchase rights under this Agreement exist into the same or a different number of securities of any other class or classes of securities, this Agreement shall thereafter represent the right to acquire such number and kind of securities as would have been issuable as the result of such change with respect to the securities which were subject to the purchase rights under this Agreement immediately prior to such combination, reclassification, exchange, subdivision or other change. The provisions of this Section 8(b) shall similarly apply to successive combination, reclassification, exchange, subdivision or other change.</w:t>
      </w:r>
    </w:p>
    <w:p>
      <w:pPr>
        <w:spacing w:after="0" w:line="189" w:lineRule="exact"/>
        <w:rPr>
          <w:rFonts w:ascii="Times New Roman" w:cs="Times New Roman" w:eastAsia="Times New Roman" w:hAnsi="Times New Roman"/>
          <w:sz w:val="20"/>
          <w:szCs w:val="20"/>
          <w:color w:val="auto"/>
        </w:rPr>
      </w:pPr>
    </w:p>
    <w:p>
      <w:pPr>
        <w:ind w:right="180" w:firstLine="1304"/>
        <w:spacing w:after="0" w:line="246" w:lineRule="auto"/>
        <w:tabs>
          <w:tab w:leader="none" w:pos="194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Subdivision or Combination of Shares</w:t>
      </w:r>
      <w:r>
        <w:rPr>
          <w:rFonts w:ascii="Times New Roman" w:cs="Times New Roman" w:eastAsia="Times New Roman" w:hAnsi="Times New Roman"/>
          <w:sz w:val="20"/>
          <w:szCs w:val="20"/>
          <w:color w:val="auto"/>
        </w:rPr>
        <w:t>. If the Company at any time shall combine or subdivide its Common Stock, (i) in the case of a subdivision, the Exercise Price shall be proportionately decreased and the number of shares for which this Warrant is exercisable shall be proportionately increased, or (ii) in the case of a combination, the Exercise Price shall be proportionately increased and the number of shares for which this Warrant is exercisable shall be proportionately decreased.</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4" w:right="1019" w:bottom="1440" w:gutter="0" w:footer="0" w:header="0"/>
        </w:sectPr>
      </w:pPr>
    </w:p>
    <w:bookmarkStart w:id="216" w:name="page217"/>
    <w:bookmarkEnd w:id="216"/>
    <w:p>
      <w:pPr>
        <w:ind w:left="1952" w:hanging="656"/>
        <w:spacing w:after="0"/>
        <w:tabs>
          <w:tab w:leader="none" w:pos="1952"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 If the Company at any time while this Agreement is outstanding and unexpired shall:</w:t>
      </w:r>
    </w:p>
    <w:p>
      <w:pPr>
        <w:spacing w:after="0" w:line="214" w:lineRule="exact"/>
        <w:rPr>
          <w:rFonts w:ascii="Times New Roman" w:cs="Times New Roman" w:eastAsia="Times New Roman" w:hAnsi="Times New Roman"/>
          <w:sz w:val="20"/>
          <w:szCs w:val="20"/>
          <w:color w:val="auto"/>
        </w:rPr>
      </w:pPr>
    </w:p>
    <w:p>
      <w:pPr>
        <w:ind w:left="-8" w:right="40" w:firstLine="1952"/>
        <w:spacing w:after="0" w:line="244" w:lineRule="auto"/>
        <w:tabs>
          <w:tab w:leader="none" w:pos="2584"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a dividend with respect to the Common Stock payable in additional shares of Common Stock, then the Exercise Price shall be adjusted, from and after the date of determination of stockholders entitled to receive such dividend, to that price determined by multiplying the Exercise Price in effect immediately prior to such date of determination by a fraction (A) the numerator of which shall be the total number of shares of Common Stock outstanding immediately prior to such dividend or distribution, and (B) the denominator of which shall be the total number of shares of Common Stock outstanding immediately after such dividend or distribution, and the number of shares of Common Stock for which this Warrant is exercisable shall be proportionately increased; or</w:t>
      </w:r>
    </w:p>
    <w:p>
      <w:pPr>
        <w:spacing w:after="0" w:line="185" w:lineRule="exact"/>
        <w:rPr>
          <w:rFonts w:ascii="Times New Roman" w:cs="Times New Roman" w:eastAsia="Times New Roman" w:hAnsi="Times New Roman"/>
          <w:sz w:val="20"/>
          <w:szCs w:val="20"/>
          <w:color w:val="auto"/>
        </w:rPr>
      </w:pPr>
    </w:p>
    <w:p>
      <w:pPr>
        <w:ind w:left="-8" w:right="240" w:firstLine="1952"/>
        <w:spacing w:after="0" w:line="245" w:lineRule="auto"/>
        <w:tabs>
          <w:tab w:leader="none" w:pos="2583"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other dividend or distribution on or with respect to Common Stock, except any dividend or distribution specifically provided for in any other clause of this Section 8, then, in each such case, provision shall be made by the Company such that the Warrantholder shall receive upon exercise or conversion of this Warrant a proportionate share of any such dividend or distribution as though it were the holder of the Common Stock (or other stock for which the Common Stock is convertible) as of the record date fixed for the determination of the stockholders of the Company entitled to receive such dividend or distribution.</w:t>
      </w:r>
    </w:p>
    <w:p>
      <w:pPr>
        <w:spacing w:after="0" w:line="184" w:lineRule="exact"/>
        <w:rPr>
          <w:rFonts w:ascii="Times New Roman" w:cs="Times New Roman" w:eastAsia="Times New Roman" w:hAnsi="Times New Roman"/>
          <w:sz w:val="20"/>
          <w:szCs w:val="20"/>
          <w:color w:val="auto"/>
        </w:rPr>
      </w:pPr>
    </w:p>
    <w:p>
      <w:pPr>
        <w:ind w:left="-8" w:right="100" w:firstLine="1304"/>
        <w:spacing w:after="0" w:line="242" w:lineRule="auto"/>
        <w:tabs>
          <w:tab w:leader="none" w:pos="1936"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Certain Events</w:t>
      </w:r>
      <w:r>
        <w:rPr>
          <w:rFonts w:ascii="Times New Roman" w:cs="Times New Roman" w:eastAsia="Times New Roman" w:hAnsi="Times New Roman"/>
          <w:sz w:val="20"/>
          <w:szCs w:val="20"/>
          <w:color w:val="auto"/>
        </w:rPr>
        <w:t>. If: (i) the Company shall declare any dividend or distribution upon its outstanding Common Stock, payable in stock, cash, property or other securities (provided that the Warrantholder in its capacity as lender under the Loan Agreement consents to such dividend); (ii) the Company shall offer for subscription pro rata to the holders of its Common Stock any additional shares of stock of any class or other rights; (iii) there shall be any Merger Event; or (iv) there shall be any voluntary dissolution, liquidation or winding up of the Company; then, in connection with each such event, the Company shall give the Warrantholder notice thereof at the same time and in the same manner as it gives notice thereof to the holders of outstanding Common Stock. In addition, if at any time the number of shares of Common Stock (or other securities of any other class or classes of securities of the Company for which this Warrant is then exercisable) outstanding is reduced such that the number of shares of Common Stock or other securities issuable upon exercise of this Warrant shall exceed five percent (5%) of the then outstanding class of such securities, then, within three (3) business days of such event, the Company shall give the Warrantholder written notice thereof.</w:t>
      </w:r>
    </w:p>
    <w:p>
      <w:pPr>
        <w:spacing w:after="0" w:line="186" w:lineRule="exact"/>
        <w:rPr>
          <w:sz w:val="20"/>
          <w:szCs w:val="20"/>
          <w:color w:val="auto"/>
        </w:rPr>
      </w:pPr>
    </w:p>
    <w:p>
      <w:pPr>
        <w:ind w:left="1132"/>
        <w:spacing w:after="0"/>
        <w:tabs>
          <w:tab w:leader="none" w:pos="2571" w:val="left"/>
        </w:tabs>
        <w:rPr>
          <w:sz w:val="20"/>
          <w:szCs w:val="20"/>
          <w:color w:val="auto"/>
        </w:rPr>
      </w:pPr>
      <w:r>
        <w:rPr>
          <w:rFonts w:ascii="Times New Roman" w:cs="Times New Roman" w:eastAsia="Times New Roman" w:hAnsi="Times New Roman"/>
          <w:sz w:val="20"/>
          <w:szCs w:val="20"/>
          <w:b w:val="1"/>
          <w:bCs w:val="1"/>
          <w:color w:val="auto"/>
        </w:rPr>
        <w:t>SECTION 9.</w:t>
      </w:r>
      <w:r>
        <w:rPr>
          <w:sz w:val="20"/>
          <w:szCs w:val="20"/>
          <w:color w:val="auto"/>
        </w:rPr>
        <w:tab/>
      </w:r>
      <w:r>
        <w:rPr>
          <w:rFonts w:ascii="Times New Roman" w:cs="Times New Roman" w:eastAsia="Times New Roman" w:hAnsi="Times New Roman"/>
          <w:sz w:val="19"/>
          <w:szCs w:val="19"/>
          <w:color w:val="auto"/>
        </w:rPr>
        <w:t>REPRESENTATIONS, WARRANTIES AND COVENANTS OF THE COMPANY.</w:t>
      </w:r>
    </w:p>
    <w:p>
      <w:pPr>
        <w:spacing w:after="0" w:line="220" w:lineRule="exact"/>
        <w:rPr>
          <w:sz w:val="20"/>
          <w:szCs w:val="20"/>
          <w:color w:val="auto"/>
        </w:rPr>
      </w:pPr>
    </w:p>
    <w:p>
      <w:pPr>
        <w:ind w:left="-8" w:right="40" w:firstLine="656"/>
        <w:spacing w:after="0" w:line="242" w:lineRule="auto"/>
        <w:tabs>
          <w:tab w:leader="none" w:pos="964"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Reservation of Common Stock</w:t>
      </w:r>
      <w:r>
        <w:rPr>
          <w:rFonts w:ascii="Times New Roman" w:cs="Times New Roman" w:eastAsia="Times New Roman" w:hAnsi="Times New Roman"/>
          <w:sz w:val="20"/>
          <w:szCs w:val="20"/>
          <w:color w:val="auto"/>
        </w:rPr>
        <w:t>. The Company covenants and agrees that all shares of Common Stock that may be issued upon the exercise of the rights represented by this Warrant will, upon issuance, be validly issued and outstanding, fully paid and non-assessable, and will be free of any taxes, liens, charges or encumbrances of any nature whatsoever; provided, that the Common Stock issuable pursuant to this Agreement may be subject to restrictions on transfer under state and/or federal securities laws. The Company has made available to the Warrantholder true, correct and complete copies of its Charter and bylaws currently in effect. The issuance of certificates or book-entry credit for shares of Common Stock upon exercise of this Warrant shall be made without charge to the Warrantholder for any issuance tax in respect thereof, or other cost incurred by the Company in connection with such exercise and related issuance of shares of Common Stock. The Company further covenants and agrees that the Company will, at all times during the term hereof, have authorized and reserved, free from preemptive rights, a sufficient number of shares of Common Stock to provide for the exercise of the rights represented by this Warrant.</w:t>
      </w:r>
    </w:p>
    <w:p>
      <w:pPr>
        <w:spacing w:after="0" w:line="189" w:lineRule="exact"/>
        <w:rPr>
          <w:rFonts w:ascii="Times New Roman" w:cs="Times New Roman" w:eastAsia="Times New Roman" w:hAnsi="Times New Roman"/>
          <w:sz w:val="20"/>
          <w:szCs w:val="20"/>
          <w:color w:val="auto"/>
        </w:rPr>
      </w:pPr>
    </w:p>
    <w:p>
      <w:pPr>
        <w:jc w:val="both"/>
        <w:ind w:left="-8" w:right="140" w:firstLine="656"/>
        <w:spacing w:after="0" w:line="260" w:lineRule="auto"/>
        <w:tabs>
          <w:tab w:leader="none" w:pos="964" w:val="left"/>
        </w:tabs>
        <w:numPr>
          <w:ilvl w:val="1"/>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Due Authority</w:t>
      </w:r>
      <w:r>
        <w:rPr>
          <w:rFonts w:ascii="Times New Roman" w:cs="Times New Roman" w:eastAsia="Times New Roman" w:hAnsi="Times New Roman"/>
          <w:sz w:val="19"/>
          <w:szCs w:val="19"/>
          <w:color w:val="auto"/>
        </w:rPr>
        <w:t>. The execution and delivery by the Company of this Agreement and the performance of all obligations of the Company hereunder, including the issuance to the Warrantholder of the right to acquire the shares of Common Stock, have been duly authorized by all necessary corporate action on the part of the Company. This Agreement:</w:t>
      </w:r>
    </w:p>
    <w:p>
      <w:pPr>
        <w:ind w:left="-8" w:firstLine="8"/>
        <w:spacing w:after="0"/>
        <w:tabs>
          <w:tab w:leader="none" w:pos="228"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violate the Charter or the Company’s current bylaws; (ii) does not contravene any law or governmental rule, regulation or order applicable to the Company; and (iii) except as could not reasonably be expected to have a Material Adverse Effect (as defined in the Loan Agreement), does not and will not contravene any provision of, or constitute a default under, any indenture, mortgage, contract or other instrument to which the Company is a party or by which it is bound. This Agreement constitutes a legal, valid and binding agreement of the Company, enforceable in accordance with its terms, except as may be limited by bankruptcy, insolvency, reorganization, moratorium or similar</w:t>
      </w: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92"/>
          </w:cols>
          <w:pgMar w:left="988" w:top="118" w:right="1019" w:bottom="1440" w:gutter="0" w:footer="0" w:header="0"/>
        </w:sectPr>
      </w:pPr>
    </w:p>
    <w:bookmarkStart w:id="217" w:name="page218"/>
    <w:bookmarkEnd w:id="217"/>
    <w:p>
      <w:pPr>
        <w:ind w:right="300"/>
        <w:spacing w:after="0" w:line="268" w:lineRule="auto"/>
        <w:rPr>
          <w:sz w:val="20"/>
          <w:szCs w:val="20"/>
          <w:color w:val="auto"/>
        </w:rPr>
      </w:pPr>
      <w:r>
        <w:rPr>
          <w:rFonts w:ascii="Times New Roman" w:cs="Times New Roman" w:eastAsia="Times New Roman" w:hAnsi="Times New Roman"/>
          <w:sz w:val="20"/>
          <w:szCs w:val="20"/>
          <w:color w:val="auto"/>
        </w:rPr>
        <w:t>laws relating to or affecting creditors’ rights generally (including, without limitation, fraudulent conveyance laws) and by general principles of equity, regardless of whether considered in a proceeding in equity or at law.</w:t>
      </w:r>
    </w:p>
    <w:p>
      <w:pPr>
        <w:spacing w:after="0" w:line="161" w:lineRule="exact"/>
        <w:rPr>
          <w:sz w:val="20"/>
          <w:szCs w:val="20"/>
          <w:color w:val="auto"/>
        </w:rPr>
      </w:pPr>
    </w:p>
    <w:p>
      <w:pPr>
        <w:ind w:right="20" w:firstLine="656"/>
        <w:spacing w:after="0" w:line="246" w:lineRule="auto"/>
        <w:tabs>
          <w:tab w:leader="none" w:pos="972"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Consents and Approvals</w:t>
      </w:r>
      <w:r>
        <w:rPr>
          <w:rFonts w:ascii="Times New Roman" w:cs="Times New Roman" w:eastAsia="Times New Roman" w:hAnsi="Times New Roman"/>
          <w:sz w:val="20"/>
          <w:szCs w:val="20"/>
          <w:color w:val="auto"/>
        </w:rPr>
        <w:t>. No consent or approval of, giving of notice to, registration with, or taking of any other action in respect of any state, federal or other governmental authority or agency is required with respect to the execution, delivery and performance by the Company of its obligations under this Agreement, except for the filing of notices pursuant to Regulation D under the Act and any filing required by applicable state securities law, which filings will be effective by the time required thereby.</w:t>
      </w:r>
    </w:p>
    <w:p>
      <w:pPr>
        <w:spacing w:after="0" w:line="184" w:lineRule="exact"/>
        <w:rPr>
          <w:rFonts w:ascii="Times New Roman" w:cs="Times New Roman" w:eastAsia="Times New Roman" w:hAnsi="Times New Roman"/>
          <w:sz w:val="20"/>
          <w:szCs w:val="20"/>
          <w:color w:val="auto"/>
        </w:rPr>
      </w:pPr>
    </w:p>
    <w:p>
      <w:pPr>
        <w:ind w:right="120" w:firstLine="656"/>
        <w:spacing w:after="0" w:line="249" w:lineRule="auto"/>
        <w:tabs>
          <w:tab w:leader="none" w:pos="972"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Exempt Transaction</w:t>
      </w:r>
      <w:r>
        <w:rPr>
          <w:rFonts w:ascii="Times New Roman" w:cs="Times New Roman" w:eastAsia="Times New Roman" w:hAnsi="Times New Roman"/>
          <w:sz w:val="20"/>
          <w:szCs w:val="20"/>
          <w:color w:val="auto"/>
        </w:rPr>
        <w:t>. Subject to the accuracy of the Warrantholder’s representations in Section 10, the issuance of the Common Stock upon exercise of this Agreement will constitute a transaction exempt from (i) the registration requirements of Section 5 of the Act, in reliance upon Section 4(a)(2) thereof, and (ii) the qualification requirements of the applicable state securities laws.</w:t>
      </w:r>
    </w:p>
    <w:p>
      <w:pPr>
        <w:spacing w:after="0" w:line="179" w:lineRule="exact"/>
        <w:rPr>
          <w:rFonts w:ascii="Times New Roman" w:cs="Times New Roman" w:eastAsia="Times New Roman" w:hAnsi="Times New Roman"/>
          <w:sz w:val="20"/>
          <w:szCs w:val="20"/>
          <w:color w:val="auto"/>
        </w:rPr>
      </w:pPr>
    </w:p>
    <w:p>
      <w:pPr>
        <w:ind w:right="20" w:firstLine="656"/>
        <w:spacing w:after="0" w:line="258" w:lineRule="auto"/>
        <w:tabs>
          <w:tab w:leader="none" w:pos="972" w:val="left"/>
        </w:tabs>
        <w:numPr>
          <w:ilvl w:val="1"/>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Information Rights</w:t>
      </w:r>
      <w:r>
        <w:rPr>
          <w:rFonts w:ascii="Times New Roman" w:cs="Times New Roman" w:eastAsia="Times New Roman" w:hAnsi="Times New Roman"/>
          <w:sz w:val="19"/>
          <w:szCs w:val="19"/>
          <w:color w:val="auto"/>
        </w:rPr>
        <w:t>. At all times (if any) prior to the earlier to occur of (x) the date on which all shares of Common Stock issued on exercise of this Warrant have been sold, or (y) the expiration or earlier termination of this Warrant, when the Company shall not be required to file reports pursuant to Section 13 or 15(d) of the Exchange Act or shall not have timely filed all such required reports, the Warrantholder shall be entitled to the information rights contained in Section 7.1(b)</w:t>
      </w:r>
    </w:p>
    <w:p>
      <w:pPr>
        <w:ind w:right="100"/>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(f) of the Loan Agreement, and in any such event Section 7.1(b) – (f) of the Loan Agreement is hereby incorporated into this Agreement by this reference as though fully set forth herein, provided, however, that the Company shall not be required to deliver a Compliance Certificate once all Indebtedness (as defined in the Loan Agreement) owed by the Company and its Subsidiaries to Warrantholder has been repaid.</w:t>
      </w:r>
    </w:p>
    <w:p>
      <w:pPr>
        <w:spacing w:after="0" w:line="188" w:lineRule="exact"/>
        <w:rPr>
          <w:rFonts w:ascii="Times New Roman" w:cs="Times New Roman" w:eastAsia="Times New Roman" w:hAnsi="Times New Roman"/>
          <w:sz w:val="19"/>
          <w:szCs w:val="19"/>
          <w:color w:val="auto"/>
        </w:rPr>
      </w:pPr>
    </w:p>
    <w:p>
      <w:pPr>
        <w:ind w:right="100" w:firstLine="656"/>
        <w:spacing w:after="0" w:line="242" w:lineRule="auto"/>
        <w:tabs>
          <w:tab w:leader="none" w:pos="972"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of Shares</w:t>
      </w:r>
      <w:r>
        <w:rPr>
          <w:rFonts w:ascii="Times New Roman" w:cs="Times New Roman" w:eastAsia="Times New Roman" w:hAnsi="Times New Roman"/>
          <w:sz w:val="20"/>
          <w:szCs w:val="20"/>
          <w:color w:val="auto"/>
        </w:rPr>
        <w:t xml:space="preserve">. If the Company proposes to register (including, for this purpose, a registration effected by the Company for the sale by the Company of its securities and/or the resale of securities of the Company by security holders other than the Warrantholder) the sale or resale of any of its Common Shares or other securities under the Act in connection with the public offering of such securities (other than in an Excluded Registration), the Company shall cause to be registered all of the Registrable Securities in such registration. The Company shall have the right to terminate or withdraw any registration initiated by it under this Section 9(f) before the effective date of such registration,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Company’s obligations to register the Registrable Securities under this Section 9(f) in any subsequent registration (other than in an Excluded Registration) shall continue following any such termination or withdrawal. All fees and expenses incident to the Company’s performance of or compliance with its obligations under this Section 9(f) (excluding any underwriting discounts and selling commissions) shall be borne by the Company.</w:t>
      </w:r>
    </w:p>
    <w:p>
      <w:pPr>
        <w:spacing w:after="0" w:line="192" w:lineRule="exact"/>
        <w:rPr>
          <w:rFonts w:ascii="Times New Roman" w:cs="Times New Roman" w:eastAsia="Times New Roman" w:hAnsi="Times New Roman"/>
          <w:sz w:val="20"/>
          <w:szCs w:val="20"/>
          <w:color w:val="auto"/>
        </w:rPr>
      </w:pPr>
    </w:p>
    <w:p>
      <w:pPr>
        <w:ind w:firstLine="656"/>
        <w:spacing w:after="0" w:line="242" w:lineRule="auto"/>
        <w:tabs>
          <w:tab w:leader="none" w:pos="972"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Rule 144 Compliance</w:t>
      </w:r>
      <w:r>
        <w:rPr>
          <w:rFonts w:ascii="Times New Roman" w:cs="Times New Roman" w:eastAsia="Times New Roman" w:hAnsi="Times New Roman"/>
          <w:sz w:val="20"/>
          <w:szCs w:val="20"/>
          <w:color w:val="auto"/>
        </w:rPr>
        <w:t>. The Company shall, at all times prior to the earlier to occur of (i) the date of sale or other disposition by Warrantholder of this Warrant or all shares of Common Stock issued on exercise of this Warrant, (ii) the registration pursuant to subsection (f) above of the shares issued on exercise of this Warrant, or (iii) the expiration or earlier termination of this Warrant if the Warrant has not been exercised in full or in part on such date, use all commercially reasonable efforts to timely file all reports required under the Exchange Act and otherwise timely take all actions necessary to permit the Warrantholder to sell or otherwise dispose of this Warrant and the shares of Common Stock issued on exercise hereof pursuant to Rule 144 promulgated under the Act (“Rule 144”), provided that the foregoing shall not apply in the event of a Merger Event following which the successor or surviving entity is not subject to the reporting requirements of the Exchange Act. If the Warrantholder proposes to sell Common Stock issuable upon the exercise of this Agreement in compliance with Rule 144, then, upon the Warrantholder’s written request to the Company, the Company shall furnish to the Warrantholder, within five (5) business days after receipt of such request, a written statement confirming the Company’s compliance with the filing and other requirements of such Rule 144.</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8" w:name="page219"/>
    <w:bookmarkEnd w:id="218"/>
    <w:p>
      <w:pPr>
        <w:jc w:val="center"/>
        <w:ind w:right="40"/>
        <w:spacing w:after="0"/>
        <w:tabs>
          <w:tab w:leader="none" w:pos="240" w:val="left"/>
        </w:tabs>
        <w:rPr>
          <w:sz w:val="20"/>
          <w:szCs w:val="20"/>
          <w:color w:val="auto"/>
        </w:rPr>
      </w:pPr>
      <w:r>
        <w:rPr>
          <w:rFonts w:ascii="Times New Roman" w:cs="Times New Roman" w:eastAsia="Times New Roman" w:hAnsi="Times New Roman"/>
          <w:sz w:val="20"/>
          <w:szCs w:val="20"/>
          <w:b w:val="1"/>
          <w:bCs w:val="1"/>
          <w:color w:val="auto"/>
        </w:rPr>
        <w:t>SECTION 10.</w:t>
      </w:r>
      <w:r>
        <w:rPr>
          <w:sz w:val="20"/>
          <w:szCs w:val="20"/>
          <w:color w:val="auto"/>
        </w:rPr>
        <w:tab/>
      </w:r>
      <w:r>
        <w:rPr>
          <w:rFonts w:ascii="Times New Roman" w:cs="Times New Roman" w:eastAsia="Times New Roman" w:hAnsi="Times New Roman"/>
          <w:sz w:val="19"/>
          <w:szCs w:val="19"/>
          <w:color w:val="auto"/>
        </w:rPr>
        <w:t>REPRESENTATIONS AND COVENANTS OF THE WARRANTHOLDER.</w:t>
      </w:r>
    </w:p>
    <w:p>
      <w:pPr>
        <w:spacing w:after="0" w:line="219"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This Agreement has been entered into by the Company in reliance upon the following representations and covenants of the Warrantholder:</w:t>
      </w:r>
    </w:p>
    <w:p>
      <w:pPr>
        <w:spacing w:after="0" w:line="159" w:lineRule="exact"/>
        <w:rPr>
          <w:sz w:val="20"/>
          <w:szCs w:val="20"/>
          <w:color w:val="auto"/>
        </w:rPr>
      </w:pPr>
    </w:p>
    <w:p>
      <w:pPr>
        <w:jc w:val="both"/>
        <w:ind w:right="120" w:firstLine="656"/>
        <w:spacing w:after="0" w:line="249" w:lineRule="auto"/>
        <w:tabs>
          <w:tab w:leader="none" w:pos="972"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Investment Purpose</w:t>
      </w:r>
      <w:r>
        <w:rPr>
          <w:rFonts w:ascii="Times New Roman" w:cs="Times New Roman" w:eastAsia="Times New Roman" w:hAnsi="Times New Roman"/>
          <w:sz w:val="20"/>
          <w:szCs w:val="20"/>
          <w:color w:val="auto"/>
        </w:rPr>
        <w:t>. This Warrant and the shares issued on exercise hereof will be acquired for investment and not with a view to the sale or distribution of any part thereof in violation of applicable federal and state securities laws, and the Warrantholder has no present intention of selling or engaging in any public distribution of the same except pursuant to a registration or exemption.</w:t>
      </w:r>
    </w:p>
    <w:p>
      <w:pPr>
        <w:spacing w:after="0" w:line="179" w:lineRule="exact"/>
        <w:rPr>
          <w:rFonts w:ascii="Times New Roman" w:cs="Times New Roman" w:eastAsia="Times New Roman" w:hAnsi="Times New Roman"/>
          <w:sz w:val="20"/>
          <w:szCs w:val="20"/>
          <w:color w:val="auto"/>
        </w:rPr>
      </w:pPr>
    </w:p>
    <w:p>
      <w:pPr>
        <w:ind w:right="120" w:firstLine="656"/>
        <w:spacing w:after="0" w:line="249" w:lineRule="auto"/>
        <w:tabs>
          <w:tab w:leader="none" w:pos="972"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Private Issue</w:t>
      </w:r>
      <w:r>
        <w:rPr>
          <w:rFonts w:ascii="Times New Roman" w:cs="Times New Roman" w:eastAsia="Times New Roman" w:hAnsi="Times New Roman"/>
          <w:sz w:val="20"/>
          <w:szCs w:val="20"/>
          <w:color w:val="auto"/>
        </w:rPr>
        <w:t>. The Warrantholder understands that (i) the Common Stock issuable upon exercise of this Agreement is not, as of the Original Issue or Effective Date, registered under the Act or qualified under applicable state securities laws, and (ii) the Company’s reliance on exemption from such registration is predicated on the representations set forth in this Section 10.</w:t>
      </w:r>
    </w:p>
    <w:p>
      <w:pPr>
        <w:spacing w:after="0" w:line="179" w:lineRule="exact"/>
        <w:rPr>
          <w:rFonts w:ascii="Times New Roman" w:cs="Times New Roman" w:eastAsia="Times New Roman" w:hAnsi="Times New Roman"/>
          <w:sz w:val="20"/>
          <w:szCs w:val="20"/>
          <w:color w:val="auto"/>
        </w:rPr>
      </w:pPr>
    </w:p>
    <w:p>
      <w:pPr>
        <w:ind w:right="220" w:firstLine="656"/>
        <w:spacing w:after="0" w:line="254" w:lineRule="auto"/>
        <w:tabs>
          <w:tab w:leader="none" w:pos="972"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Risk</w:t>
      </w:r>
      <w:r>
        <w:rPr>
          <w:rFonts w:ascii="Times New Roman" w:cs="Times New Roman" w:eastAsia="Times New Roman" w:hAnsi="Times New Roman"/>
          <w:sz w:val="20"/>
          <w:szCs w:val="20"/>
          <w:color w:val="auto"/>
        </w:rPr>
        <w:t>. The Warrantholder has such knowledge and experience­ in financial and business matters as to be capable of evaluating the merits and risks of its investment, and has the ability to bear the economic risks of its investment.</w:t>
      </w:r>
    </w:p>
    <w:p>
      <w:pPr>
        <w:spacing w:after="0" w:line="174" w:lineRule="exact"/>
        <w:rPr>
          <w:rFonts w:ascii="Times New Roman" w:cs="Times New Roman" w:eastAsia="Times New Roman" w:hAnsi="Times New Roman"/>
          <w:sz w:val="20"/>
          <w:szCs w:val="20"/>
          <w:color w:val="auto"/>
        </w:rPr>
      </w:pPr>
    </w:p>
    <w:p>
      <w:pPr>
        <w:ind w:right="820" w:firstLine="656"/>
        <w:spacing w:after="0" w:line="269" w:lineRule="auto"/>
        <w:tabs>
          <w:tab w:leader="none" w:pos="972"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Accredited Investor</w:t>
      </w:r>
      <w:r>
        <w:rPr>
          <w:rFonts w:ascii="Times New Roman" w:cs="Times New Roman" w:eastAsia="Times New Roman" w:hAnsi="Times New Roman"/>
          <w:sz w:val="20"/>
          <w:szCs w:val="20"/>
          <w:color w:val="auto"/>
        </w:rPr>
        <w:t>. The Warrantholder is an “accredited investor” within the meaning of Rule 501 of Regulation D promulgated under the Act, as presently in effect (“Regulation D”).</w:t>
      </w:r>
    </w:p>
    <w:p>
      <w:pPr>
        <w:spacing w:after="0" w:line="159" w:lineRule="exact"/>
        <w:rPr>
          <w:rFonts w:ascii="Times New Roman" w:cs="Times New Roman" w:eastAsia="Times New Roman" w:hAnsi="Times New Roman"/>
          <w:sz w:val="20"/>
          <w:szCs w:val="20"/>
          <w:color w:val="auto"/>
        </w:rPr>
      </w:pPr>
    </w:p>
    <w:p>
      <w:pPr>
        <w:ind w:right="80" w:firstLine="656"/>
        <w:spacing w:after="0" w:line="249" w:lineRule="auto"/>
        <w:tabs>
          <w:tab w:leader="none" w:pos="972"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Short Sales</w:t>
      </w:r>
      <w:r>
        <w:rPr>
          <w:rFonts w:ascii="Times New Roman" w:cs="Times New Roman" w:eastAsia="Times New Roman" w:hAnsi="Times New Roman"/>
          <w:sz w:val="20"/>
          <w:szCs w:val="20"/>
          <w:color w:val="auto"/>
        </w:rPr>
        <w:t>. The Warrantholder has not at any time on or prior to the Original Issue or Effective Date engaged in any short sales or equivalent transactions in the Common Stock. Warrantholder agrees that at all times from and after the Effective Date and on or before the expiration or earlier termination of this Warrant, it shall not engage in any short sales or equivalent transactions in the Common Stock.</w:t>
      </w:r>
    </w:p>
    <w:p>
      <w:pPr>
        <w:spacing w:after="0" w:line="1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 xml:space="preserve">SECTION 11. </w:t>
      </w:r>
      <w:r>
        <w:rPr>
          <w:rFonts w:ascii="Times New Roman" w:cs="Times New Roman" w:eastAsia="Times New Roman" w:hAnsi="Times New Roman"/>
          <w:sz w:val="20"/>
          <w:szCs w:val="20"/>
          <w:color w:val="auto"/>
        </w:rPr>
        <w:t>TRANSFERS.</w:t>
      </w:r>
    </w:p>
    <w:p>
      <w:pPr>
        <w:spacing w:after="0" w:line="22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9"/>
          <w:szCs w:val="19"/>
          <w:color w:val="auto"/>
        </w:rPr>
        <w:t>Subject to compliance with applicable federal and state securities laws, this Agreement and all rights hereunder are transferable, in whole or in part, without charge to the holder hereof (except for transfer taxes) upon surrender of this Agreement properly endorsed. Each taker and holder of this Agreement, by taking or holding the same, consents and agrees that this Agreement, when endorsed in blank, shall be deemed negotiable, and that the holder hereof, when this Agreement shall have been so endorsed and its transfer recorded on the Company’s books, shall be treated by the Company and all other persons dealing with this Agreement as the absolute owner hereof for any purpose and as the person entitled to exercise the rights represented by this Agreement. The transfer of this Agreement shall be recorded on the books of the Company upon receipt by the Company of a notice of transfer in the form attached hereto as Exhibit III (the “</w:t>
      </w:r>
      <w:r>
        <w:rPr>
          <w:rFonts w:ascii="Times New Roman" w:cs="Times New Roman" w:eastAsia="Times New Roman" w:hAnsi="Times New Roman"/>
          <w:sz w:val="19"/>
          <w:szCs w:val="19"/>
          <w:u w:val="single" w:color="auto"/>
          <w:color w:val="auto"/>
        </w:rPr>
        <w:t>Transfer Notice</w:t>
      </w:r>
      <w:r>
        <w:rPr>
          <w:rFonts w:ascii="Times New Roman" w:cs="Times New Roman" w:eastAsia="Times New Roman" w:hAnsi="Times New Roman"/>
          <w:sz w:val="19"/>
          <w:szCs w:val="19"/>
          <w:color w:val="auto"/>
        </w:rPr>
        <w:t>”), at its principal offices and the payment to the Company of all transfer taxes and other governmental charges imposed on such transfer. Until the Company receives such Transfer Notice, the Company may treat the registered owner hereof as the owner for all purposes. Notwithstanding anything herein or in any legend to the contrary, the Company shall not require an opinion of counsel in connection with any sale, assignment or other transfer by the Warrantholder of this Warrant (or any portion hereof or any interest herein) or of any shares of Common Stock issued upon any exercise hereof to an affiliate (as defined in Regulation D) of the Warrantholder, provided that such affiliate is an “accredited investor” as defined in Regulation D.</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19" w:name="page220"/>
    <w:bookmarkEnd w:id="219"/>
    <w:p>
      <w:pPr>
        <w:ind w:left="1132"/>
        <w:spacing w:after="0"/>
        <w:rPr>
          <w:sz w:val="20"/>
          <w:szCs w:val="20"/>
          <w:color w:val="auto"/>
        </w:rPr>
      </w:pPr>
      <w:r>
        <w:rPr>
          <w:rFonts w:ascii="Times New Roman" w:cs="Times New Roman" w:eastAsia="Times New Roman" w:hAnsi="Times New Roman"/>
          <w:sz w:val="20"/>
          <w:szCs w:val="20"/>
          <w:b w:val="1"/>
          <w:bCs w:val="1"/>
          <w:color w:val="auto"/>
        </w:rPr>
        <w:t xml:space="preserve">SECTION 12. </w:t>
      </w:r>
      <w:r>
        <w:rPr>
          <w:rFonts w:ascii="Times New Roman" w:cs="Times New Roman" w:eastAsia="Times New Roman" w:hAnsi="Times New Roman"/>
          <w:sz w:val="20"/>
          <w:szCs w:val="20"/>
          <w:color w:val="auto"/>
        </w:rPr>
        <w:t>MISCELLANEOUS.</w:t>
      </w:r>
    </w:p>
    <w:p>
      <w:pPr>
        <w:spacing w:after="0" w:line="219" w:lineRule="exact"/>
        <w:rPr>
          <w:sz w:val="20"/>
          <w:szCs w:val="20"/>
          <w:color w:val="auto"/>
        </w:rPr>
      </w:pPr>
    </w:p>
    <w:p>
      <w:pPr>
        <w:ind w:left="-8" w:right="520" w:firstLine="656"/>
        <w:spacing w:after="0" w:line="254" w:lineRule="auto"/>
        <w:tabs>
          <w:tab w:leader="none" w:pos="964"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Original Issue Date</w:t>
      </w:r>
      <w:r>
        <w:rPr>
          <w:rFonts w:ascii="Times New Roman" w:cs="Times New Roman" w:eastAsia="Times New Roman" w:hAnsi="Times New Roman"/>
          <w:sz w:val="20"/>
          <w:szCs w:val="20"/>
          <w:color w:val="auto"/>
        </w:rPr>
        <w:t>. The provisions of this Agreement shall be construed and shall be given effect in all respects as if it had been executed and delivered by the Company on the Original Issue Date. This Agreement shall be binding upon any successors or assigns of the Company.</w:t>
      </w:r>
    </w:p>
    <w:p>
      <w:pPr>
        <w:spacing w:after="0" w:line="174" w:lineRule="exact"/>
        <w:rPr>
          <w:rFonts w:ascii="Times New Roman" w:cs="Times New Roman" w:eastAsia="Times New Roman" w:hAnsi="Times New Roman"/>
          <w:sz w:val="20"/>
          <w:szCs w:val="20"/>
          <w:color w:val="auto"/>
        </w:rPr>
      </w:pPr>
    </w:p>
    <w:p>
      <w:pPr>
        <w:ind w:left="-8" w:firstLine="656"/>
        <w:spacing w:after="0" w:line="249" w:lineRule="auto"/>
        <w:tabs>
          <w:tab w:leader="none" w:pos="964"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In the event of any default hereunder, the non-defaulting party may proceed to protect and enforce its rights either by suit in equity and/or by action at law, including but not limited to an action for damages as a result of any such default, and/or an action for specific performance for any default where the Warrantholder will not have an adequate remedy at law and where damages will not be readily ascertainable.</w:t>
      </w:r>
    </w:p>
    <w:p>
      <w:pPr>
        <w:spacing w:after="0" w:line="179" w:lineRule="exact"/>
        <w:rPr>
          <w:rFonts w:ascii="Times New Roman" w:cs="Times New Roman" w:eastAsia="Times New Roman" w:hAnsi="Times New Roman"/>
          <w:sz w:val="20"/>
          <w:szCs w:val="20"/>
          <w:color w:val="auto"/>
        </w:rPr>
      </w:pPr>
    </w:p>
    <w:p>
      <w:pPr>
        <w:jc w:val="both"/>
        <w:ind w:left="-8" w:right="320" w:firstLine="656"/>
        <w:spacing w:after="0" w:line="249" w:lineRule="auto"/>
        <w:tabs>
          <w:tab w:leader="none" w:pos="964"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Impairment of Rights</w:t>
      </w:r>
      <w:r>
        <w:rPr>
          <w:rFonts w:ascii="Times New Roman" w:cs="Times New Roman" w:eastAsia="Times New Roman" w:hAnsi="Times New Roman"/>
          <w:sz w:val="20"/>
          <w:szCs w:val="20"/>
          <w:color w:val="auto"/>
        </w:rPr>
        <w:t>. The Company will not, by amendment of its Charter or through any other means, avoid or seek to avoid the observance or performance of any of the terms of this Agreement, but will at all times in good faith assist in the carrying out of all such terms and in the taking of all such actions as may be necessary or appropriate in order to protect the rights of the Warrantholder against impairment.</w:t>
      </w:r>
    </w:p>
    <w:p>
      <w:pPr>
        <w:spacing w:after="0" w:line="179" w:lineRule="exact"/>
        <w:rPr>
          <w:rFonts w:ascii="Times New Roman" w:cs="Times New Roman" w:eastAsia="Times New Roman" w:hAnsi="Times New Roman"/>
          <w:sz w:val="20"/>
          <w:szCs w:val="20"/>
          <w:color w:val="auto"/>
        </w:rPr>
      </w:pPr>
    </w:p>
    <w:p>
      <w:pPr>
        <w:ind w:left="-8" w:right="240" w:firstLine="656"/>
        <w:spacing w:after="0" w:line="269" w:lineRule="auto"/>
        <w:tabs>
          <w:tab w:leader="none" w:pos="964"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Documents</w:t>
      </w:r>
      <w:r>
        <w:rPr>
          <w:rFonts w:ascii="Times New Roman" w:cs="Times New Roman" w:eastAsia="Times New Roman" w:hAnsi="Times New Roman"/>
          <w:sz w:val="20"/>
          <w:szCs w:val="20"/>
          <w:color w:val="auto"/>
        </w:rPr>
        <w:t>. The Company agrees to supply such other documents as the Warrantholder may from time to time reasonably request.</w:t>
      </w:r>
    </w:p>
    <w:p>
      <w:pPr>
        <w:spacing w:after="0" w:line="159" w:lineRule="exact"/>
        <w:rPr>
          <w:rFonts w:ascii="Times New Roman" w:cs="Times New Roman" w:eastAsia="Times New Roman" w:hAnsi="Times New Roman"/>
          <w:sz w:val="20"/>
          <w:szCs w:val="20"/>
          <w:color w:val="auto"/>
        </w:rPr>
      </w:pPr>
    </w:p>
    <w:p>
      <w:pPr>
        <w:ind w:left="-8" w:right="40" w:firstLine="656"/>
        <w:spacing w:after="0" w:line="244" w:lineRule="auto"/>
        <w:tabs>
          <w:tab w:leader="none" w:pos="964"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Attorneys’ Fees</w:t>
      </w:r>
      <w:r>
        <w:rPr>
          <w:rFonts w:ascii="Times New Roman" w:cs="Times New Roman" w:eastAsia="Times New Roman" w:hAnsi="Times New Roman"/>
          <w:sz w:val="20"/>
          <w:szCs w:val="20"/>
          <w:color w:val="auto"/>
        </w:rPr>
        <w:t>. In any litigation, arbitration or court proceeding between the Company and the Warrantholder relating hereto, the prevailing party shall be entitled to attorneys’ fees and expenses and all costs of proceedings incurred in enforcing this Agreement. For the purposes of this Section 12(e), attorneys’ fees shall include without limitation fees incurred in connection with the following: (i) contempt proceedings; (ii) discovery; (iii) any motion, proceeding or other activity of any kind in connection with an insolvency proceeding; (iv) garnishment, levy, and debtor and third party examinations; and (v) post-judgment motions and proceedings of any kind, including without limitation any activity taken to collect or enforce any judgment.</w:t>
      </w:r>
    </w:p>
    <w:p>
      <w:pPr>
        <w:spacing w:after="0" w:line="185" w:lineRule="exact"/>
        <w:rPr>
          <w:rFonts w:ascii="Times New Roman" w:cs="Times New Roman" w:eastAsia="Times New Roman" w:hAnsi="Times New Roman"/>
          <w:sz w:val="20"/>
          <w:szCs w:val="20"/>
          <w:color w:val="auto"/>
        </w:rPr>
      </w:pPr>
    </w:p>
    <w:p>
      <w:pPr>
        <w:ind w:left="-8" w:right="140" w:firstLine="656"/>
        <w:spacing w:after="0" w:line="249" w:lineRule="auto"/>
        <w:tabs>
          <w:tab w:leader="none" w:pos="964"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any one or more of the provisions of this Agreement shall for any reason be held invalid, illegal or unenforceable, the remaining provisions of this Agreement shall be unimpaired, and the invalid, illegal or unenforceable provision shall be replaced by a mutually acceptable valid, legal and enforceable provision, which comes closest to the intention of the parties underlying the invalid, illegal or unenforceable provision.</w:t>
      </w:r>
    </w:p>
    <w:p>
      <w:pPr>
        <w:spacing w:after="0" w:line="179" w:lineRule="exact"/>
        <w:rPr>
          <w:rFonts w:ascii="Times New Roman" w:cs="Times New Roman" w:eastAsia="Times New Roman" w:hAnsi="Times New Roman"/>
          <w:sz w:val="20"/>
          <w:szCs w:val="20"/>
          <w:color w:val="auto"/>
        </w:rPr>
      </w:pPr>
    </w:p>
    <w:p>
      <w:pPr>
        <w:ind w:left="-8" w:right="60" w:firstLine="656"/>
        <w:spacing w:after="0" w:line="256" w:lineRule="auto"/>
        <w:tabs>
          <w:tab w:leader="none" w:pos="964" w:val="left"/>
        </w:tabs>
        <w:numPr>
          <w:ilvl w:val="1"/>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Except as otherwise provided herein, any notice, demand, request, consent, approval, declaration, service of process or other communication that is required, contemplated, or permitted under this Agreement or with respect to the subject matter hereof shall be in writing, and shall be deemed to have been validly served, given, delivered, and received upon the earlier of: (i) personal delivery to the party to be notified, (ii) when sent by confirmed telex, electronic transmission or facsimile if sent during normal business hours of the recipient, if not, then on the next business day, (iii) five</w:t>
      </w:r>
    </w:p>
    <w:p>
      <w:pPr>
        <w:spacing w:after="0" w:line="4" w:lineRule="exact"/>
        <w:rPr>
          <w:rFonts w:ascii="Times New Roman" w:cs="Times New Roman" w:eastAsia="Times New Roman" w:hAnsi="Times New Roman"/>
          <w:sz w:val="19"/>
          <w:szCs w:val="19"/>
          <w:color w:val="auto"/>
        </w:rPr>
      </w:pPr>
    </w:p>
    <w:p>
      <w:pPr>
        <w:jc w:val="both"/>
        <w:ind w:left="-8" w:right="80" w:firstLine="8"/>
        <w:spacing w:after="0" w:line="242" w:lineRule="auto"/>
        <w:tabs>
          <w:tab w:leader="none" w:pos="272"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having been sent by registered or certified mail, return receipt requested, postage prepaid, or (iv) one day after deposit with a nationally recognized overnight courier, specifying next day delivery, with written verification of receipt, and shall be addressed to the party to be notified as follows:</w:t>
      </w:r>
    </w:p>
    <w:p>
      <w:pPr>
        <w:spacing w:after="0" w:line="18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0"/>
          <w:szCs w:val="20"/>
          <w:color w:val="auto"/>
        </w:rPr>
        <w:t>If to the Warrantholder:</w:t>
      </w:r>
    </w:p>
    <w:p>
      <w:pPr>
        <w:spacing w:after="0" w:line="216"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20"/>
          <w:szCs w:val="20"/>
          <w:color w:val="auto"/>
        </w:rPr>
        <w:t>HERCULES PRIVATE GLOBAL VENTURE GROWTH FUND I L.P.</w:t>
      </w:r>
    </w:p>
    <w:p>
      <w:pPr>
        <w:spacing w:after="0" w:line="21"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20"/>
          <w:szCs w:val="20"/>
          <w:color w:val="auto"/>
        </w:rPr>
        <w:t>Legal Department</w:t>
      </w:r>
    </w:p>
    <w:p>
      <w:pPr>
        <w:ind w:left="2592"/>
        <w:spacing w:after="0"/>
        <w:rPr>
          <w:sz w:val="20"/>
          <w:szCs w:val="20"/>
          <w:color w:val="auto"/>
        </w:rPr>
      </w:pPr>
      <w:r>
        <w:rPr>
          <w:rFonts w:ascii="Times New Roman" w:cs="Times New Roman" w:eastAsia="Times New Roman" w:hAnsi="Times New Roman"/>
          <w:sz w:val="20"/>
          <w:szCs w:val="20"/>
          <w:color w:val="auto"/>
        </w:rPr>
        <w:t>Attention: Chief Legal Officer and Michael Dutra and John Miotti</w:t>
      </w:r>
    </w:p>
    <w:p>
      <w:pPr>
        <w:ind w:left="2592"/>
        <w:spacing w:after="0"/>
        <w:rPr>
          <w:sz w:val="20"/>
          <w:szCs w:val="20"/>
          <w:color w:val="auto"/>
        </w:rPr>
      </w:pPr>
      <w:r>
        <w:rPr>
          <w:rFonts w:ascii="Times New Roman" w:cs="Times New Roman" w:eastAsia="Times New Roman" w:hAnsi="Times New Roman"/>
          <w:sz w:val="20"/>
          <w:szCs w:val="20"/>
          <w:color w:val="auto"/>
        </w:rPr>
        <w:t>400 Hamilton Avenue, Suite 310</w:t>
      </w:r>
    </w:p>
    <w:p>
      <w:pPr>
        <w:ind w:left="2592"/>
        <w:spacing w:after="0"/>
        <w:rPr>
          <w:sz w:val="20"/>
          <w:szCs w:val="20"/>
          <w:color w:val="auto"/>
        </w:rPr>
      </w:pPr>
      <w:r>
        <w:rPr>
          <w:rFonts w:ascii="Times New Roman" w:cs="Times New Roman" w:eastAsia="Times New Roman" w:hAnsi="Times New Roman"/>
          <w:sz w:val="20"/>
          <w:szCs w:val="20"/>
          <w:color w:val="auto"/>
        </w:rPr>
        <w:t>Palo Alto, CA 94301</w:t>
      </w:r>
    </w:p>
    <w:p>
      <w:pPr>
        <w:ind w:left="2592"/>
        <w:spacing w:after="0"/>
        <w:rPr>
          <w:sz w:val="20"/>
          <w:szCs w:val="20"/>
          <w:color w:val="auto"/>
        </w:rPr>
      </w:pPr>
      <w:r>
        <w:rPr>
          <w:rFonts w:ascii="Times New Roman" w:cs="Times New Roman" w:eastAsia="Times New Roman" w:hAnsi="Times New Roman"/>
          <w:sz w:val="20"/>
          <w:szCs w:val="20"/>
          <w:color w:val="auto"/>
        </w:rPr>
        <w:t>Facsimile: 650-473-9194</w:t>
      </w:r>
    </w:p>
    <w:p>
      <w:pPr>
        <w:ind w:left="2592"/>
        <w:spacing w:after="0"/>
        <w:rPr>
          <w:sz w:val="20"/>
          <w:szCs w:val="20"/>
          <w:color w:val="auto"/>
        </w:rPr>
      </w:pPr>
      <w:r>
        <w:rPr>
          <w:rFonts w:ascii="Times New Roman" w:cs="Times New Roman" w:eastAsia="Times New Roman" w:hAnsi="Times New Roman"/>
          <w:sz w:val="20"/>
          <w:szCs w:val="20"/>
          <w:color w:val="auto"/>
        </w:rPr>
        <w:t>Telephone: 650-289-3060</w:t>
      </w:r>
    </w:p>
    <w:p>
      <w:pPr>
        <w:ind w:left="2592"/>
        <w:spacing w:after="0"/>
        <w:rPr>
          <w:sz w:val="20"/>
          <w:szCs w:val="20"/>
          <w:color w:val="auto"/>
        </w:rPr>
      </w:pPr>
      <w:r>
        <w:rPr>
          <w:rFonts w:ascii="Times New Roman" w:cs="Times New Roman" w:eastAsia="Times New Roman" w:hAnsi="Times New Roman"/>
          <w:sz w:val="20"/>
          <w:szCs w:val="20"/>
          <w:color w:val="auto"/>
        </w:rPr>
        <w:t>Email : legal@herculestech.com; mdutra@htgc.com; jmiotti@htgc.com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4" w:right="999" w:bottom="1440" w:gutter="0" w:footer="0" w:header="0"/>
        </w:sectPr>
      </w:pPr>
    </w:p>
    <w:bookmarkStart w:id="220" w:name="page221"/>
    <w:bookmarkEnd w:id="220"/>
    <w:p>
      <w:pPr>
        <w:ind w:left="1300"/>
        <w:spacing w:after="0"/>
        <w:rPr>
          <w:sz w:val="20"/>
          <w:szCs w:val="20"/>
          <w:color w:val="auto"/>
        </w:rPr>
      </w:pPr>
      <w:r>
        <w:rPr>
          <w:rFonts w:ascii="Times New Roman" w:cs="Times New Roman" w:eastAsia="Times New Roman" w:hAnsi="Times New Roman"/>
          <w:sz w:val="20"/>
          <w:szCs w:val="20"/>
          <w:color w:val="auto"/>
        </w:rPr>
        <w:t>With a copy to:</w:t>
      </w:r>
    </w:p>
    <w:p>
      <w:pPr>
        <w:spacing w:after="0" w:line="2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LATHAM &amp; WATKINS</w:t>
      </w:r>
    </w:p>
    <w:p>
      <w:pPr>
        <w:spacing w:after="0" w:line="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Attn: Haim Zaltzman</w:t>
      </w:r>
    </w:p>
    <w:p>
      <w:pPr>
        <w:ind w:left="2600"/>
        <w:spacing w:after="0"/>
        <w:rPr>
          <w:sz w:val="20"/>
          <w:szCs w:val="20"/>
          <w:color w:val="auto"/>
        </w:rPr>
      </w:pPr>
      <w:r>
        <w:rPr>
          <w:rFonts w:ascii="Times New Roman" w:cs="Times New Roman" w:eastAsia="Times New Roman" w:hAnsi="Times New Roman"/>
          <w:sz w:val="20"/>
          <w:szCs w:val="20"/>
          <w:color w:val="auto"/>
        </w:rPr>
        <w:t>505 Montgomery Street, Suite 2000</w:t>
      </w:r>
    </w:p>
    <w:p>
      <w:pPr>
        <w:ind w:left="2600"/>
        <w:spacing w:after="0"/>
        <w:rPr>
          <w:sz w:val="20"/>
          <w:szCs w:val="20"/>
          <w:color w:val="auto"/>
        </w:rPr>
      </w:pPr>
      <w:r>
        <w:rPr>
          <w:rFonts w:ascii="Times New Roman" w:cs="Times New Roman" w:eastAsia="Times New Roman" w:hAnsi="Times New Roman"/>
          <w:sz w:val="20"/>
          <w:szCs w:val="20"/>
          <w:color w:val="auto"/>
        </w:rPr>
        <w:t>San Francisco, CA 94111</w:t>
      </w:r>
    </w:p>
    <w:p>
      <w:pPr>
        <w:ind w:left="2600"/>
        <w:spacing w:after="0"/>
        <w:rPr>
          <w:sz w:val="20"/>
          <w:szCs w:val="20"/>
          <w:color w:val="auto"/>
        </w:rPr>
      </w:pPr>
      <w:r>
        <w:rPr>
          <w:rFonts w:ascii="Times New Roman" w:cs="Times New Roman" w:eastAsia="Times New Roman" w:hAnsi="Times New Roman"/>
          <w:sz w:val="20"/>
          <w:szCs w:val="20"/>
          <w:color w:val="auto"/>
        </w:rPr>
        <w:t>Facsimile: (415) 395-8095</w:t>
      </w:r>
    </w:p>
    <w:p>
      <w:pPr>
        <w:ind w:left="2600"/>
        <w:spacing w:after="0"/>
        <w:rPr>
          <w:sz w:val="20"/>
          <w:szCs w:val="20"/>
          <w:color w:val="auto"/>
        </w:rPr>
      </w:pPr>
      <w:r>
        <w:rPr>
          <w:rFonts w:ascii="Times New Roman" w:cs="Times New Roman" w:eastAsia="Times New Roman" w:hAnsi="Times New Roman"/>
          <w:sz w:val="20"/>
          <w:szCs w:val="20"/>
          <w:color w:val="auto"/>
        </w:rPr>
        <w:t>Telephone: (415) 395-8870</w:t>
      </w:r>
    </w:p>
    <w:p>
      <w:pPr>
        <w:ind w:left="2600"/>
        <w:spacing w:after="0"/>
        <w:rPr>
          <w:sz w:val="20"/>
          <w:szCs w:val="20"/>
          <w:color w:val="auto"/>
        </w:rPr>
      </w:pPr>
      <w:r>
        <w:rPr>
          <w:rFonts w:ascii="Times New Roman" w:cs="Times New Roman" w:eastAsia="Times New Roman" w:hAnsi="Times New Roman"/>
          <w:sz w:val="20"/>
          <w:szCs w:val="20"/>
          <w:color w:val="auto"/>
        </w:rPr>
        <w:t>Email: haim.zaltzman@lw.com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2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TG THERAPEUTICS, INC.</w:t>
      </w:r>
    </w:p>
    <w:p>
      <w:pPr>
        <w:spacing w:after="0" w:line="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Attention: Sean Power, Chief Financial Officer</w:t>
      </w:r>
    </w:p>
    <w:p>
      <w:pPr>
        <w:ind w:left="2600"/>
        <w:spacing w:after="0" w:line="184" w:lineRule="auto"/>
        <w:rPr>
          <w:sz w:val="20"/>
          <w:szCs w:val="20"/>
          <w:color w:val="auto"/>
        </w:rPr>
      </w:pPr>
      <w:r>
        <w:rPr>
          <w:rFonts w:ascii="Times New Roman" w:cs="Times New Roman" w:eastAsia="Times New Roman" w:hAnsi="Times New Roman"/>
          <w:sz w:val="18"/>
          <w:szCs w:val="18"/>
          <w:color w:val="auto"/>
        </w:rPr>
        <w:t>2 Gansevoort St., 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ind w:left="2600"/>
        <w:spacing w:after="0"/>
        <w:rPr>
          <w:sz w:val="20"/>
          <w:szCs w:val="20"/>
          <w:color w:val="auto"/>
        </w:rPr>
      </w:pPr>
      <w:r>
        <w:rPr>
          <w:rFonts w:ascii="Times New Roman" w:cs="Times New Roman" w:eastAsia="Times New Roman" w:hAnsi="Times New Roman"/>
          <w:sz w:val="20"/>
          <w:szCs w:val="20"/>
          <w:color w:val="auto"/>
        </w:rPr>
        <w:t>New York, NY 10014</w:t>
      </w:r>
    </w:p>
    <w:p>
      <w:pPr>
        <w:ind w:left="2600"/>
        <w:spacing w:after="0"/>
        <w:rPr>
          <w:sz w:val="20"/>
          <w:szCs w:val="20"/>
          <w:color w:val="auto"/>
        </w:rPr>
      </w:pPr>
      <w:r>
        <w:rPr>
          <w:rFonts w:ascii="Times New Roman" w:cs="Times New Roman" w:eastAsia="Times New Roman" w:hAnsi="Times New Roman"/>
          <w:sz w:val="20"/>
          <w:szCs w:val="20"/>
          <w:color w:val="auto"/>
        </w:rPr>
        <w:t>Telephone: (212)-554-4484</w:t>
      </w:r>
    </w:p>
    <w:p>
      <w:pPr>
        <w:ind w:left="2600"/>
        <w:spacing w:after="0"/>
        <w:rPr>
          <w:sz w:val="20"/>
          <w:szCs w:val="20"/>
          <w:color w:val="auto"/>
        </w:rPr>
      </w:pPr>
      <w:r>
        <w:rPr>
          <w:rFonts w:ascii="Times New Roman" w:cs="Times New Roman" w:eastAsia="Times New Roman" w:hAnsi="Times New Roman"/>
          <w:sz w:val="20"/>
          <w:szCs w:val="20"/>
          <w:color w:val="auto"/>
        </w:rPr>
        <w:t>Email: sp@tgtxinc.com</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or to such other address as each party may designate for itself by like notice.</w:t>
      </w:r>
    </w:p>
    <w:p>
      <w:pPr>
        <w:spacing w:after="0" w:line="216" w:lineRule="exact"/>
        <w:rPr>
          <w:sz w:val="20"/>
          <w:szCs w:val="20"/>
          <w:color w:val="auto"/>
        </w:rPr>
      </w:pPr>
    </w:p>
    <w:p>
      <w:pPr>
        <w:ind w:right="180" w:firstLine="656"/>
        <w:spacing w:after="0" w:line="246" w:lineRule="auto"/>
        <w:tabs>
          <w:tab w:leader="none" w:pos="972"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 Amendments</w:t>
      </w:r>
      <w:r>
        <w:rPr>
          <w:rFonts w:ascii="Times New Roman" w:cs="Times New Roman" w:eastAsia="Times New Roman" w:hAnsi="Times New Roman"/>
          <w:sz w:val="20"/>
          <w:szCs w:val="20"/>
          <w:color w:val="auto"/>
        </w:rPr>
        <w:t>. This Agreement constitutes the entire agreement and understanding of the parties hereto in respect of the subject matter hereof, and supersedes and replaces in their entirety any prior proposals, term sheets, letters, negotiations or other documents or agreements, whether written or oral, with respect to the subject matter hereof. None of the terms of this Agreement may be amended except by an instrument executed by each of the parties hereto.</w:t>
      </w:r>
    </w:p>
    <w:p>
      <w:pPr>
        <w:spacing w:after="0" w:line="184" w:lineRule="exact"/>
        <w:rPr>
          <w:rFonts w:ascii="Times New Roman" w:cs="Times New Roman" w:eastAsia="Times New Roman" w:hAnsi="Times New Roman"/>
          <w:sz w:val="20"/>
          <w:szCs w:val="20"/>
          <w:color w:val="auto"/>
        </w:rPr>
      </w:pPr>
    </w:p>
    <w:p>
      <w:pPr>
        <w:ind w:right="360" w:firstLine="656"/>
        <w:spacing w:after="0" w:line="269" w:lineRule="auto"/>
        <w:tabs>
          <w:tab w:leader="none" w:pos="972"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various headings in this Agreement are inserted for convenience only and shall not affect the meaning or interpretation of this Agreement or any provisions hereof.</w:t>
      </w:r>
    </w:p>
    <w:p>
      <w:pPr>
        <w:spacing w:after="0" w:line="159" w:lineRule="exact"/>
        <w:rPr>
          <w:rFonts w:ascii="Times New Roman" w:cs="Times New Roman" w:eastAsia="Times New Roman" w:hAnsi="Times New Roman"/>
          <w:sz w:val="20"/>
          <w:szCs w:val="20"/>
          <w:color w:val="auto"/>
        </w:rPr>
      </w:pPr>
    </w:p>
    <w:p>
      <w:pPr>
        <w:ind w:firstLine="656"/>
        <w:spacing w:after="0" w:line="254" w:lineRule="auto"/>
        <w:tabs>
          <w:tab w:leader="none" w:pos="972"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Advice of Counsel</w:t>
      </w:r>
      <w:r>
        <w:rPr>
          <w:rFonts w:ascii="Times New Roman" w:cs="Times New Roman" w:eastAsia="Times New Roman" w:hAnsi="Times New Roman"/>
          <w:sz w:val="20"/>
          <w:szCs w:val="20"/>
          <w:color w:val="auto"/>
        </w:rPr>
        <w:t>. Each of the parties represents to each other party hereto that it has discussed (or had an opportunity to discuss) with its counsel this Agreement and, specifically, the provisions of Sections 12(n), 12(o), 12(p), 12(q) and 12(r).</w:t>
      </w:r>
    </w:p>
    <w:p>
      <w:pPr>
        <w:spacing w:after="0" w:line="174" w:lineRule="exact"/>
        <w:rPr>
          <w:rFonts w:ascii="Times New Roman" w:cs="Times New Roman" w:eastAsia="Times New Roman" w:hAnsi="Times New Roman"/>
          <w:sz w:val="20"/>
          <w:szCs w:val="20"/>
          <w:color w:val="auto"/>
        </w:rPr>
      </w:pPr>
    </w:p>
    <w:p>
      <w:pPr>
        <w:ind w:right="200" w:firstLine="656"/>
        <w:spacing w:after="0" w:line="249" w:lineRule="auto"/>
        <w:tabs>
          <w:tab w:leader="none" w:pos="972"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Strict Construction</w:t>
      </w:r>
      <w:r>
        <w:rPr>
          <w:rFonts w:ascii="Times New Roman" w:cs="Times New Roman" w:eastAsia="Times New Roman" w:hAnsi="Times New Roman"/>
          <w:sz w:val="20"/>
          <w:szCs w:val="20"/>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79" w:lineRule="exact"/>
        <w:rPr>
          <w:rFonts w:ascii="Times New Roman" w:cs="Times New Roman" w:eastAsia="Times New Roman" w:hAnsi="Times New Roman"/>
          <w:sz w:val="20"/>
          <w:szCs w:val="20"/>
          <w:color w:val="auto"/>
        </w:rPr>
      </w:pPr>
    </w:p>
    <w:p>
      <w:pPr>
        <w:ind w:firstLine="656"/>
        <w:spacing w:after="0" w:line="249" w:lineRule="auto"/>
        <w:tabs>
          <w:tab w:leader="none" w:pos="972"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Waiver</w:t>
      </w:r>
      <w:r>
        <w:rPr>
          <w:rFonts w:ascii="Times New Roman" w:cs="Times New Roman" w:eastAsia="Times New Roman" w:hAnsi="Times New Roman"/>
          <w:sz w:val="20"/>
          <w:szCs w:val="20"/>
          <w:color w:val="auto"/>
        </w:rPr>
        <w:t>. No omission or delay by the Warrantholder at any time to enforce any right or remedy reserved to it, or to require performance of any of the terms, covenants or provisions hereof by the Company at any time designated, shall be a waiver of any such right or remedy to which the Warrantholder is entitled, nor shall it in any way affect the right of the Warrantholder to enforce such provisions thereafter during the term of this Agreement.</w:t>
      </w:r>
    </w:p>
    <w:p>
      <w:pPr>
        <w:spacing w:after="0" w:line="179" w:lineRule="exact"/>
        <w:rPr>
          <w:rFonts w:ascii="Times New Roman" w:cs="Times New Roman" w:eastAsia="Times New Roman" w:hAnsi="Times New Roman"/>
          <w:sz w:val="20"/>
          <w:szCs w:val="20"/>
          <w:color w:val="auto"/>
        </w:rPr>
      </w:pPr>
    </w:p>
    <w:p>
      <w:pPr>
        <w:ind w:right="300" w:firstLine="656"/>
        <w:spacing w:after="0" w:line="254" w:lineRule="auto"/>
        <w:tabs>
          <w:tab w:leader="none" w:pos="972"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All agreements, representations and warranties contained in this Agreement or in any document delivered pursuant hereto shall be for the benefit of the Warrantholder and shall survive the execution and delivery of this Agreement and the expiration or other termination of this Agreement.</w:t>
      </w:r>
    </w:p>
    <w:p>
      <w:pPr>
        <w:spacing w:after="0" w:line="174" w:lineRule="exact"/>
        <w:rPr>
          <w:rFonts w:ascii="Times New Roman" w:cs="Times New Roman" w:eastAsia="Times New Roman" w:hAnsi="Times New Roman"/>
          <w:sz w:val="20"/>
          <w:szCs w:val="20"/>
          <w:color w:val="auto"/>
        </w:rPr>
      </w:pPr>
    </w:p>
    <w:p>
      <w:pPr>
        <w:ind w:right="40" w:firstLine="656"/>
        <w:spacing w:after="0" w:line="246" w:lineRule="auto"/>
        <w:tabs>
          <w:tab w:leader="none" w:pos="972"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has been negotiated and delivered to the Warrantholder in the State of California, and shall be deemed to have been accepted by the Warrantholder in the State of California. Delivery of Common Stock to the Warrantholder by the Company under this Agreement is due in the State of California. This Agreement shall be governed by, and construed and enforced in accordance with, the laws of the State of California, excluding conflict of laws principles that would cause the application of laws of any other jurisdiction.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21" w:name="page222"/>
    <w:bookmarkEnd w:id="221"/>
    <w:p>
      <w:pPr>
        <w:ind w:left="-20" w:firstLine="656"/>
        <w:spacing w:after="0" w:line="242" w:lineRule="auto"/>
        <w:tabs>
          <w:tab w:leader="none" w:pos="952"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 to Jurisdiction and Venue</w:t>
      </w:r>
      <w:r>
        <w:rPr>
          <w:rFonts w:ascii="Times New Roman" w:cs="Times New Roman" w:eastAsia="Times New Roman" w:hAnsi="Times New Roman"/>
          <w:sz w:val="20"/>
          <w:szCs w:val="20"/>
          <w:color w:val="auto"/>
        </w:rPr>
        <w:t>. All judicial proceedings arising in or under or related to this Agreement may be brought in any state or federal court of competent jurisdiction located in the State of California. By execution and delivery of this Agreement, each party hereto generally and unconditionally: (i) consents to personal jurisdiction in Santa Clara County, State of California; (ii) waives any objection as to jurisdiction or venue in Santa Clara County, State of California; (iii) agrees not to assert any defense based on lack of jurisdiction or venue in the aforesaid courts; and (iv) irrevocably agrees to be bound by any judgment rendered thereby in connection with this Agreement. Service of process on any party hereto in any action arising out of or relating to this Agreement shall be effective if given in accordance with the requirements for notice set forth in Section 12(g), and shall be deemed effective and received as set forth in Section 12(g). Nothing herein shall affect the right to serve process in any other manner permitted by law or shall limit the right of either party to bring proceedings in the courts of any other jurisdiction.</w:t>
      </w:r>
    </w:p>
    <w:p>
      <w:pPr>
        <w:spacing w:after="0" w:line="191" w:lineRule="exact"/>
        <w:rPr>
          <w:rFonts w:ascii="Times New Roman" w:cs="Times New Roman" w:eastAsia="Times New Roman" w:hAnsi="Times New Roman"/>
          <w:sz w:val="20"/>
          <w:szCs w:val="20"/>
          <w:color w:val="auto"/>
        </w:rPr>
      </w:pPr>
    </w:p>
    <w:p>
      <w:pPr>
        <w:ind w:left="-20" w:right="120" w:firstLine="656"/>
        <w:spacing w:after="0" w:line="242" w:lineRule="auto"/>
        <w:tabs>
          <w:tab w:leader="none" w:pos="952"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Mutual Waiver of Jury Trial</w:t>
      </w:r>
      <w:r>
        <w:rPr>
          <w:rFonts w:ascii="Times New Roman" w:cs="Times New Roman" w:eastAsia="Times New Roman" w:hAnsi="Times New Roman"/>
          <w:sz w:val="20"/>
          <w:szCs w:val="20"/>
          <w:color w:val="auto"/>
        </w:rPr>
        <w:t>. 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arising under or in connection with this Warrant be resolved by a judge applying such applicable laws. EACH OF THE COMPANY AND THE WARRANTHOLDER SPECIFICALLY WAIVES ANY RIGHT IT MAY HAVE TO TRIAL BY JURY OF ANY CAUSE OF ACTION, CLAIM, CROSS-CLAIM, COUNTERCLAIM, THIRD PARTY CLAIM OR ANY OTHER CLAIM (COLLECTIVELY, “CLAIMS”) ASSERTED BY THE COMPANY AGAINST THE WARRANTHOLDER OR ITS ASSIGNEE OR BY THE WARRANTHOLDER OR ITS ASSIGNEE AGAINST THE COMPANY RELATING TO THIS WARRANT. This waiver extends to all such Claims, including Claims that involve persons or entities other the Company and the Warrantholder; Claims that arise out of or are in any way connected to the relationship between the Company and the Warrantholder; and any Claims for damages, breach of contract, specific performance, or any equitable or legal relief of any kind, arising out of this Agreement.</w:t>
      </w:r>
    </w:p>
    <w:p>
      <w:pPr>
        <w:spacing w:after="0" w:line="187" w:lineRule="exact"/>
        <w:rPr>
          <w:rFonts w:ascii="Times New Roman" w:cs="Times New Roman" w:eastAsia="Times New Roman" w:hAnsi="Times New Roman"/>
          <w:sz w:val="20"/>
          <w:szCs w:val="20"/>
          <w:color w:val="auto"/>
        </w:rPr>
      </w:pPr>
    </w:p>
    <w:p>
      <w:pPr>
        <w:ind w:left="-20" w:right="100" w:firstLine="656"/>
        <w:spacing w:after="0" w:line="243" w:lineRule="auto"/>
        <w:tabs>
          <w:tab w:leader="none" w:pos="952"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If the Mutual Waiver of Jury Trial set forth in Section 12(p) is ineffective or unenforceable, the parties agree that all Claims shall be submitted to binding arbitration in accordance with the commercial arbitration rules of JAMS (the “Rules”), such arbitration to occur before one arbitrator, which arbitrator shall be a retired California state judge or a retired Federal court judge. Such proceeding shall be conducted in Santa Clara County, State of California, with California rules of evidence and discovery applicable to such arbitration. The decision of the arbitrator shall be binding on the parties, and shall be final and nonappealable to the maximum extent permitted by law. Any judgment rendered by the arbitrator may be entered in a court of competent jurisdiction and enforced by the prevailing party as a final judgment of such court.</w:t>
      </w:r>
    </w:p>
    <w:p>
      <w:pPr>
        <w:spacing w:after="0" w:line="189" w:lineRule="exact"/>
        <w:rPr>
          <w:rFonts w:ascii="Times New Roman" w:cs="Times New Roman" w:eastAsia="Times New Roman" w:hAnsi="Times New Roman"/>
          <w:sz w:val="20"/>
          <w:szCs w:val="20"/>
          <w:color w:val="auto"/>
        </w:rPr>
      </w:pPr>
    </w:p>
    <w:p>
      <w:pPr>
        <w:jc w:val="both"/>
        <w:ind w:left="-20" w:right="100" w:firstLine="656"/>
        <w:spacing w:after="0" w:line="249" w:lineRule="auto"/>
        <w:tabs>
          <w:tab w:leader="none" w:pos="952"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Pre-arbitration Relief</w:t>
      </w:r>
      <w:r>
        <w:rPr>
          <w:rFonts w:ascii="Times New Roman" w:cs="Times New Roman" w:eastAsia="Times New Roman" w:hAnsi="Times New Roman"/>
          <w:sz w:val="20"/>
          <w:szCs w:val="20"/>
          <w:color w:val="auto"/>
        </w:rPr>
        <w:t>. In the event Claims are to be resolved by arbitration, either party may seek from a court of competent jurisdiction identified in Section 12(o), any prejudgment order, writ or other relief and have such prejudgment order, writ or other relief enforced to the fullest extent permitted by law notwithstanding that all Claims are otherwise subject to resolution by binding arbitration.</w:t>
      </w:r>
    </w:p>
    <w:p>
      <w:pPr>
        <w:spacing w:after="0" w:line="179" w:lineRule="exact"/>
        <w:rPr>
          <w:rFonts w:ascii="Times New Roman" w:cs="Times New Roman" w:eastAsia="Times New Roman" w:hAnsi="Times New Roman"/>
          <w:sz w:val="20"/>
          <w:szCs w:val="20"/>
          <w:color w:val="auto"/>
        </w:rPr>
      </w:pPr>
    </w:p>
    <w:p>
      <w:pPr>
        <w:ind w:left="-20" w:right="80" w:firstLine="656"/>
        <w:spacing w:after="0" w:line="249" w:lineRule="auto"/>
        <w:tabs>
          <w:tab w:leader="none" w:pos="952"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and any amendments, waivers, consents or supplements hereto may be executed in any number of counterparts (including by facsimile or electronic delivery (PDF)), and by different parties hereto in separate counterparts, each of which when so delivered shall be deemed an original, but all of which counterparts shall constitute but one and the same instrument.</w:t>
      </w:r>
    </w:p>
    <w:p>
      <w:pPr>
        <w:spacing w:after="0" w:line="179" w:lineRule="exact"/>
        <w:rPr>
          <w:rFonts w:ascii="Times New Roman" w:cs="Times New Roman" w:eastAsia="Times New Roman" w:hAnsi="Times New Roman"/>
          <w:sz w:val="20"/>
          <w:szCs w:val="20"/>
          <w:color w:val="auto"/>
        </w:rPr>
      </w:pPr>
    </w:p>
    <w:p>
      <w:pPr>
        <w:ind w:left="-20" w:right="60" w:firstLine="656"/>
        <w:spacing w:after="0" w:line="244" w:lineRule="auto"/>
        <w:tabs>
          <w:tab w:leader="none" w:pos="952"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The parties hereto hereby declare that it is impossible to measure in money the damages which will accrue to the Warrantholder by reason of the Company’s failure to perform any of the obligations under this Agreement and agree that the terms of this Agreement shall be specifically enforceable by the Warrantholder. If the Warrantholder institutes any action or proceeding to specifically enforce the provisions hereof, any person against whom such action or proceeding is brought hereby waives the claim or defense therein that the Warrantholder has an adequate remedy at law, and such person shall not offer in any such action or proceeding the claim or defense that such remedy at law exists.</w:t>
      </w:r>
    </w:p>
    <w:p>
      <w:pPr>
        <w:spacing w:after="0" w:line="185" w:lineRule="exact"/>
        <w:rPr>
          <w:rFonts w:ascii="Times New Roman" w:cs="Times New Roman" w:eastAsia="Times New Roman" w:hAnsi="Times New Roman"/>
          <w:sz w:val="20"/>
          <w:szCs w:val="20"/>
          <w:color w:val="auto"/>
        </w:rPr>
      </w:pPr>
    </w:p>
    <w:p>
      <w:pPr>
        <w:ind w:left="-20" w:right="380" w:firstLine="656"/>
        <w:spacing w:after="0" w:line="274" w:lineRule="auto"/>
        <w:tabs>
          <w:tab w:leader="none" w:pos="952"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Lost, Stolen, Mutilated or Destroyed Warrant</w:t>
      </w:r>
      <w:r>
        <w:rPr>
          <w:rFonts w:ascii="Times New Roman" w:cs="Times New Roman" w:eastAsia="Times New Roman" w:hAnsi="Times New Roman"/>
          <w:sz w:val="19"/>
          <w:szCs w:val="19"/>
          <w:color w:val="auto"/>
        </w:rPr>
        <w:t>. If this Warrant is lost, stolen, mutilated or destroyed, the Company may, on such terms as to indemnity or otherwise as it may reasonably impose (which shall, in the case of a mutilated Warrant, include the surrender thereof), issue a new Warrant of like denomination and tenor as this Warrant so</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356870</wp:posOffset>
            </wp:positionV>
            <wp:extent cx="629221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00" w:top="118" w:right="1019" w:bottom="1440" w:gutter="0" w:footer="0" w:header="0"/>
        </w:sectPr>
      </w:pPr>
    </w:p>
    <w:bookmarkStart w:id="222" w:name="page223"/>
    <w:bookmarkEnd w:id="222"/>
    <w:p>
      <w:pPr>
        <w:ind w:right="560"/>
        <w:spacing w:after="0" w:line="253" w:lineRule="auto"/>
        <w:rPr>
          <w:sz w:val="20"/>
          <w:szCs w:val="20"/>
          <w:color w:val="auto"/>
        </w:rPr>
      </w:pPr>
      <w:r>
        <w:rPr>
          <w:rFonts w:ascii="Times New Roman" w:cs="Times New Roman" w:eastAsia="Times New Roman" w:hAnsi="Times New Roman"/>
          <w:sz w:val="20"/>
          <w:szCs w:val="20"/>
          <w:color w:val="auto"/>
        </w:rPr>
        <w:t>lost, stolen, mutilated or destroyed. Any such new Warrant shall constitute an original contractual obligation of the Company, whether or not the allegedly lost, stolen, mutilated or destroyed Warrant shall be at any time enforceable by anyone.</w:t>
      </w:r>
    </w:p>
    <w:p>
      <w:pPr>
        <w:spacing w:after="0" w:line="176" w:lineRule="exact"/>
        <w:rPr>
          <w:sz w:val="20"/>
          <w:szCs w:val="20"/>
          <w:color w:val="auto"/>
        </w:rPr>
      </w:pPr>
    </w:p>
    <w:p>
      <w:pPr>
        <w:ind w:right="140" w:firstLine="656"/>
        <w:spacing w:after="0" w:line="254" w:lineRule="auto"/>
        <w:tabs>
          <w:tab w:leader="none" w:pos="972"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Legends</w:t>
      </w:r>
      <w:r>
        <w:rPr>
          <w:rFonts w:ascii="Times New Roman" w:cs="Times New Roman" w:eastAsia="Times New Roman" w:hAnsi="Times New Roman"/>
          <w:sz w:val="20"/>
          <w:szCs w:val="20"/>
          <w:color w:val="auto"/>
        </w:rPr>
        <w:t>. To the extent required by applicable laws, this Warrant and the shares of Common Stock issuable hereunder (and the securities issuable, directly or indirectly, upon conversion of such shares of Common Stock, if any) may be imprinted with a restricted securities legend in substantially the following form:</w:t>
      </w:r>
    </w:p>
    <w:p>
      <w:pPr>
        <w:spacing w:after="0" w:line="174"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0"/>
          <w:szCs w:val="20"/>
          <w:color w:val="auto"/>
        </w:rPr>
        <w:t>THIS SECURITY HAS NOT BEEN REGISTERED UNDER THE SECURITIES ACT OF 1933, AS AMENDED (THE “ACT”), OR ANY APPLICABLE STATE SECURITIES LAWS, AND MAY NOT BE SOLD, OFFERED FOR SALE, PLEDGED OR HYPOTHECATED IN THE ABSENCE OF AN EFFECTIVE REGISTRATION RELATED THERETO OR, SUBJECT TO SECTION 11 OF THE AMENDED AND RESTATED WARRANT AGREEMENT DATED MARCH 31, 2023, BETWEEN THE COMPANY AND HERCULES PRIVATE GLOBAL VENTURE GROWTH FUND I L.P., AN OPINION OF COUNSEL (WHICH MAY BE COMPANY COUNSEL) REASONABLY SATISFACTORY TO THE COMPANY THAT SUCH REGISTRATION IS NOT REQUIRED UNDER THE ACTOR ANY STATE SECURITIES LAWS.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23" w:name="page224"/>
    <w:bookmarkEnd w:id="223"/>
    <w:p>
      <w:pPr>
        <w:ind w:firstLine="648"/>
        <w:spacing w:after="0" w:line="268"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Amended and Restated Warrant Agreement to be executed by its officers thereunto duly authorized as of the date first written above.</w:t>
      </w:r>
    </w:p>
    <w:p>
      <w:pPr>
        <w:spacing w:after="0" w:line="390" w:lineRule="exact"/>
        <w:rPr>
          <w:sz w:val="20"/>
          <w:szCs w:val="20"/>
          <w:color w:val="auto"/>
        </w:rPr>
      </w:pPr>
    </w:p>
    <w:p>
      <w:pPr>
        <w:ind w:left="660"/>
        <w:spacing w:after="0"/>
        <w:tabs>
          <w:tab w:leader="none" w:pos="4960" w:val="left"/>
        </w:tabs>
        <w:rPr>
          <w:sz w:val="20"/>
          <w:szCs w:val="20"/>
          <w:color w:val="auto"/>
        </w:rPr>
      </w:pPr>
      <w:r>
        <w:rPr>
          <w:rFonts w:ascii="Times New Roman" w:cs="Times New Roman" w:eastAsia="Times New Roman" w:hAnsi="Times New Roman"/>
          <w:sz w:val="20"/>
          <w:szCs w:val="20"/>
          <w:color w:val="auto"/>
        </w:rPr>
        <w:t>COMPANY:</w:t>
      </w:r>
      <w:r>
        <w:rPr>
          <w:sz w:val="20"/>
          <w:szCs w:val="20"/>
          <w:color w:val="auto"/>
        </w:rPr>
        <w:tab/>
      </w:r>
      <w:r>
        <w:rPr>
          <w:rFonts w:ascii="Times New Roman" w:cs="Times New Roman" w:eastAsia="Times New Roman" w:hAnsi="Times New Roman"/>
          <w:sz w:val="20"/>
          <w:szCs w:val="20"/>
          <w:color w:val="auto"/>
        </w:rPr>
        <w:t>TG THERAPEUTICS, INC.</w:t>
      </w:r>
    </w:p>
    <w:p>
      <w:pPr>
        <w:spacing w:after="0" w:line="200" w:lineRule="exact"/>
        <w:rPr>
          <w:sz w:val="20"/>
          <w:szCs w:val="20"/>
          <w:color w:val="auto"/>
        </w:rPr>
      </w:pPr>
    </w:p>
    <w:p>
      <w:pPr>
        <w:spacing w:after="0" w:line="25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-144780</wp:posOffset>
            </wp:positionV>
            <wp:extent cx="276034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13335</wp:posOffset>
            </wp:positionV>
            <wp:extent cx="276034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760345" cy="889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-140335</wp:posOffset>
            </wp:positionV>
            <wp:extent cx="276034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i w:val="1"/>
          <w:iCs w:val="1"/>
          <w:color w:val="auto"/>
        </w:rPr>
        <w:t>[Signature Page to Amended and Restated Warrant (TG Therapeutics/Hercules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00"/>
          </w:cols>
          <w:pgMar w:left="980" w:top="118" w:right="1419" w:bottom="1440" w:gutter="0" w:footer="0" w:header="0"/>
        </w:sectPr>
      </w:pPr>
    </w:p>
    <w:bookmarkStart w:id="224" w:name="page225"/>
    <w:bookmarkEnd w:id="224"/>
    <w:tbl>
      <w:tblPr>
        <w:tblLayout w:type="fixed"/>
        <w:tblInd w:w="20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WARRANTHOLDER:</w:t>
            </w:r>
          </w:p>
        </w:tc>
        <w:tc>
          <w:tcPr>
            <w:tcW w:w="6180" w:type="dxa"/>
            <w:vAlign w:val="bottom"/>
            <w:gridSpan w:val="2"/>
          </w:tcPr>
          <w:p>
            <w:pPr>
              <w:ind w:left="1240"/>
              <w:spacing w:after="0"/>
              <w:rPr>
                <w:sz w:val="20"/>
                <w:szCs w:val="20"/>
                <w:color w:val="auto"/>
              </w:rPr>
            </w:pPr>
            <w:r>
              <w:rPr>
                <w:rFonts w:ascii="Times New Roman" w:cs="Times New Roman" w:eastAsia="Times New Roman" w:hAnsi="Times New Roman"/>
                <w:sz w:val="20"/>
                <w:szCs w:val="20"/>
                <w:color w:val="auto"/>
              </w:rPr>
              <w:t>HERCULES PRIVATE GLOBAL VENTURE GROWTH</w:t>
            </w:r>
          </w:p>
        </w:tc>
        <w:tc>
          <w:tcPr>
            <w:tcW w:w="0" w:type="dxa"/>
            <w:vAlign w:val="bottom"/>
          </w:tcPr>
          <w:p>
            <w:pPr>
              <w:spacing w:after="0"/>
              <w:rPr>
                <w:sz w:val="1"/>
                <w:szCs w:val="1"/>
                <w:color w:val="auto"/>
              </w:rPr>
            </w:pPr>
          </w:p>
        </w:tc>
      </w:tr>
      <w:tr>
        <w:trPr>
          <w:trHeight w:val="258"/>
        </w:trPr>
        <w:tc>
          <w:tcPr>
            <w:tcW w:w="3080" w:type="dxa"/>
            <w:vAlign w:val="bottom"/>
          </w:tcPr>
          <w:p>
            <w:pPr>
              <w:spacing w:after="0"/>
              <w:rPr>
                <w:sz w:val="22"/>
                <w:szCs w:val="22"/>
                <w:color w:val="auto"/>
              </w:rPr>
            </w:pPr>
          </w:p>
        </w:tc>
        <w:tc>
          <w:tcPr>
            <w:tcW w:w="6180" w:type="dxa"/>
            <w:vAlign w:val="bottom"/>
            <w:gridSpan w:val="2"/>
          </w:tcPr>
          <w:p>
            <w:pPr>
              <w:ind w:left="1240"/>
              <w:spacing w:after="0"/>
              <w:rPr>
                <w:sz w:val="20"/>
                <w:szCs w:val="20"/>
                <w:color w:val="auto"/>
              </w:rPr>
            </w:pPr>
            <w:r>
              <w:rPr>
                <w:rFonts w:ascii="Times New Roman" w:cs="Times New Roman" w:eastAsia="Times New Roman" w:hAnsi="Times New Roman"/>
                <w:sz w:val="20"/>
                <w:szCs w:val="20"/>
                <w:color w:val="auto"/>
              </w:rPr>
              <w:t>FUND I L.P.</w:t>
            </w:r>
          </w:p>
        </w:tc>
        <w:tc>
          <w:tcPr>
            <w:tcW w:w="0" w:type="dxa"/>
            <w:vAlign w:val="bottom"/>
          </w:tcPr>
          <w:p>
            <w:pPr>
              <w:spacing w:after="0"/>
              <w:rPr>
                <w:sz w:val="1"/>
                <w:szCs w:val="1"/>
                <w:color w:val="auto"/>
              </w:rPr>
            </w:pPr>
          </w:p>
        </w:tc>
      </w:tr>
      <w:tr>
        <w:trPr>
          <w:trHeight w:val="430"/>
        </w:trPr>
        <w:tc>
          <w:tcPr>
            <w:tcW w:w="3080" w:type="dxa"/>
            <w:vAlign w:val="bottom"/>
          </w:tcPr>
          <w:p>
            <w:pPr>
              <w:spacing w:after="0"/>
              <w:rPr>
                <w:sz w:val="24"/>
                <w:szCs w:val="24"/>
                <w:color w:val="auto"/>
              </w:rPr>
            </w:pPr>
          </w:p>
        </w:tc>
        <w:tc>
          <w:tcPr>
            <w:tcW w:w="6180" w:type="dxa"/>
            <w:vAlign w:val="bottom"/>
            <w:gridSpan w:val="2"/>
          </w:tcPr>
          <w:p>
            <w:pPr>
              <w:ind w:left="1240"/>
              <w:spacing w:after="0"/>
              <w:rPr>
                <w:sz w:val="20"/>
                <w:szCs w:val="20"/>
                <w:color w:val="auto"/>
              </w:rPr>
            </w:pPr>
            <w:r>
              <w:rPr>
                <w:rFonts w:ascii="Times New Roman" w:cs="Times New Roman" w:eastAsia="Times New Roman" w:hAnsi="Times New Roman"/>
                <w:sz w:val="20"/>
                <w:szCs w:val="20"/>
                <w:color w:val="auto"/>
              </w:rPr>
              <w:t>By: Hercules Private Global Venture Growth</w:t>
            </w:r>
          </w:p>
        </w:tc>
        <w:tc>
          <w:tcPr>
            <w:tcW w:w="0" w:type="dxa"/>
            <w:vAlign w:val="bottom"/>
          </w:tcPr>
          <w:p>
            <w:pPr>
              <w:spacing w:after="0"/>
              <w:rPr>
                <w:sz w:val="1"/>
                <w:szCs w:val="1"/>
                <w:color w:val="auto"/>
              </w:rPr>
            </w:pPr>
          </w:p>
        </w:tc>
      </w:tr>
      <w:tr>
        <w:trPr>
          <w:trHeight w:val="258"/>
        </w:trPr>
        <w:tc>
          <w:tcPr>
            <w:tcW w:w="3080" w:type="dxa"/>
            <w:vAlign w:val="bottom"/>
          </w:tcPr>
          <w:p>
            <w:pPr>
              <w:spacing w:after="0"/>
              <w:rPr>
                <w:sz w:val="22"/>
                <w:szCs w:val="22"/>
                <w:color w:val="auto"/>
              </w:rPr>
            </w:pPr>
          </w:p>
        </w:tc>
        <w:tc>
          <w:tcPr>
            <w:tcW w:w="6180" w:type="dxa"/>
            <w:vAlign w:val="bottom"/>
            <w:gridSpan w:val="2"/>
          </w:tcPr>
          <w:p>
            <w:pPr>
              <w:ind w:left="1240"/>
              <w:spacing w:after="0"/>
              <w:rPr>
                <w:sz w:val="20"/>
                <w:szCs w:val="20"/>
                <w:color w:val="auto"/>
              </w:rPr>
            </w:pPr>
            <w:r>
              <w:rPr>
                <w:rFonts w:ascii="Times New Roman" w:cs="Times New Roman" w:eastAsia="Times New Roman" w:hAnsi="Times New Roman"/>
                <w:sz w:val="20"/>
                <w:szCs w:val="20"/>
                <w:color w:val="auto"/>
              </w:rPr>
              <w:t>Fund GP I, LLC, its general partner</w:t>
            </w:r>
          </w:p>
        </w:tc>
        <w:tc>
          <w:tcPr>
            <w:tcW w:w="0" w:type="dxa"/>
            <w:vAlign w:val="bottom"/>
          </w:tcPr>
          <w:p>
            <w:pPr>
              <w:spacing w:after="0"/>
              <w:rPr>
                <w:sz w:val="1"/>
                <w:szCs w:val="1"/>
                <w:color w:val="auto"/>
              </w:rPr>
            </w:pPr>
          </w:p>
        </w:tc>
      </w:tr>
      <w:tr>
        <w:trPr>
          <w:trHeight w:val="459"/>
        </w:trPr>
        <w:tc>
          <w:tcPr>
            <w:tcW w:w="3080" w:type="dxa"/>
            <w:vAlign w:val="bottom"/>
          </w:tcPr>
          <w:p>
            <w:pPr>
              <w:spacing w:after="0"/>
              <w:rPr>
                <w:sz w:val="24"/>
                <w:szCs w:val="24"/>
                <w:color w:val="auto"/>
              </w:rPr>
            </w:pPr>
          </w:p>
        </w:tc>
        <w:tc>
          <w:tcPr>
            <w:tcW w:w="6180" w:type="dxa"/>
            <w:vAlign w:val="bottom"/>
            <w:gridSpan w:val="2"/>
          </w:tcPr>
          <w:p>
            <w:pPr>
              <w:ind w:left="1240"/>
              <w:spacing w:after="0"/>
              <w:rPr>
                <w:sz w:val="20"/>
                <w:szCs w:val="20"/>
                <w:color w:val="auto"/>
              </w:rPr>
            </w:pPr>
            <w:r>
              <w:rPr>
                <w:rFonts w:ascii="Times New Roman" w:cs="Times New Roman" w:eastAsia="Times New Roman" w:hAnsi="Times New Roman"/>
                <w:sz w:val="20"/>
                <w:szCs w:val="20"/>
                <w:color w:val="auto"/>
              </w:rPr>
              <w:t>By: Hercules Adviser LLC, its sole member</w:t>
            </w:r>
          </w:p>
        </w:tc>
        <w:tc>
          <w:tcPr>
            <w:tcW w:w="0" w:type="dxa"/>
            <w:vAlign w:val="bottom"/>
          </w:tcPr>
          <w:p>
            <w:pPr>
              <w:spacing w:after="0"/>
              <w:rPr>
                <w:sz w:val="1"/>
                <w:szCs w:val="1"/>
                <w:color w:val="auto"/>
              </w:rPr>
            </w:pPr>
          </w:p>
        </w:tc>
      </w:tr>
      <w:tr>
        <w:trPr>
          <w:trHeight w:val="430"/>
        </w:trPr>
        <w:tc>
          <w:tcPr>
            <w:tcW w:w="3080" w:type="dxa"/>
            <w:vAlign w:val="bottom"/>
          </w:tcPr>
          <w:p>
            <w:pPr>
              <w:spacing w:after="0"/>
              <w:rPr>
                <w:sz w:val="24"/>
                <w:szCs w:val="24"/>
                <w:color w:val="auto"/>
              </w:rPr>
            </w:pPr>
          </w:p>
        </w:tc>
        <w:tc>
          <w:tcPr>
            <w:tcW w:w="6180" w:type="dxa"/>
            <w:vAlign w:val="bottom"/>
            <w:gridSpan w:val="2"/>
          </w:tcPr>
          <w:p>
            <w:pPr>
              <w:ind w:left="1240"/>
              <w:spacing w:after="0"/>
              <w:rPr>
                <w:sz w:val="20"/>
                <w:szCs w:val="20"/>
                <w:color w:val="auto"/>
              </w:rPr>
            </w:pPr>
            <w:r>
              <w:rPr>
                <w:rFonts w:ascii="Times New Roman" w:cs="Times New Roman" w:eastAsia="Times New Roman" w:hAnsi="Times New Roman"/>
                <w:sz w:val="20"/>
                <w:szCs w:val="20"/>
                <w:color w:val="auto"/>
              </w:rPr>
              <w:t>By:</w:t>
            </w:r>
          </w:p>
        </w:tc>
        <w:tc>
          <w:tcPr>
            <w:tcW w:w="0" w:type="dxa"/>
            <w:vAlign w:val="bottom"/>
          </w:tcPr>
          <w:p>
            <w:pPr>
              <w:spacing w:after="0"/>
              <w:rPr>
                <w:sz w:val="1"/>
                <w:szCs w:val="1"/>
                <w:color w:val="auto"/>
              </w:rPr>
            </w:pPr>
          </w:p>
        </w:tc>
      </w:tr>
      <w:tr>
        <w:trPr>
          <w:trHeight w:val="23"/>
        </w:trPr>
        <w:tc>
          <w:tcPr>
            <w:tcW w:w="3080" w:type="dxa"/>
            <w:vAlign w:val="bottom"/>
          </w:tcPr>
          <w:p>
            <w:pPr>
              <w:spacing w:after="0" w:line="20" w:lineRule="exact"/>
              <w:rPr>
                <w:sz w:val="1"/>
                <w:szCs w:val="1"/>
                <w:color w:val="auto"/>
              </w:rPr>
            </w:pPr>
          </w:p>
        </w:tc>
        <w:tc>
          <w:tcPr>
            <w:tcW w:w="1840" w:type="dxa"/>
            <w:vAlign w:val="bottom"/>
            <w:vMerge w:val="restart"/>
          </w:tcPr>
          <w:p>
            <w:pPr>
              <w:ind w:left="1240"/>
              <w:spacing w:after="0"/>
              <w:rPr>
                <w:sz w:val="20"/>
                <w:szCs w:val="20"/>
                <w:color w:val="auto"/>
              </w:rPr>
            </w:pPr>
            <w:r>
              <w:rPr>
                <w:rFonts w:ascii="Times New Roman" w:cs="Times New Roman" w:eastAsia="Times New Roman" w:hAnsi="Times New Roman"/>
                <w:sz w:val="20"/>
                <w:szCs w:val="20"/>
                <w:color w:val="auto"/>
              </w:rPr>
              <w:t>Name:</w:t>
            </w:r>
          </w:p>
        </w:tc>
        <w:tc>
          <w:tcPr>
            <w:tcW w:w="4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080" w:type="dxa"/>
            <w:vAlign w:val="bottom"/>
          </w:tcPr>
          <w:p>
            <w:pPr>
              <w:spacing w:after="0"/>
              <w:rPr>
                <w:sz w:val="17"/>
                <w:szCs w:val="17"/>
                <w:color w:val="auto"/>
              </w:rPr>
            </w:pPr>
          </w:p>
        </w:tc>
        <w:tc>
          <w:tcPr>
            <w:tcW w:w="1840" w:type="dxa"/>
            <w:vAlign w:val="bottom"/>
            <w:vMerge w:val="continue"/>
          </w:tcPr>
          <w:p>
            <w:pPr>
              <w:spacing w:after="0"/>
              <w:rPr>
                <w:sz w:val="17"/>
                <w:szCs w:val="17"/>
                <w:color w:val="auto"/>
              </w:rPr>
            </w:pPr>
          </w:p>
        </w:tc>
        <w:tc>
          <w:tcPr>
            <w:tcW w:w="4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3080" w:type="dxa"/>
            <w:vAlign w:val="bottom"/>
          </w:tcPr>
          <w:p>
            <w:pPr>
              <w:spacing w:after="0"/>
              <w:rPr>
                <w:sz w:val="22"/>
                <w:szCs w:val="22"/>
                <w:color w:val="auto"/>
              </w:rPr>
            </w:pPr>
          </w:p>
        </w:tc>
        <w:tc>
          <w:tcPr>
            <w:tcW w:w="6180" w:type="dxa"/>
            <w:vAlign w:val="bottom"/>
            <w:gridSpan w:val="2"/>
          </w:tcPr>
          <w:p>
            <w:pPr>
              <w:ind w:left="1240"/>
              <w:spacing w:after="0"/>
              <w:rPr>
                <w:sz w:val="20"/>
                <w:szCs w:val="20"/>
                <w:color w:val="auto"/>
              </w:rPr>
            </w:pPr>
            <w:r>
              <w:rPr>
                <w:rFonts w:ascii="Times New Roman" w:cs="Times New Roman" w:eastAsia="Times New Roman" w:hAnsi="Times New Roman"/>
                <w:sz w:val="20"/>
                <w:szCs w:val="20"/>
                <w:color w:val="auto"/>
              </w:rPr>
              <w:t>Title: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i w:val="1"/>
          <w:iCs w:val="1"/>
          <w:color w:val="auto"/>
        </w:rPr>
        <w:t>[Signature Page to Amended and Restated Warrant (TG Therapeutics/Hercules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59" w:right="999" w:bottom="1440" w:gutter="0" w:footer="0" w:header="0"/>
        </w:sectPr>
      </w:pPr>
    </w:p>
    <w:bookmarkStart w:id="225" w:name="page226"/>
    <w:bookmarkEnd w:id="225"/>
    <w:p>
      <w:pPr>
        <w:ind w:left="4020"/>
        <w:spacing w:after="0"/>
        <w:rPr>
          <w:sz w:val="20"/>
          <w:szCs w:val="20"/>
          <w:color w:val="auto"/>
        </w:rPr>
      </w:pPr>
      <w:r>
        <w:rPr>
          <w:rFonts w:ascii="Times New Roman" w:cs="Times New Roman" w:eastAsia="Times New Roman" w:hAnsi="Times New Roman"/>
          <w:sz w:val="20"/>
          <w:szCs w:val="20"/>
          <w:color w:val="auto"/>
        </w:rPr>
        <w:t>EXHIBIT I</w:t>
      </w:r>
    </w:p>
    <w:p>
      <w:pPr>
        <w:spacing w:after="0" w:line="21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EXHIBIT II</w:t>
      </w:r>
    </w:p>
    <w:p>
      <w:pPr>
        <w:spacing w:after="0" w:line="21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9"/>
          <w:szCs w:val="19"/>
          <w:color w:val="auto"/>
        </w:rPr>
        <w:t>EXHIBIT III</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26" w:name="page227"/>
    <w:bookmarkEnd w:id="226"/>
    <w:p>
      <w:pPr>
        <w:ind w:left="8900"/>
        <w:spacing w:after="0"/>
        <w:rPr>
          <w:sz w:val="20"/>
          <w:szCs w:val="20"/>
          <w:color w:val="auto"/>
        </w:rPr>
      </w:pPr>
      <w:r>
        <w:rPr>
          <w:rFonts w:ascii="Times New Roman" w:cs="Times New Roman" w:eastAsia="Times New Roman" w:hAnsi="Times New Roman"/>
          <w:sz w:val="19"/>
          <w:szCs w:val="19"/>
          <w:b w:val="1"/>
          <w:bCs w:val="1"/>
          <w:color w:val="auto"/>
        </w:rPr>
        <w:t>Exhibit 10.6</w:t>
      </w:r>
    </w:p>
    <w:p>
      <w:pPr>
        <w:spacing w:after="0" w:line="2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WARRANT AND THE SHARES ISSUABLE UPON EXERCISE HEREOF HAVE NOT BEEN REGISTERED UNDER THE SECURITIES ACT OF 1933, AS AMENDED (THE “ACT”), OR ANY STATE SECURITIES LAWS, AND MAY NOT BE SOLD, OFFERED FOR SALE, PLEDGED, OR HYPOTHECATED IN THE ABSENCE OF AN EFFECTIVE REGISTRATION STATEMENT RELATED THERETO OR, SUBJECT TO SECTION 11 HEREOF, AN OPINION OF COUNSEL (WHICH MAY BE COMPANY COUNSEL) REASONABLY SATISFACTORY TO THE COMPANY THAT SUCH REGISTRATION IS NOT REQUIRED UNDER THE ACT, OR ANY APPLICABLE STATE SECURITIES LAWS.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WARRANT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To Purchase Shares of the Common Stock of</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TG THERAPEUTICS,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as of March 31, 2023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20"/>
          <w:szCs w:val="20"/>
          <w:color w:val="auto"/>
        </w:rPr>
        <w:t>WHEREAS, TG Therapeutics,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entered into an Amended and Restated Loan and Security Agreement dated as of December 30, 2021 (as amended by that certain First Amendment to Amended and Restated Loan and Security Agreement dated as of March 31, 2023, and as otherwise amended and in effect from time to time, the “</w:t>
      </w:r>
      <w:r>
        <w:rPr>
          <w:rFonts w:ascii="Times New Roman" w:cs="Times New Roman" w:eastAsia="Times New Roman" w:hAnsi="Times New Roman"/>
          <w:sz w:val="20"/>
          <w:szCs w:val="20"/>
          <w:u w:val="single" w:color="auto"/>
          <w:color w:val="auto"/>
        </w:rPr>
        <w:t>Loan Agreement</w:t>
      </w:r>
      <w:r>
        <w:rPr>
          <w:rFonts w:ascii="Times New Roman" w:cs="Times New Roman" w:eastAsia="Times New Roman" w:hAnsi="Times New Roman"/>
          <w:sz w:val="20"/>
          <w:szCs w:val="20"/>
          <w:color w:val="auto"/>
        </w:rPr>
        <w:t>”) with Hercules Capital, Inc., a Maryland corporation, in its capacity as administrative and collateral agent, Hercules Capital, Inc., as a lender (the “</w:t>
      </w:r>
      <w:r>
        <w:rPr>
          <w:rFonts w:ascii="Times New Roman" w:cs="Times New Roman" w:eastAsia="Times New Roman" w:hAnsi="Times New Roman"/>
          <w:sz w:val="20"/>
          <w:szCs w:val="20"/>
          <w:u w:val="single" w:color="auto"/>
          <w:color w:val="auto"/>
        </w:rPr>
        <w:t>Warrantholder</w:t>
      </w:r>
      <w:r>
        <w:rPr>
          <w:rFonts w:ascii="Times New Roman" w:cs="Times New Roman" w:eastAsia="Times New Roman" w:hAnsi="Times New Roman"/>
          <w:sz w:val="20"/>
          <w:szCs w:val="20"/>
          <w:color w:val="auto"/>
        </w:rPr>
        <w:t>”), and the other lenders from time to time party thereto;</w:t>
      </w:r>
    </w:p>
    <w:p>
      <w:pPr>
        <w:spacing w:after="0" w:line="184" w:lineRule="exact"/>
        <w:rPr>
          <w:sz w:val="20"/>
          <w:szCs w:val="20"/>
          <w:color w:val="auto"/>
        </w:rPr>
      </w:pPr>
    </w:p>
    <w:p>
      <w:pPr>
        <w:ind w:right="100" w:firstLine="648"/>
        <w:spacing w:after="0" w:line="249" w:lineRule="auto"/>
        <w:rPr>
          <w:sz w:val="20"/>
          <w:szCs w:val="20"/>
          <w:color w:val="auto"/>
        </w:rPr>
      </w:pPr>
      <w:r>
        <w:rPr>
          <w:rFonts w:ascii="Times New Roman" w:cs="Times New Roman" w:eastAsia="Times New Roman" w:hAnsi="Times New Roman"/>
          <w:sz w:val="20"/>
          <w:szCs w:val="20"/>
          <w:color w:val="auto"/>
        </w:rPr>
        <w:t>WHEREAS, pursuant to the Loan Agreement and as additional consideration to the Warrantholder for, among other things, its agreements in the Loan Agreement, the Company has agreed to issue to the Warrantholder this Warrant Agreement, evidencing the right to purchase shares of the Company’s Common Stock (this “</w:t>
      </w:r>
      <w:r>
        <w:rPr>
          <w:rFonts w:ascii="Times New Roman" w:cs="Times New Roman" w:eastAsia="Times New Roman" w:hAnsi="Times New Roman"/>
          <w:sz w:val="20"/>
          <w:szCs w:val="20"/>
          <w:u w:val="single" w:color="auto"/>
          <w:color w:val="auto"/>
        </w:rPr>
        <w:t>Warrant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Warrant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or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Warrantholder having executed and delivered the Loan Agreement and provided the financial accommodations contemplated therein, and in consideration of the mutual covenants and agreements contained herein, the Company and Warrantholder agree as follows:</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color w:val="auto"/>
        </w:rPr>
        <w:t>GRANT OF THE RIGHT TO PURCHASE COMMON STOCK.</w:t>
      </w:r>
    </w:p>
    <w:p>
      <w:pPr>
        <w:spacing w:after="0" w:line="220" w:lineRule="exact"/>
        <w:rPr>
          <w:sz w:val="20"/>
          <w:szCs w:val="20"/>
          <w:color w:val="auto"/>
        </w:rPr>
      </w:pPr>
    </w:p>
    <w:p>
      <w:pPr>
        <w:ind w:firstLine="656"/>
        <w:spacing w:after="0" w:line="245" w:lineRule="auto"/>
        <w:tabs>
          <w:tab w:leader="none" w:pos="1296"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value received, the Company hereby grants to the Warrantholder, and the Warrantholder is entitled, upon the terms and subject to the conditions hereinafter set forth, to subscribe for and purchase, from the Company, up to the aggregate number of fully paid and non-assessable shares of Common Stock (as defined below) as determined pursuant to Section 1(b) below, at a purchase price per share equal to the Exercise Price (as defined below). The number and Exercise Price of such shares are subject to adjustment as provided in Section 8. As used herein, the following terms shall have the following meanings:</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means the Securities Act of 1933, as amended.</w:t>
      </w:r>
    </w:p>
    <w:p>
      <w:pPr>
        <w:spacing w:after="0" w:line="216" w:lineRule="exact"/>
        <w:rPr>
          <w:sz w:val="20"/>
          <w:szCs w:val="20"/>
          <w:color w:val="auto"/>
        </w:rPr>
      </w:pPr>
    </w:p>
    <w:p>
      <w:pPr>
        <w:ind w:left="660" w:right="3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Charter</w:t>
      </w:r>
      <w:r>
        <w:rPr>
          <w:rFonts w:ascii="Times New Roman" w:cs="Times New Roman" w:eastAsia="Times New Roman" w:hAnsi="Times New Roman"/>
          <w:sz w:val="20"/>
          <w:szCs w:val="20"/>
          <w:color w:val="auto"/>
        </w:rPr>
        <w:t>” means the Company’s Certificate of Incorporation or other constitutional document, as may be amended and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878840</wp:posOffset>
            </wp:positionV>
            <wp:extent cx="629221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9" w:right="999" w:bottom="1440" w:gutter="0" w:footer="0" w:header="0"/>
        </w:sectPr>
      </w:pPr>
    </w:p>
    <w:bookmarkStart w:id="227" w:name="page228"/>
    <w:bookmarkEnd w:id="227"/>
    <w:p>
      <w:pPr>
        <w:ind w:left="200" w:right="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means the Company’s common stock, $0.001 par value per share, as presently constituted under the Charter, and any class and/or series of Company capital stock for or into which such common stock may be converted or exchanged in a reorganization, recapitalization or similar transaction.</w:t>
      </w:r>
    </w:p>
    <w:p>
      <w:pPr>
        <w:spacing w:after="0" w:line="174" w:lineRule="exact"/>
        <w:rPr>
          <w:sz w:val="20"/>
          <w:szCs w:val="20"/>
          <w:color w:val="auto"/>
        </w:rPr>
      </w:pPr>
    </w:p>
    <w:p>
      <w:pPr>
        <w:ind w:left="200" w:right="100"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Registration</w:t>
      </w:r>
      <w:r>
        <w:rPr>
          <w:rFonts w:ascii="Times New Roman" w:cs="Times New Roman" w:eastAsia="Times New Roman" w:hAnsi="Times New Roman"/>
          <w:sz w:val="20"/>
          <w:szCs w:val="20"/>
          <w:color w:val="auto"/>
        </w:rPr>
        <w:t xml:space="preserve">” means (i) a registration relating to the sale of securities to employees of the Company or a subsidiary pursuant to an equity option, equity purchase, or similar plan; (ii) a registration relating to an SEC Rule 145 transaction; or (iii) a registration on any form that does not include substantially the same information as would be required to be included in a registration statement covering the sale of the Registrable Securities,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the inclusion of information regarding this Warrant and the plan of distribution of and selling securityholder information related to the Common Shares issuable upon exercise of this Warrant, shall not constitute a basis for excluding the Registrable Securities from a registration pursuant to this clause (iii).</w:t>
      </w:r>
    </w:p>
    <w:p>
      <w:pPr>
        <w:spacing w:after="0" w:line="189" w:lineRule="exact"/>
        <w:rPr>
          <w:sz w:val="20"/>
          <w:szCs w:val="20"/>
          <w:color w:val="auto"/>
        </w:rPr>
      </w:pPr>
    </w:p>
    <w:p>
      <w:pPr>
        <w:ind w:left="200" w:right="1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means $14.70, subject to adjustment from time to time in accordance with the provisions of this Warrant.</w:t>
      </w:r>
    </w:p>
    <w:p>
      <w:pPr>
        <w:spacing w:after="0" w:line="159" w:lineRule="exact"/>
        <w:rPr>
          <w:sz w:val="20"/>
          <w:szCs w:val="20"/>
          <w:color w:val="auto"/>
        </w:rPr>
      </w:pPr>
    </w:p>
    <w:p>
      <w:pPr>
        <w:ind w:left="200" w:right="3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 Sale</w:t>
      </w:r>
      <w:r>
        <w:rPr>
          <w:rFonts w:ascii="Times New Roman" w:cs="Times New Roman" w:eastAsia="Times New Roman" w:hAnsi="Times New Roman"/>
          <w:sz w:val="20"/>
          <w:szCs w:val="20"/>
          <w:color w:val="auto"/>
        </w:rPr>
        <w:t>” means the closing of a Merger Event in which the consideration received by the Company and/or its stockholders, as applicable, consists solely of cash and/or Marketable Securities.</w:t>
      </w:r>
    </w:p>
    <w:p>
      <w:pPr>
        <w:spacing w:after="0" w:line="159" w:lineRule="exact"/>
        <w:rPr>
          <w:sz w:val="20"/>
          <w:szCs w:val="20"/>
          <w:color w:val="auto"/>
        </w:rPr>
      </w:pPr>
    </w:p>
    <w:p>
      <w:pPr>
        <w:ind w:left="200"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Marketable Securities</w:t>
      </w:r>
      <w:r>
        <w:rPr>
          <w:rFonts w:ascii="Times New Roman" w:cs="Times New Roman" w:eastAsia="Times New Roman" w:hAnsi="Times New Roman"/>
          <w:sz w:val="20"/>
          <w:szCs w:val="20"/>
          <w:color w:val="auto"/>
        </w:rPr>
        <w:t>” in connection with a Merger Event means securities meeting all of the following requirements: (i) the issuer thereof is then subject to the reporting requirements of Section 13 or Section 15(d)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is then current in its filing of all required reports and other information under the Act and the Exchange Act; (ii) the class and series of shares or other security of the issuer that would be received by the Warrantholder in connection with the Merger Event were the Warrantholder to exercise this Warrant on or prior to the closing thereof is then traded on a national securities exchange or over-the-counter market, and (iii) following the closing of such Merger Event, the Warrantholder would not be restricted from publicly re-selling all of the issuer’s shares and/or other securities that would be received by the Warrantholder in such Merger Event were the Warrantholder to exercise this Warrant in full on or prior to the closing of such Merger Event, except to the extent that any such restriction (x) arises solely under federal or state securities laws, rules or regulations, and (y) does not extend beyond six (6) months from the closing of such Merger Event.</w:t>
      </w:r>
    </w:p>
    <w:p>
      <w:pPr>
        <w:spacing w:after="0" w:line="187" w:lineRule="exact"/>
        <w:rPr>
          <w:sz w:val="20"/>
          <w:szCs w:val="20"/>
          <w:color w:val="auto"/>
        </w:rPr>
      </w:pPr>
    </w:p>
    <w:p>
      <w:pPr>
        <w:ind w:left="200"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Merger Event</w:t>
      </w:r>
      <w:r>
        <w:rPr>
          <w:rFonts w:ascii="Times New Roman" w:cs="Times New Roman" w:eastAsia="Times New Roman" w:hAnsi="Times New Roman"/>
          <w:sz w:val="20"/>
          <w:szCs w:val="20"/>
          <w:color w:val="auto"/>
        </w:rPr>
        <w:t>” means any of the following: (i) a sale, lease or other transfer of all or substantially all assets of the Company, (ii) any merger or consolidation involving the Company in which the Company is not the surviving entity or in which the outstanding shares of the Company’s capital stock are otherwise converted into or exchanged for shares of capital stock or other securities or property of another entity, or (iii) any sale by holders of the outstanding voting equity securities of the Company in a single transaction or series of related transactions of shares constituting a majority of the outstanding combined voting power of the Company.</w:t>
      </w:r>
    </w:p>
    <w:p>
      <w:pPr>
        <w:spacing w:after="0" w:line="184" w:lineRule="exact"/>
        <w:rPr>
          <w:sz w:val="20"/>
          <w:szCs w:val="20"/>
          <w:color w:val="auto"/>
        </w:rPr>
      </w:pPr>
    </w:p>
    <w:p>
      <w:pPr>
        <w:ind w:left="200" w:right="120"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Purchase Price</w:t>
      </w:r>
      <w:r>
        <w:rPr>
          <w:rFonts w:ascii="Times New Roman" w:cs="Times New Roman" w:eastAsia="Times New Roman" w:hAnsi="Times New Roman"/>
          <w:sz w:val="19"/>
          <w:szCs w:val="19"/>
          <w:color w:val="auto"/>
        </w:rPr>
        <w:t>” means, with respect to any exercise of this Warrant, an amount equal to the then-effective Exercise Price multiplied by the number of shares of Common Stock as to which this Warrant is then exercised.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1318" w:right="1019" w:bottom="1440" w:gutter="0" w:footer="0" w:header="0"/>
        </w:sectPr>
      </w:pPr>
    </w:p>
    <w:bookmarkStart w:id="228" w:name="page229"/>
    <w:bookmarkEnd w:id="228"/>
    <w:p>
      <w:pPr>
        <w:ind w:left="660" w:right="80"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Registrable Securities</w:t>
      </w:r>
      <w:r>
        <w:rPr>
          <w:rFonts w:ascii="Times New Roman" w:cs="Times New Roman" w:eastAsia="Times New Roman" w:hAnsi="Times New Roman"/>
          <w:sz w:val="20"/>
          <w:szCs w:val="20"/>
          <w:color w:val="auto"/>
        </w:rPr>
        <w:t xml:space="preserve">” means (i) the shares issuable upon exercise of this Warrant and (ii) any other Common Shares issued as a dividend or other distribution with respect to, in exchange for or in replacement of such shares;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securities referred to in (i)-(ii) above shall cease to be Registrable Securities (A) upon the sale of such securities pursuant to a registration statement or (B) upon the sale of such securities pursuant to Rule 144.</w:t>
      </w:r>
    </w:p>
    <w:p>
      <w:pPr>
        <w:spacing w:after="0" w:line="185" w:lineRule="exact"/>
        <w:rPr>
          <w:sz w:val="20"/>
          <w:szCs w:val="20"/>
          <w:color w:val="auto"/>
        </w:rPr>
      </w:pPr>
    </w:p>
    <w:p>
      <w:pPr>
        <w:ind w:left="6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Warrant Coverage</w:t>
      </w:r>
      <w:r>
        <w:rPr>
          <w:rFonts w:ascii="Times New Roman" w:cs="Times New Roman" w:eastAsia="Times New Roman" w:hAnsi="Times New Roman"/>
          <w:sz w:val="20"/>
          <w:szCs w:val="20"/>
          <w:color w:val="auto"/>
        </w:rPr>
        <w:t xml:space="preserve">” means 2.95%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aggregate principal amount of Term Loan Advances (as defined in the Loan Agreement) made and funded under the Loan Agreement on the Effective Date.</w:t>
      </w:r>
    </w:p>
    <w:p>
      <w:pPr>
        <w:spacing w:after="0" w:line="159" w:lineRule="exact"/>
        <w:rPr>
          <w:sz w:val="20"/>
          <w:szCs w:val="20"/>
          <w:color w:val="auto"/>
        </w:rPr>
      </w:pPr>
    </w:p>
    <w:p>
      <w:pPr>
        <w:ind w:right="20" w:firstLine="656"/>
        <w:spacing w:after="0" w:line="254" w:lineRule="auto"/>
        <w:tabs>
          <w:tab w:leader="none" w:pos="1296"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color w:val="auto"/>
        </w:rPr>
        <w:t>. This Warrant shall be exercisable for a number of shares of Common Stock equal to the quotient derived by dividing (i) the Warrant Coverage by (ii) the Exercise Price, subject to adjustment from time to time in accordance with the provisions of this Warrant.</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color w:val="auto"/>
        </w:rPr>
        <w:t>TERM OF THE AGREEMENT.</w:t>
      </w:r>
    </w:p>
    <w:p>
      <w:pPr>
        <w:spacing w:after="0" w:line="220" w:lineRule="exact"/>
        <w:rPr>
          <w:sz w:val="20"/>
          <w:szCs w:val="20"/>
          <w:color w:val="auto"/>
        </w:rPr>
      </w:pPr>
    </w:p>
    <w:p>
      <w:pPr>
        <w:ind w:right="320" w:firstLine="648"/>
        <w:spacing w:after="0" w:line="254" w:lineRule="auto"/>
        <w:rPr>
          <w:sz w:val="20"/>
          <w:szCs w:val="20"/>
          <w:color w:val="auto"/>
        </w:rPr>
      </w:pPr>
      <w:r>
        <w:rPr>
          <w:rFonts w:ascii="Times New Roman" w:cs="Times New Roman" w:eastAsia="Times New Roman" w:hAnsi="Times New Roman"/>
          <w:sz w:val="20"/>
          <w:szCs w:val="20"/>
          <w:color w:val="auto"/>
        </w:rPr>
        <w:t>The term of this Agreement and the right to purchase Common Stock as granted herein shall commence on the Effective Date and, subject to Section 8(a) below, shall be exercisable until 5:00 p.m. (Eastern Time) on the seventh (7th) anniversary of the Effective Date.</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19"/>
          <w:szCs w:val="19"/>
          <w:color w:val="auto"/>
        </w:rPr>
        <w:t>EXERCISE OF THE PURCHASE RIGHTS.</w:t>
      </w:r>
    </w:p>
    <w:p>
      <w:pPr>
        <w:spacing w:after="0" w:line="220" w:lineRule="exact"/>
        <w:rPr>
          <w:sz w:val="20"/>
          <w:szCs w:val="20"/>
          <w:color w:val="auto"/>
        </w:rPr>
      </w:pPr>
    </w:p>
    <w:p>
      <w:pPr>
        <w:ind w:right="20" w:firstLine="656"/>
        <w:spacing w:after="0" w:line="256" w:lineRule="auto"/>
        <w:tabs>
          <w:tab w:leader="none" w:pos="1296" w:val="left"/>
        </w:tabs>
        <w:numPr>
          <w:ilvl w:val="1"/>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Exercise</w:t>
      </w:r>
      <w:r>
        <w:rPr>
          <w:rFonts w:ascii="Times New Roman" w:cs="Times New Roman" w:eastAsia="Times New Roman" w:hAnsi="Times New Roman"/>
          <w:sz w:val="19"/>
          <w:szCs w:val="19"/>
          <w:color w:val="auto"/>
        </w:rPr>
        <w:t xml:space="preserve">. The purchase rights set forth in this Agreement are exercisable by the Warrantholder, in whole or in part, at any time, or from time to time, prior to the expiration of the term set forth in Section 2, by tendering to the Company at its principal office a notice of exercise in the form attached hereto as </w:t>
      </w:r>
      <w:r>
        <w:rPr>
          <w:rFonts w:ascii="Times New Roman" w:cs="Times New Roman" w:eastAsia="Times New Roman" w:hAnsi="Times New Roman"/>
          <w:sz w:val="19"/>
          <w:szCs w:val="19"/>
          <w:u w:val="single" w:color="auto"/>
          <w:color w:val="auto"/>
        </w:rPr>
        <w:t>Exhibit I</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Notice of Exercise</w:t>
      </w:r>
      <w:r>
        <w:rPr>
          <w:rFonts w:ascii="Times New Roman" w:cs="Times New Roman" w:eastAsia="Times New Roman" w:hAnsi="Times New Roman"/>
          <w:sz w:val="19"/>
          <w:szCs w:val="19"/>
          <w:color w:val="auto"/>
        </w:rPr>
        <w:t>”), duly completed and executed. Promptly upon receipt of the Notice of Exercise and the payment of the Purchase Price in accordance with the terms set forth below, and in no event later than three (3) business days thereafter, the Company or its transfer agent shall either (i) issue to the Warrantholder a certificate for the number of shares of Common Stock purchased or</w:t>
      </w:r>
    </w:p>
    <w:p>
      <w:pPr>
        <w:ind w:right="180" w:firstLine="8"/>
        <w:spacing w:after="0" w:line="242" w:lineRule="auto"/>
        <w:tabs>
          <w:tab w:leader="none" w:pos="291"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credit the same via book entry to the Warrantholder, and the Company shall execute the acknowledgment of exercise in the form attached hereto as </w:t>
      </w:r>
      <w:r>
        <w:rPr>
          <w:rFonts w:ascii="Times New Roman" w:cs="Times New Roman" w:eastAsia="Times New Roman" w:hAnsi="Times New Roman"/>
          <w:sz w:val="20"/>
          <w:szCs w:val="20"/>
          <w:u w:val="single" w:color="auto"/>
          <w:color w:val="auto"/>
        </w:rPr>
        <w:t>Exhibit II</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Acknowledgment of Exercise</w:t>
      </w:r>
      <w:r>
        <w:rPr>
          <w:rFonts w:ascii="Times New Roman" w:cs="Times New Roman" w:eastAsia="Times New Roman" w:hAnsi="Times New Roman"/>
          <w:sz w:val="20"/>
          <w:szCs w:val="20"/>
          <w:color w:val="auto"/>
        </w:rPr>
        <w:t>”) indicating the number of shares which remain subject to future purchases under this Warrant, if any.</w:t>
      </w:r>
    </w:p>
    <w:p>
      <w:pPr>
        <w:spacing w:after="0" w:line="187"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20"/>
          <w:szCs w:val="20"/>
          <w:color w:val="auto"/>
        </w:rPr>
        <w:t>The Purchase Price may be paid at the Warrantholder’s election either (i) by cash or check, or (ii) by surrender of all or a portion of the Warrant for shares of Common Stock to be exercised under this Agreement and, if applicable, an amended Agreement setting forth the remaining number of shares purchasable hereunder, as determined below (“</w:t>
      </w:r>
      <w:r>
        <w:rPr>
          <w:rFonts w:ascii="Times New Roman" w:cs="Times New Roman" w:eastAsia="Times New Roman" w:hAnsi="Times New Roman"/>
          <w:sz w:val="20"/>
          <w:szCs w:val="20"/>
          <w:u w:val="single" w:color="auto"/>
          <w:color w:val="auto"/>
        </w:rPr>
        <w:t>Net Issuance</w:t>
      </w:r>
      <w:r>
        <w:rPr>
          <w:rFonts w:ascii="Times New Roman" w:cs="Times New Roman" w:eastAsia="Times New Roman" w:hAnsi="Times New Roman"/>
          <w:sz w:val="20"/>
          <w:szCs w:val="20"/>
          <w:color w:val="auto"/>
        </w:rPr>
        <w:t>”). If the Warrantholder elects the Net Issuance method, the Company will issue shares of Common Stock in accordance with the following formula:</w:t>
      </w:r>
    </w:p>
    <w:p>
      <w:pPr>
        <w:spacing w:after="0" w:line="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9"/>
          <w:szCs w:val="39"/>
          <w:color w:val="auto"/>
          <w:vertAlign w:val="subscript"/>
        </w:rPr>
        <w:t>X =</w:t>
      </w:r>
      <w:r>
        <w:rPr>
          <w:rFonts w:ascii="Times New Roman" w:cs="Times New Roman" w:eastAsia="Times New Roman" w:hAnsi="Times New Roman"/>
          <w:sz w:val="20"/>
          <w:szCs w:val="20"/>
          <w:color w:val="auto"/>
        </w:rPr>
        <w:t xml:space="preserve">  Y(A-B)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-7620</wp:posOffset>
            </wp:positionV>
            <wp:extent cx="49720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0"/>
          <w:szCs w:val="20"/>
          <w:color w:val="auto"/>
        </w:rPr>
        <w:t>A</w:t>
      </w:r>
    </w:p>
    <w:p>
      <w:pPr>
        <w:spacing w:after="0" w:line="200" w:lineRule="exact"/>
        <w:rPr>
          <w:sz w:val="20"/>
          <w:szCs w:val="20"/>
          <w:color w:val="auto"/>
        </w:rPr>
      </w:pPr>
    </w:p>
    <w:p>
      <w:pPr>
        <w:spacing w:after="0" w:line="237" w:lineRule="exact"/>
        <w:rPr>
          <w:sz w:val="20"/>
          <w:szCs w:val="20"/>
          <w:color w:val="auto"/>
        </w:rPr>
      </w:pPr>
    </w:p>
    <w:p>
      <w:pPr>
        <w:spacing w:after="0"/>
        <w:tabs>
          <w:tab w:leader="none" w:pos="820" w:val="left"/>
          <w:tab w:leader="none" w:pos="1460" w:val="left"/>
        </w:tabs>
        <w:rPr>
          <w:sz w:val="20"/>
          <w:szCs w:val="20"/>
          <w:color w:val="auto"/>
        </w:rPr>
      </w:pPr>
      <w:r>
        <w:rPr>
          <w:rFonts w:ascii="Times New Roman" w:cs="Times New Roman" w:eastAsia="Times New Roman" w:hAnsi="Times New Roman"/>
          <w:sz w:val="20"/>
          <w:szCs w:val="20"/>
          <w:color w:val="auto"/>
        </w:rPr>
        <w:t>Where:</w:t>
        <w:tab/>
        <w:t>X =</w:t>
      </w:r>
      <w:r>
        <w:rPr>
          <w:sz w:val="20"/>
          <w:szCs w:val="20"/>
          <w:color w:val="auto"/>
        </w:rPr>
        <w:tab/>
      </w:r>
      <w:r>
        <w:rPr>
          <w:rFonts w:ascii="Times New Roman" w:cs="Times New Roman" w:eastAsia="Times New Roman" w:hAnsi="Times New Roman"/>
          <w:sz w:val="19"/>
          <w:szCs w:val="19"/>
          <w:color w:val="auto"/>
        </w:rPr>
        <w:t>the number of shares of Common Stock to be issued to the Warrantholder</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ind w:left="840"/>
        <w:spacing w:after="0"/>
        <w:tabs>
          <w:tab w:leader="none" w:pos="1460" w:val="left"/>
        </w:tabs>
        <w:rPr>
          <w:sz w:val="20"/>
          <w:szCs w:val="20"/>
          <w:color w:val="auto"/>
        </w:rPr>
      </w:pPr>
      <w:r>
        <w:rPr>
          <w:rFonts w:ascii="Times New Roman" w:cs="Times New Roman" w:eastAsia="Times New Roman" w:hAnsi="Times New Roman"/>
          <w:sz w:val="20"/>
          <w:szCs w:val="20"/>
          <w:color w:val="auto"/>
        </w:rPr>
        <w:t>Y =</w:t>
      </w:r>
      <w:r>
        <w:rPr>
          <w:sz w:val="20"/>
          <w:szCs w:val="20"/>
          <w:color w:val="auto"/>
        </w:rPr>
        <w:tab/>
      </w:r>
      <w:r>
        <w:rPr>
          <w:rFonts w:ascii="Times New Roman" w:cs="Times New Roman" w:eastAsia="Times New Roman" w:hAnsi="Times New Roman"/>
          <w:sz w:val="19"/>
          <w:szCs w:val="19"/>
          <w:color w:val="auto"/>
        </w:rPr>
        <w:t>the number of shares of Common Stock requested to be exercised under this Agreement.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18" w:right="999" w:bottom="1440" w:gutter="0" w:footer="0" w:header="0"/>
        </w:sectPr>
      </w:pPr>
    </w:p>
    <w:bookmarkStart w:id="229" w:name="page230"/>
    <w:bookmarkEnd w:id="229"/>
    <w:p>
      <w:pPr>
        <w:ind w:left="840" w:right="620"/>
        <w:spacing w:after="0" w:line="269" w:lineRule="auto"/>
        <w:rPr>
          <w:sz w:val="20"/>
          <w:szCs w:val="20"/>
          <w:color w:val="auto"/>
        </w:rPr>
      </w:pPr>
      <w:r>
        <w:rPr>
          <w:rFonts w:ascii="Times New Roman" w:cs="Times New Roman" w:eastAsia="Times New Roman" w:hAnsi="Times New Roman"/>
          <w:sz w:val="20"/>
          <w:szCs w:val="20"/>
          <w:color w:val="auto"/>
        </w:rPr>
        <w:t>A = the then-current fair market value of one (1) share of Common Stock at the time of exercise of this Warrant.</w:t>
      </w:r>
    </w:p>
    <w:p>
      <w:pPr>
        <w:spacing w:after="0" w:line="51" w:lineRule="exact"/>
        <w:rPr>
          <w:sz w:val="20"/>
          <w:szCs w:val="20"/>
          <w:color w:val="auto"/>
        </w:rPr>
      </w:pPr>
    </w:p>
    <w:p>
      <w:pPr>
        <w:ind w:left="840"/>
        <w:spacing w:after="0"/>
        <w:tabs>
          <w:tab w:leader="none" w:pos="1460" w:val="left"/>
        </w:tabs>
        <w:rPr>
          <w:sz w:val="20"/>
          <w:szCs w:val="20"/>
          <w:color w:val="auto"/>
        </w:rPr>
      </w:pPr>
      <w:r>
        <w:rPr>
          <w:rFonts w:ascii="Times New Roman" w:cs="Times New Roman" w:eastAsia="Times New Roman" w:hAnsi="Times New Roman"/>
          <w:sz w:val="20"/>
          <w:szCs w:val="20"/>
          <w:color w:val="auto"/>
        </w:rPr>
        <w:t>B =</w:t>
      </w:r>
      <w:r>
        <w:rPr>
          <w:sz w:val="20"/>
          <w:szCs w:val="20"/>
          <w:color w:val="auto"/>
        </w:rPr>
        <w:tab/>
      </w:r>
      <w:r>
        <w:rPr>
          <w:rFonts w:ascii="Times New Roman" w:cs="Times New Roman" w:eastAsia="Times New Roman" w:hAnsi="Times New Roman"/>
          <w:sz w:val="19"/>
          <w:szCs w:val="19"/>
          <w:color w:val="auto"/>
        </w:rPr>
        <w:t>the then-effective Exercise Price.</w:t>
      </w:r>
    </w:p>
    <w:p>
      <w:pPr>
        <w:spacing w:after="0" w:line="216" w:lineRule="exact"/>
        <w:rPr>
          <w:sz w:val="20"/>
          <w:szCs w:val="20"/>
          <w:color w:val="auto"/>
        </w:rPr>
      </w:pPr>
    </w:p>
    <w:p>
      <w:pPr>
        <w:ind w:right="360" w:firstLine="648"/>
        <w:spacing w:after="0" w:line="269" w:lineRule="auto"/>
        <w:rPr>
          <w:sz w:val="20"/>
          <w:szCs w:val="20"/>
          <w:color w:val="auto"/>
        </w:rPr>
      </w:pPr>
      <w:r>
        <w:rPr>
          <w:rFonts w:ascii="Times New Roman" w:cs="Times New Roman" w:eastAsia="Times New Roman" w:hAnsi="Times New Roman"/>
          <w:sz w:val="20"/>
          <w:szCs w:val="20"/>
          <w:color w:val="auto"/>
        </w:rPr>
        <w:t>For purposes of the above calculation, the current fair market value of shares of Common Stock shall mean with respect to each share of Common Stock:</w:t>
      </w:r>
    </w:p>
    <w:p>
      <w:pPr>
        <w:spacing w:after="0" w:line="159" w:lineRule="exact"/>
        <w:rPr>
          <w:sz w:val="20"/>
          <w:szCs w:val="20"/>
          <w:color w:val="auto"/>
        </w:rPr>
      </w:pPr>
    </w:p>
    <w:p>
      <w:pPr>
        <w:ind w:right="240" w:firstLine="656"/>
        <w:spacing w:after="0" w:line="254" w:lineRule="auto"/>
        <w:tabs>
          <w:tab w:leader="none" w:pos="1296"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when the Common Stock is traded on a national securities exchange, inter-dealer quotation system or over-the-counter bulletin board service, the average of the closing prices over a five (5) day period ending three days before the day the current fair market value of the securities is being determined;</w:t>
      </w:r>
    </w:p>
    <w:p>
      <w:pPr>
        <w:spacing w:after="0" w:line="174" w:lineRule="exact"/>
        <w:rPr>
          <w:rFonts w:ascii="Times New Roman" w:cs="Times New Roman" w:eastAsia="Times New Roman" w:hAnsi="Times New Roman"/>
          <w:sz w:val="20"/>
          <w:szCs w:val="20"/>
          <w:color w:val="auto"/>
        </w:rPr>
      </w:pPr>
    </w:p>
    <w:p>
      <w:pPr>
        <w:ind w:right="20" w:firstLine="656"/>
        <w:spacing w:after="0" w:line="249" w:lineRule="auto"/>
        <w:tabs>
          <w:tab w:leader="none" w:pos="1296"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exercise is in connection with a Merger Event, the fair market value of a share of Common Stock shall be deemed to be the per share value received by the holders of the outstanding shares of Common Stock pursuant to such Merger Event as determined in accordance with the definitive transaction documents executed among the parties in connection therewith; or</w:t>
      </w:r>
    </w:p>
    <w:p>
      <w:pPr>
        <w:spacing w:after="0" w:line="179" w:lineRule="exact"/>
        <w:rPr>
          <w:rFonts w:ascii="Times New Roman" w:cs="Times New Roman" w:eastAsia="Times New Roman" w:hAnsi="Times New Roman"/>
          <w:sz w:val="20"/>
          <w:szCs w:val="20"/>
          <w:color w:val="auto"/>
        </w:rPr>
      </w:pPr>
    </w:p>
    <w:p>
      <w:pPr>
        <w:ind w:right="140" w:firstLine="656"/>
        <w:spacing w:after="0" w:line="269" w:lineRule="auto"/>
        <w:tabs>
          <w:tab w:leader="none" w:pos="1296"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cases other than as described in the foregoing clauses (i) and (ii), the current fair market value of a share of Common Stock shall be determined in good faith by the Company’s Board of Directors.</w:t>
      </w:r>
    </w:p>
    <w:p>
      <w:pPr>
        <w:spacing w:after="0" w:line="159" w:lineRule="exact"/>
        <w:rPr>
          <w:sz w:val="20"/>
          <w:szCs w:val="20"/>
          <w:color w:val="auto"/>
        </w:rPr>
      </w:pPr>
    </w:p>
    <w:p>
      <w:pPr>
        <w:ind w:right="100" w:firstLine="648"/>
        <w:spacing w:after="0" w:line="249" w:lineRule="auto"/>
        <w:rPr>
          <w:sz w:val="20"/>
          <w:szCs w:val="20"/>
          <w:color w:val="auto"/>
        </w:rPr>
      </w:pPr>
      <w:r>
        <w:rPr>
          <w:rFonts w:ascii="Times New Roman" w:cs="Times New Roman" w:eastAsia="Times New Roman" w:hAnsi="Times New Roman"/>
          <w:sz w:val="20"/>
          <w:szCs w:val="20"/>
          <w:color w:val="auto"/>
        </w:rPr>
        <w:t>Upon partial exercise by either cash or Net Issuance, prior to the expiration or earlier termination hereof, the Company shall promptly issue an amended Agreement representing the remaining number of shares purchasable hereunder. All other terms and conditions of such amended Agreement shall be identical to those contained herein, including, but not limited to the Effective Date hereof.</w:t>
      </w:r>
    </w:p>
    <w:p>
      <w:pPr>
        <w:spacing w:after="0" w:line="180" w:lineRule="exact"/>
        <w:rPr>
          <w:sz w:val="20"/>
          <w:szCs w:val="20"/>
          <w:color w:val="auto"/>
        </w:rPr>
      </w:pPr>
    </w:p>
    <w:p>
      <w:pPr>
        <w:ind w:right="40" w:firstLine="656"/>
        <w:spacing w:after="0" w:line="242" w:lineRule="auto"/>
        <w:tabs>
          <w:tab w:leader="none" w:pos="1296"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Prior to Expiration</w:t>
      </w:r>
      <w:r>
        <w:rPr>
          <w:rFonts w:ascii="Times New Roman" w:cs="Times New Roman" w:eastAsia="Times New Roman" w:hAnsi="Times New Roman"/>
          <w:sz w:val="20"/>
          <w:szCs w:val="20"/>
          <w:color w:val="auto"/>
        </w:rPr>
        <w:t>. To the extent this Warrant is not previously exercised as to all shares of Common Stock subject hereto, and if the then-current fair market value of one share of Common Stock is greater than the Exercise Price then in effect, or, in the case of a Liquid Sale, where the value per share of Common Stock (as determined as of the closing of such Liquid Sale in accordance with the definitive agreements executed by the parties in connection with such Merger Event) to be paid to the holders thereof is greater than the Exercise Price then in effect, this Agreement shall be deemed automatically exercised on a Net Issuance basis pursuant to Section 3(a) (even if not surrendered) as of immediately before its expiration determined in accordance with Section 2. For purposes of such automatic exercise, the fair market value of one share of Common Stock upon such expiration shall be determined pursuant to Section 3(a). To the extent this Warrant or any portion hereof is deemed automatically exercised pursuant to this Section 3(b), the Company agrees to promptly notify the Warrantholder of the number of shares of Common Stock if any, the Warrantholder is to receive by reason of such automatic exercise, and to issue or cause its transfer agent to issue a certificate or a book-entry credit to the Warrantholder evidencing such shares.</w:t>
      </w:r>
    </w:p>
    <w:p>
      <w:pPr>
        <w:spacing w:after="0" w:line="183"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19"/>
          <w:szCs w:val="19"/>
          <w:color w:val="auto"/>
        </w:rPr>
        <w:t>RESERVATION OF SHARES.</w:t>
      </w:r>
    </w:p>
    <w:p>
      <w:pPr>
        <w:spacing w:after="0" w:line="220"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During the term of this Agreement, the Company will at all times have authorized and reserved a sufficient number of shares of its Common Stock to provide for the exercise of the rights to purchase Common Stock as provided for herein. If at any time during the term hereof the number of authorized but unissued shares of Common Stock shall not be sufficient to permit exercise of this Warrant in full, the Company will take such corporate action as may, in the opinion of its counsel, be necessary to increase its authorized but unissued shares of Common Stock to such number of shares as shall be sufficient for such purposes.</w:t>
      </w:r>
    </w:p>
    <w:p>
      <w:pPr>
        <w:spacing w:after="0" w:line="18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19"/>
          <w:szCs w:val="19"/>
          <w:color w:val="auto"/>
        </w:rPr>
        <w:t>NO FRACTIONAL SHARES OR SCRIP.</w:t>
      </w:r>
    </w:p>
    <w:p>
      <w:pPr>
        <w:spacing w:after="0" w:line="220"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20"/>
          <w:szCs w:val="20"/>
          <w:color w:val="auto"/>
        </w:rPr>
        <w:t>No fractional shares or scrip representing fractional shares shall be issued upon the exercise of this Agreement, but in lieu of such fractional shares the Company shall make a cash payment therefor in an amount equal to the product of (a) the Exercise Price then in effect multiplied by (b) the fraction of a share.</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3" w:right="1019" w:bottom="1440" w:gutter="0" w:footer="0" w:header="0"/>
        </w:sectPr>
      </w:pPr>
    </w:p>
    <w:bookmarkStart w:id="230" w:name="page231"/>
    <w:bookmarkEnd w:id="230"/>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6.</w:t>
      </w:r>
      <w:r>
        <w:rPr>
          <w:sz w:val="20"/>
          <w:szCs w:val="20"/>
          <w:color w:val="auto"/>
        </w:rPr>
        <w:tab/>
      </w:r>
      <w:r>
        <w:rPr>
          <w:rFonts w:ascii="Times New Roman" w:cs="Times New Roman" w:eastAsia="Times New Roman" w:hAnsi="Times New Roman"/>
          <w:sz w:val="19"/>
          <w:szCs w:val="19"/>
          <w:color w:val="auto"/>
        </w:rPr>
        <w:t>NO RIGHTS AS SHAREHOLDER/STOCKHOLDER.</w:t>
      </w:r>
    </w:p>
    <w:p>
      <w:pPr>
        <w:spacing w:after="0" w:line="220"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20"/>
          <w:szCs w:val="20"/>
          <w:color w:val="auto"/>
        </w:rPr>
        <w:t>Without limitation of any provision hereof, the Warrantholder agrees that this Agreement does not entitle the Warrantholder to any voting rights or other rights as a shareholder/stockholder of the Company prior to the exercise of any of the purchase rights set forth in this Agreement.</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7.</w:t>
      </w:r>
      <w:r>
        <w:rPr>
          <w:sz w:val="20"/>
          <w:szCs w:val="20"/>
          <w:color w:val="auto"/>
        </w:rPr>
        <w:tab/>
      </w:r>
      <w:r>
        <w:rPr>
          <w:rFonts w:ascii="Times New Roman" w:cs="Times New Roman" w:eastAsia="Times New Roman" w:hAnsi="Times New Roman"/>
          <w:sz w:val="19"/>
          <w:szCs w:val="19"/>
          <w:color w:val="auto"/>
        </w:rPr>
        <w:t>WARRANTHOLDER REGISTRY.</w:t>
      </w:r>
    </w:p>
    <w:p>
      <w:pPr>
        <w:spacing w:after="0" w:line="220" w:lineRule="exact"/>
        <w:rPr>
          <w:sz w:val="20"/>
          <w:szCs w:val="20"/>
          <w:color w:val="auto"/>
        </w:rPr>
      </w:pPr>
    </w:p>
    <w:p>
      <w:pPr>
        <w:jc w:val="both"/>
        <w:ind w:right="240" w:firstLine="648"/>
        <w:spacing w:after="0" w:line="254" w:lineRule="auto"/>
        <w:rPr>
          <w:sz w:val="20"/>
          <w:szCs w:val="20"/>
          <w:color w:val="auto"/>
        </w:rPr>
      </w:pPr>
      <w:r>
        <w:rPr>
          <w:rFonts w:ascii="Times New Roman" w:cs="Times New Roman" w:eastAsia="Times New Roman" w:hAnsi="Times New Roman"/>
          <w:sz w:val="20"/>
          <w:szCs w:val="20"/>
          <w:color w:val="auto"/>
        </w:rPr>
        <w:t>The Company shall maintain a registry showing the name and address of the registered holder of this Agreement. The Warrantholder’s initial address, for purposes of such registry, is set forth in Section 12(g) below. The Warrantholder may change such address by giving written notice of such changed address to the Company.</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8.</w:t>
      </w:r>
      <w:r>
        <w:rPr>
          <w:sz w:val="20"/>
          <w:szCs w:val="20"/>
          <w:color w:val="auto"/>
        </w:rPr>
        <w:tab/>
      </w:r>
      <w:r>
        <w:rPr>
          <w:rFonts w:ascii="Times New Roman" w:cs="Times New Roman" w:eastAsia="Times New Roman" w:hAnsi="Times New Roman"/>
          <w:sz w:val="19"/>
          <w:szCs w:val="19"/>
          <w:color w:val="auto"/>
        </w:rPr>
        <w:t>ADJUSTMENT RIGHTS.</w:t>
      </w:r>
    </w:p>
    <w:p>
      <w:pPr>
        <w:spacing w:after="0" w:line="220" w:lineRule="exact"/>
        <w:rPr>
          <w:sz w:val="20"/>
          <w:szCs w:val="20"/>
          <w:color w:val="auto"/>
        </w:rPr>
      </w:pPr>
    </w:p>
    <w:p>
      <w:pPr>
        <w:ind w:right="320" w:firstLine="648"/>
        <w:spacing w:after="0" w:line="269" w:lineRule="auto"/>
        <w:rPr>
          <w:sz w:val="20"/>
          <w:szCs w:val="20"/>
          <w:color w:val="auto"/>
        </w:rPr>
      </w:pPr>
      <w:r>
        <w:rPr>
          <w:rFonts w:ascii="Times New Roman" w:cs="Times New Roman" w:eastAsia="Times New Roman" w:hAnsi="Times New Roman"/>
          <w:sz w:val="20"/>
          <w:szCs w:val="20"/>
          <w:color w:val="auto"/>
        </w:rPr>
        <w:t>The Exercise Price and the number of shares of Common Stock purchasable hereunder are subject to adjustment from time to time, as follows:</w:t>
      </w:r>
    </w:p>
    <w:p>
      <w:pPr>
        <w:spacing w:after="0" w:line="159" w:lineRule="exact"/>
        <w:rPr>
          <w:sz w:val="20"/>
          <w:szCs w:val="20"/>
          <w:color w:val="auto"/>
        </w:rPr>
      </w:pPr>
    </w:p>
    <w:p>
      <w:pPr>
        <w:ind w:right="40" w:firstLine="656"/>
        <w:spacing w:after="0" w:line="255" w:lineRule="auto"/>
        <w:tabs>
          <w:tab w:leader="none" w:pos="972"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Merger Event</w:t>
      </w:r>
      <w:r>
        <w:rPr>
          <w:rFonts w:ascii="Times New Roman" w:cs="Times New Roman" w:eastAsia="Times New Roman" w:hAnsi="Times New Roman"/>
          <w:sz w:val="19"/>
          <w:szCs w:val="19"/>
          <w:color w:val="auto"/>
        </w:rPr>
        <w:t>. In connection with a Merger Event that is a Liquid Sale, this Warrant shall, on and after the closing thereof, automatically and without further action on the part of any party or other person, represent the right to receive the consideration payable on or in respect of all shares of Common Stock that are issuable hereunder as of immediately prior to the closing of such Merger Event less the Purchase Price for all such shares of Common Stock (such consideration to include both the consideration payable at the closing of such Merger Event and all deferred consideration payable thereafter, if any, including, but not limited to, payments of amounts deposited at such closing into escrow and payments in the nature of earn-outs, milestone payments or other performance-based payments), and such Merger Event consideration shall be paid to the Warrantholder as and when it is paid to the holders of the outstanding shares of Common Stock. In connection with a Merger Event that is not a Liquid Sale, the Company shall cause the successor or surviving entity to assume this Warrant and the obligations of the Company hereunder on the closing thereof, and thereafter this Warrant shall be exercisable for the same number and type of securities or other property as the Warrantholder would have received in consideration for the shares of Common Stock issuable hereunder had it exercised this Warrant in full as of immediately prior to such closing, at an aggregate Exercise Price no greater than the aggregate Exercise Price in effect as of immediately prior to such closing, and subject to further adjustment from time to time in accordance with the provisions of this Warrant. The provisions of this Section 8(a) shall similarly apply to successive Merger Events.</w:t>
      </w:r>
    </w:p>
    <w:p>
      <w:pPr>
        <w:spacing w:after="0" w:line="176" w:lineRule="exact"/>
        <w:rPr>
          <w:rFonts w:ascii="Times New Roman" w:cs="Times New Roman" w:eastAsia="Times New Roman" w:hAnsi="Times New Roman"/>
          <w:sz w:val="19"/>
          <w:szCs w:val="19"/>
          <w:color w:val="auto"/>
        </w:rPr>
      </w:pPr>
    </w:p>
    <w:p>
      <w:pPr>
        <w:ind w:firstLine="656"/>
        <w:spacing w:after="0" w:line="259" w:lineRule="auto"/>
        <w:tabs>
          <w:tab w:leader="none" w:pos="972"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Reclassification of Shares</w:t>
      </w:r>
      <w:r>
        <w:rPr>
          <w:rFonts w:ascii="Times New Roman" w:cs="Times New Roman" w:eastAsia="Times New Roman" w:hAnsi="Times New Roman"/>
          <w:sz w:val="19"/>
          <w:szCs w:val="19"/>
          <w:color w:val="auto"/>
        </w:rPr>
        <w:t>. Except for Merger Events subject to Section 8(a), if the Company at any time shall, by combination, reclassification, exchange or subdivision of securities or otherwise, change any of the securities as to which purchase rights under this Agreement exist into the same or a different number of securities of any other class or classes of securities, this Agreement shall thereafter represent the right to acquire such number and kind of securities as would have been issuable as the result of such change with respect to the securities which were subject to the purchase rights under this Agreement immediately prior to such combination, reclassification, exchange, subdivision or other change. The provisions of this Section 8(b) shall similarly apply to successive combination, reclassification, exchange, subdivision or other change.</w:t>
      </w:r>
    </w:p>
    <w:p>
      <w:pPr>
        <w:spacing w:after="0" w:line="172" w:lineRule="exact"/>
        <w:rPr>
          <w:rFonts w:ascii="Times New Roman" w:cs="Times New Roman" w:eastAsia="Times New Roman" w:hAnsi="Times New Roman"/>
          <w:sz w:val="19"/>
          <w:szCs w:val="19"/>
          <w:color w:val="auto"/>
        </w:rPr>
      </w:pPr>
    </w:p>
    <w:p>
      <w:pPr>
        <w:ind w:right="140" w:firstLine="656"/>
        <w:spacing w:after="0" w:line="246" w:lineRule="auto"/>
        <w:tabs>
          <w:tab w:leader="none" w:pos="972"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Subdivision or Combination of Shares</w:t>
      </w:r>
      <w:r>
        <w:rPr>
          <w:rFonts w:ascii="Times New Roman" w:cs="Times New Roman" w:eastAsia="Times New Roman" w:hAnsi="Times New Roman"/>
          <w:sz w:val="20"/>
          <w:szCs w:val="20"/>
          <w:color w:val="auto"/>
        </w:rPr>
        <w:t>. If the Company at any time shall combine or subdivide its Common Stock, (i) in the case of a subdivision, the Exercise Price shall be proportionately decreased and the number of shares for which this Warrant is exercisable shall be proportionately increased, or (ii) in the case of a combination, the Exercise Price shall be proportionately increased and the number of shares for which this Warrant is exercisable shall be proportionately decreased.</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869" w:right="1059" w:bottom="1440" w:gutter="0" w:footer="0" w:header="0"/>
        </w:sectPr>
      </w:pPr>
    </w:p>
    <w:bookmarkStart w:id="231" w:name="page232"/>
    <w:bookmarkEnd w:id="231"/>
    <w:p>
      <w:pPr>
        <w:ind w:left="980" w:hanging="324"/>
        <w:spacing w:after="0"/>
        <w:tabs>
          <w:tab w:leader="none" w:pos="98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 If the Company at any time while this Agreement is outstanding and unexpired shall:</w:t>
      </w:r>
    </w:p>
    <w:p>
      <w:pPr>
        <w:spacing w:after="0" w:line="215" w:lineRule="exact"/>
        <w:rPr>
          <w:rFonts w:ascii="Times New Roman" w:cs="Times New Roman" w:eastAsia="Times New Roman" w:hAnsi="Times New Roman"/>
          <w:sz w:val="20"/>
          <w:szCs w:val="20"/>
          <w:color w:val="auto"/>
        </w:rPr>
      </w:pPr>
    </w:p>
    <w:p>
      <w:pPr>
        <w:ind w:firstLine="980"/>
        <w:spacing w:after="0" w:line="244" w:lineRule="auto"/>
        <w:tabs>
          <w:tab w:leader="none" w:pos="1296"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a dividend with respect to the Common Stock payable in additional shares of Common Stock, then the Exercise Price shall be adjusted, from and after the date of determination of stockholders entitled to receive such dividend, to that price determined by multiplying the Exercise Price in effect immediately prior to such date of determination by a fraction (A) the numerator of which shall be the total number of shares of Common Stock outstanding immediately prior to such dividend or distribution, and (B) the denominator of which shall be the total number of shares of Common Stock outstanding immediately after such dividend or distribution, and the number of shares of Common Stock for which this Warrant is exercisable shall be proportionately increased; or</w:t>
      </w:r>
    </w:p>
    <w:p>
      <w:pPr>
        <w:spacing w:after="0" w:line="185" w:lineRule="exact"/>
        <w:rPr>
          <w:rFonts w:ascii="Times New Roman" w:cs="Times New Roman" w:eastAsia="Times New Roman" w:hAnsi="Times New Roman"/>
          <w:sz w:val="20"/>
          <w:szCs w:val="20"/>
          <w:color w:val="auto"/>
        </w:rPr>
      </w:pPr>
    </w:p>
    <w:p>
      <w:pPr>
        <w:ind w:right="100" w:firstLine="980"/>
        <w:spacing w:after="0" w:line="245" w:lineRule="auto"/>
        <w:tabs>
          <w:tab w:leader="none" w:pos="1296"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other dividend or distribution on or with respect to Common Stock, except any dividend or distribution specifically provided for in any other clause of this Section 8, then, in each such case, provision shall be made by the Company such that the Warrantholder shall receive upon exercise or conversion of this Warrant a proportionate share of any such dividend or distribution as though it were the holder of the Common Stock (or other stock for which the Common Stock is convertible) as of the record date fixed for the determination of the stockholders of the Company entitled to receive such dividend or distribution.</w:t>
      </w:r>
    </w:p>
    <w:p>
      <w:pPr>
        <w:spacing w:after="0" w:line="184" w:lineRule="exact"/>
        <w:rPr>
          <w:rFonts w:ascii="Times New Roman" w:cs="Times New Roman" w:eastAsia="Times New Roman" w:hAnsi="Times New Roman"/>
          <w:sz w:val="20"/>
          <w:szCs w:val="20"/>
          <w:color w:val="auto"/>
        </w:rPr>
      </w:pPr>
    </w:p>
    <w:p>
      <w:pPr>
        <w:ind w:right="20" w:firstLine="656"/>
        <w:spacing w:after="0" w:line="242" w:lineRule="auto"/>
        <w:tabs>
          <w:tab w:leader="none" w:pos="972"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Certain Events</w:t>
      </w:r>
      <w:r>
        <w:rPr>
          <w:rFonts w:ascii="Times New Roman" w:cs="Times New Roman" w:eastAsia="Times New Roman" w:hAnsi="Times New Roman"/>
          <w:sz w:val="20"/>
          <w:szCs w:val="20"/>
          <w:color w:val="auto"/>
        </w:rPr>
        <w:t>. If: (i) the Company shall declare any dividend or distribution upon its outstanding Common Stock, payable in stock, cash, property or other securities (provided that the Warrantholder in its capacity as lender under the Loan Agreement consents to such dividend); (ii) the Company shall offer for subscription pro rata to the holders of its Common Stock any additional shares of stock of any class or other rights; (iii) there shall be any Merger Event; or (iv) there shall be any voluntary dissolution, liquidation or winding up of the Company; then, in connection with each such event, the Company shall give the Warrantholder notice thereof at the same time and in the same manner as it gives notice thereof to the holders of outstanding Common Stock. In addition, if at any time the number of shares of Common Stock (or other securities of any other class or classes of securities of the Company for which this Warrant is then exercisable) outstanding is reduced such that the number of shares of Common Stock or other securities issuable upon exercise of this Warrant shall exceed five percent (5%) of the then outstanding class of such securities, then, within three (3) business days of such event, the Company shall give the Warrantholder written notice thereof.</w:t>
      </w:r>
    </w:p>
    <w:p>
      <w:pPr>
        <w:spacing w:after="0" w:line="18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9.</w:t>
      </w:r>
      <w:r>
        <w:rPr>
          <w:sz w:val="20"/>
          <w:szCs w:val="20"/>
          <w:color w:val="auto"/>
        </w:rPr>
        <w:tab/>
      </w:r>
      <w:r>
        <w:rPr>
          <w:rFonts w:ascii="Times New Roman" w:cs="Times New Roman" w:eastAsia="Times New Roman" w:hAnsi="Times New Roman"/>
          <w:sz w:val="19"/>
          <w:szCs w:val="19"/>
          <w:color w:val="auto"/>
        </w:rPr>
        <w:t>REPRESENTATIONS, WARRANTIES AND COVENANTS OF THE COMPANY.</w:t>
      </w:r>
    </w:p>
    <w:p>
      <w:pPr>
        <w:spacing w:after="0" w:line="233" w:lineRule="exact"/>
        <w:rPr>
          <w:sz w:val="20"/>
          <w:szCs w:val="20"/>
          <w:color w:val="auto"/>
        </w:rPr>
      </w:pPr>
    </w:p>
    <w:p>
      <w:pPr>
        <w:ind w:right="60" w:firstLine="656"/>
        <w:spacing w:after="0" w:line="242" w:lineRule="auto"/>
        <w:tabs>
          <w:tab w:leader="none" w:pos="972"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Reservation of Common Stock</w:t>
      </w:r>
      <w:r>
        <w:rPr>
          <w:rFonts w:ascii="Times New Roman" w:cs="Times New Roman" w:eastAsia="Times New Roman" w:hAnsi="Times New Roman"/>
          <w:sz w:val="20"/>
          <w:szCs w:val="20"/>
          <w:color w:val="auto"/>
        </w:rPr>
        <w:t>. The Company covenants and agrees that all shares of Common Stock that may be issued upon the exercise of the rights represented by this Warrant will, upon issuance, be validly issued and outstanding, fully paid and non-assessable, and will be free of any taxes, liens, charges or encumbrances of any nature whatsoever; provided, that the Common Stock issuable pursuant to this Agreement may be subject to restrictions on transfer under state and/or federal securities laws. The Company has made available to the Warrantholder true, correct and complete copies of its Charter and bylaws currently in effect. The issuance of certificates or book-entry credit for shares of Common Stock upon exercise of this Warrant shall be made without charge to the Warrantholder for any issuance tax in respect thereof, or other cost incurred by the Company in connection with such exercise and related issuance of shares of Common Stock. The Company further covenants and agrees that the Company will, at all times during the term hereof, have authorized and reserved, free from preemptive rights, a sufficient number of shares of Common Stock to provide for the exercise of the rights represented by this Warrant.</w:t>
      </w:r>
    </w:p>
    <w:p>
      <w:pPr>
        <w:spacing w:after="0" w:line="189" w:lineRule="exact"/>
        <w:rPr>
          <w:rFonts w:ascii="Times New Roman" w:cs="Times New Roman" w:eastAsia="Times New Roman" w:hAnsi="Times New Roman"/>
          <w:sz w:val="20"/>
          <w:szCs w:val="20"/>
          <w:color w:val="auto"/>
        </w:rPr>
      </w:pPr>
    </w:p>
    <w:p>
      <w:pPr>
        <w:jc w:val="both"/>
        <w:ind w:right="160" w:firstLine="656"/>
        <w:spacing w:after="0" w:line="260" w:lineRule="auto"/>
        <w:tabs>
          <w:tab w:leader="none" w:pos="972" w:val="left"/>
        </w:tabs>
        <w:numPr>
          <w:ilvl w:val="1"/>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Due Authority</w:t>
      </w:r>
      <w:r>
        <w:rPr>
          <w:rFonts w:ascii="Times New Roman" w:cs="Times New Roman" w:eastAsia="Times New Roman" w:hAnsi="Times New Roman"/>
          <w:sz w:val="19"/>
          <w:szCs w:val="19"/>
          <w:color w:val="auto"/>
        </w:rPr>
        <w:t>. The execution and delivery by the Company of this Agreement and the performance of all obligations of the Company hereunder, including the issuance to the Warrantholder of the right to acquire the shares of Common Stock, have been duly authorized by all necessary corporate action on the part of the Company. This Agreement:</w:t>
      </w:r>
    </w:p>
    <w:p>
      <w:pPr>
        <w:ind w:right="20" w:firstLine="8"/>
        <w:spacing w:after="0"/>
        <w:tabs>
          <w:tab w:leader="none" w:pos="236"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violate the Charter or the Company’s current bylaws; (ii) does not contravene any law or governmental rule, regulation or order applicable to the Company; and (iii) except as could not reasonably be expected to have a Material Adverse Effect (as defined in the Loan Agreement), does not and will not contravene any provision of, or constitute a default under, any indenture, mortgage, contract or other instrument to which the Company is a party or by which it is bound. This Agreement constitutes a legal, valid and binding agreement of the Company, enforceable in accordance with its terms, except as may be limited by bankruptcy, insolvency, reorganization, moratorium or similar</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32" w:name="page233"/>
    <w:bookmarkEnd w:id="232"/>
    <w:p>
      <w:pPr>
        <w:ind w:right="300"/>
        <w:spacing w:after="0" w:line="269" w:lineRule="auto"/>
        <w:rPr>
          <w:sz w:val="20"/>
          <w:szCs w:val="20"/>
          <w:color w:val="auto"/>
        </w:rPr>
      </w:pPr>
      <w:r>
        <w:rPr>
          <w:rFonts w:ascii="Times New Roman" w:cs="Times New Roman" w:eastAsia="Times New Roman" w:hAnsi="Times New Roman"/>
          <w:sz w:val="20"/>
          <w:szCs w:val="20"/>
          <w:color w:val="auto"/>
        </w:rPr>
        <w:t>laws relating to or affecting creditors’ rights generally (including, without limitation, fraudulent conveyance laws) and by general principles of equity, regardless of whether considered in a proceeding in equity or at law.</w:t>
      </w:r>
    </w:p>
    <w:p>
      <w:pPr>
        <w:spacing w:after="0" w:line="159" w:lineRule="exact"/>
        <w:rPr>
          <w:sz w:val="20"/>
          <w:szCs w:val="20"/>
          <w:color w:val="auto"/>
        </w:rPr>
      </w:pPr>
    </w:p>
    <w:p>
      <w:pPr>
        <w:ind w:right="20" w:firstLine="656"/>
        <w:spacing w:after="0" w:line="246" w:lineRule="auto"/>
        <w:tabs>
          <w:tab w:leader="none" w:pos="972"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Consents and Approvals</w:t>
      </w:r>
      <w:r>
        <w:rPr>
          <w:rFonts w:ascii="Times New Roman" w:cs="Times New Roman" w:eastAsia="Times New Roman" w:hAnsi="Times New Roman"/>
          <w:sz w:val="20"/>
          <w:szCs w:val="20"/>
          <w:color w:val="auto"/>
        </w:rPr>
        <w:t>. No consent or approval of, giving of notice to, registration with, or taking of any other action in respect of any state, federal or other governmental authority or agency is required with respect to the execution, delivery and performance by the Company of its obligations under this Agreement, except for the filing of notices pursuant to Regulation D under the Act and any filing required by applicable state securities law, which filings will be effective by the time required thereby.</w:t>
      </w:r>
    </w:p>
    <w:p>
      <w:pPr>
        <w:spacing w:after="0" w:line="184" w:lineRule="exact"/>
        <w:rPr>
          <w:rFonts w:ascii="Times New Roman" w:cs="Times New Roman" w:eastAsia="Times New Roman" w:hAnsi="Times New Roman"/>
          <w:sz w:val="20"/>
          <w:szCs w:val="20"/>
          <w:color w:val="auto"/>
        </w:rPr>
      </w:pPr>
    </w:p>
    <w:p>
      <w:pPr>
        <w:ind w:right="120" w:firstLine="656"/>
        <w:spacing w:after="0" w:line="249" w:lineRule="auto"/>
        <w:tabs>
          <w:tab w:leader="none" w:pos="972"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Exempt Transaction</w:t>
      </w:r>
      <w:r>
        <w:rPr>
          <w:rFonts w:ascii="Times New Roman" w:cs="Times New Roman" w:eastAsia="Times New Roman" w:hAnsi="Times New Roman"/>
          <w:sz w:val="20"/>
          <w:szCs w:val="20"/>
          <w:color w:val="auto"/>
        </w:rPr>
        <w:t>. Subject to the accuracy of the Warrantholder’s representations in Section 10, the issuance of the Common Stock upon exercise of this Agreement will constitute a transaction exempt from (i) the registration requirements of Section 5 of the Act, in reliance upon Section 4(a)(2) thereof, and (ii) the qualification requirements of the applicable state securities laws.</w:t>
      </w:r>
    </w:p>
    <w:p>
      <w:pPr>
        <w:spacing w:after="0" w:line="179" w:lineRule="exact"/>
        <w:rPr>
          <w:rFonts w:ascii="Times New Roman" w:cs="Times New Roman" w:eastAsia="Times New Roman" w:hAnsi="Times New Roman"/>
          <w:sz w:val="20"/>
          <w:szCs w:val="20"/>
          <w:color w:val="auto"/>
        </w:rPr>
      </w:pPr>
    </w:p>
    <w:p>
      <w:pPr>
        <w:ind w:right="20" w:firstLine="656"/>
        <w:spacing w:after="0" w:line="258" w:lineRule="auto"/>
        <w:tabs>
          <w:tab w:leader="none" w:pos="972" w:val="left"/>
        </w:tabs>
        <w:numPr>
          <w:ilvl w:val="1"/>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Information Rights</w:t>
      </w:r>
      <w:r>
        <w:rPr>
          <w:rFonts w:ascii="Times New Roman" w:cs="Times New Roman" w:eastAsia="Times New Roman" w:hAnsi="Times New Roman"/>
          <w:sz w:val="19"/>
          <w:szCs w:val="19"/>
          <w:color w:val="auto"/>
        </w:rPr>
        <w:t>. At all times (if any) prior to the earlier to occur of (x) the date on which all shares of Common Stock issued on exercise of this Warrant have been sold, or (y) the expiration or earlier termination of this Warrant, when the Company shall not be required to file reports pursuant to Section 13 or 15(d) of the Exchange Act or shall not have timely filed all such required reports, the Warrantholder shall be entitled to the information rights contained in Section 7.1(b)</w:t>
      </w:r>
    </w:p>
    <w:p>
      <w:pPr>
        <w:ind w:right="100"/>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(f) of the Loan Agreement, and in any such event Section 7.1(b) – (f) of the Loan Agreement is hereby incorporated into this Agreement by this reference as though fully set forth herein, provided, however, that the Company shall not be required to deliver a Compliance Certificate once all Indebtedness (as defined in the Loan Agreement) owed by the Company and its Subsidiaries to Warrantholder has been repaid.</w:t>
      </w:r>
    </w:p>
    <w:p>
      <w:pPr>
        <w:spacing w:after="0" w:line="188" w:lineRule="exact"/>
        <w:rPr>
          <w:rFonts w:ascii="Times New Roman" w:cs="Times New Roman" w:eastAsia="Times New Roman" w:hAnsi="Times New Roman"/>
          <w:sz w:val="19"/>
          <w:szCs w:val="19"/>
          <w:color w:val="auto"/>
        </w:rPr>
      </w:pPr>
    </w:p>
    <w:p>
      <w:pPr>
        <w:ind w:right="100" w:firstLine="656"/>
        <w:spacing w:after="0" w:line="242" w:lineRule="auto"/>
        <w:tabs>
          <w:tab w:leader="none" w:pos="972"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of Shares</w:t>
      </w:r>
      <w:r>
        <w:rPr>
          <w:rFonts w:ascii="Times New Roman" w:cs="Times New Roman" w:eastAsia="Times New Roman" w:hAnsi="Times New Roman"/>
          <w:sz w:val="20"/>
          <w:szCs w:val="20"/>
          <w:color w:val="auto"/>
        </w:rPr>
        <w:t xml:space="preserve">. If the Company proposes to register (including, for this purpose, a registration effected by the Company for the sale by the Company of its securities and/or the resale of securities of the Company by security holders other than the Warrantholder) the sale or resale of any of its Common Shares or other securities under the Act in connection with the public offering of such securities (other than in an Excluded Registration), the Company shall cause to be registered all of the Registrable Securities in such registration. The Company shall have the right to terminate or withdraw any registration initiated by it under this Section 9(f) before the effective date of such registration,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Company’s obligations to register the Registrable Securities under this Section 9(f) in any subsequent registration (other than in an Excluded Registration) shall continue following any such termination or withdrawal. All fees and expenses incident to the Company’s performance of or compliance with its obligations under this Section 9(f) (excluding any underwriting discounts and selling commissions) shall be borne by the Company.</w:t>
      </w:r>
    </w:p>
    <w:p>
      <w:pPr>
        <w:spacing w:after="0" w:line="192" w:lineRule="exact"/>
        <w:rPr>
          <w:rFonts w:ascii="Times New Roman" w:cs="Times New Roman" w:eastAsia="Times New Roman" w:hAnsi="Times New Roman"/>
          <w:sz w:val="20"/>
          <w:szCs w:val="20"/>
          <w:color w:val="auto"/>
        </w:rPr>
      </w:pPr>
    </w:p>
    <w:p>
      <w:pPr>
        <w:ind w:firstLine="656"/>
        <w:spacing w:after="0" w:line="242" w:lineRule="auto"/>
        <w:tabs>
          <w:tab w:leader="none" w:pos="972"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Rule 144 Compliance</w:t>
      </w:r>
      <w:r>
        <w:rPr>
          <w:rFonts w:ascii="Times New Roman" w:cs="Times New Roman" w:eastAsia="Times New Roman" w:hAnsi="Times New Roman"/>
          <w:sz w:val="20"/>
          <w:szCs w:val="20"/>
          <w:color w:val="auto"/>
        </w:rPr>
        <w:t>. The Company shall, at all times prior to the earlier to occur of (i) the date of sale or other disposition by Warrantholder of this Warrant or all shares of Common Stock issued on exercise of this Warrant, (ii) the registration pursuant to subsection (f) above of the shares issued on exercise of this Warrant, or (iii) the expiration or earlier termination of this Warrant if the Warrant has not been exercised in full or in part on such date, use all commercially reasonable efforts to timely file all reports required under the Exchange Act and otherwise timely take all actions necessary to permit the Warrantholder to sell or otherwise dispose of this Warrant and the shares of Common Stock issued on exercise hereof pursuant to Rule 144 promulgated under the Act (“Rule 144”), provided that the foregoing shall not apply in the event of a Merger Event following which the successor or surviving entity is not subject to the reporting requirements of the Exchange Act. If the Warrantholder proposes to sell Common Stock issuable upon the exercise of this Agreement in compliance with Rule 144, then, upon the Warrantholder’s written request to the Company, the Company shall furnish to the Warrantholder, within five (5) business days after receipt of such request, a written statement confirming the Company’s compliance with the filing and other requirements of such Rule 144.</w:t>
      </w:r>
    </w:p>
    <w:p>
      <w:pPr>
        <w:spacing w:after="0" w:line="183" w:lineRule="exact"/>
        <w:rPr>
          <w:sz w:val="20"/>
          <w:szCs w:val="20"/>
          <w:color w:val="auto"/>
        </w:rPr>
      </w:pPr>
    </w:p>
    <w:p>
      <w:pPr>
        <w:jc w:val="center"/>
        <w:ind w:right="40"/>
        <w:spacing w:after="0"/>
        <w:tabs>
          <w:tab w:leader="none" w:pos="240" w:val="left"/>
        </w:tabs>
        <w:rPr>
          <w:sz w:val="20"/>
          <w:szCs w:val="20"/>
          <w:color w:val="auto"/>
        </w:rPr>
      </w:pPr>
      <w:r>
        <w:rPr>
          <w:rFonts w:ascii="Times New Roman" w:cs="Times New Roman" w:eastAsia="Times New Roman" w:hAnsi="Times New Roman"/>
          <w:sz w:val="20"/>
          <w:szCs w:val="20"/>
          <w:b w:val="1"/>
          <w:bCs w:val="1"/>
          <w:color w:val="auto"/>
        </w:rPr>
        <w:t>SECTION 10.</w:t>
      </w:r>
      <w:r>
        <w:rPr>
          <w:sz w:val="20"/>
          <w:szCs w:val="20"/>
          <w:color w:val="auto"/>
        </w:rPr>
        <w:tab/>
      </w:r>
      <w:r>
        <w:rPr>
          <w:rFonts w:ascii="Times New Roman" w:cs="Times New Roman" w:eastAsia="Times New Roman" w:hAnsi="Times New Roman"/>
          <w:sz w:val="19"/>
          <w:szCs w:val="19"/>
          <w:color w:val="auto"/>
        </w:rPr>
        <w:t>REPRESENTATIONS AND COVENANTS OF THE WARRANTHOLDER.</w:t>
      </w:r>
    </w:p>
    <w:p>
      <w:pPr>
        <w:spacing w:after="0" w:line="220"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This Agreement has been entered into by the Company in reliance upon the following representations and covenants of the Warrantholder:</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33" w:name="page234"/>
    <w:bookmarkEnd w:id="233"/>
    <w:p>
      <w:pPr>
        <w:jc w:val="both"/>
        <w:ind w:right="20" w:firstLine="656"/>
        <w:spacing w:after="0" w:line="249" w:lineRule="auto"/>
        <w:tabs>
          <w:tab w:leader="none" w:pos="972"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Investment Purpose</w:t>
      </w:r>
      <w:r>
        <w:rPr>
          <w:rFonts w:ascii="Times New Roman" w:cs="Times New Roman" w:eastAsia="Times New Roman" w:hAnsi="Times New Roman"/>
          <w:sz w:val="20"/>
          <w:szCs w:val="20"/>
          <w:color w:val="auto"/>
        </w:rPr>
        <w:t>. This Warrant and the shares issued on exercise hereof will be acquired for investment and not with a view to the sale or distribution of any part thereof in violation of applicable federal and state securities laws, and the Warrantholder has no present intention of selling or engaging in any public distribution of the same except pursuant to a registration or exemption.</w:t>
      </w:r>
    </w:p>
    <w:p>
      <w:pPr>
        <w:spacing w:after="0" w:line="179" w:lineRule="exact"/>
        <w:rPr>
          <w:rFonts w:ascii="Times New Roman" w:cs="Times New Roman" w:eastAsia="Times New Roman" w:hAnsi="Times New Roman"/>
          <w:sz w:val="20"/>
          <w:szCs w:val="20"/>
          <w:color w:val="auto"/>
        </w:rPr>
      </w:pPr>
    </w:p>
    <w:p>
      <w:pPr>
        <w:ind w:right="140" w:firstLine="656"/>
        <w:spacing w:after="0" w:line="264" w:lineRule="auto"/>
        <w:tabs>
          <w:tab w:leader="none" w:pos="972" w:val="left"/>
        </w:tabs>
        <w:numPr>
          <w:ilvl w:val="1"/>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Private Issue</w:t>
      </w:r>
      <w:r>
        <w:rPr>
          <w:rFonts w:ascii="Times New Roman" w:cs="Times New Roman" w:eastAsia="Times New Roman" w:hAnsi="Times New Roman"/>
          <w:sz w:val="19"/>
          <w:szCs w:val="19"/>
          <w:color w:val="auto"/>
        </w:rPr>
        <w:t>. The Warrantholder understands that (i) the Common Stock issuable upon exercise of this Agreement is not, as of the Effective Date, registered under the Act or qualified under applicable state securities laws, and</w:t>
      </w:r>
    </w:p>
    <w:p>
      <w:pPr>
        <w:ind w:left="300" w:hanging="292"/>
        <w:spacing w:after="0"/>
        <w:tabs>
          <w:tab w:leader="none" w:pos="300"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reliance on exemption from such registration is predicated on the representations set forth in this Section</w:t>
      </w:r>
    </w:p>
    <w:p>
      <w:pPr>
        <w:spacing w:after="0" w:line="1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980" w:top="873" w:right="1099" w:bottom="1440" w:gutter="0" w:footer="0" w:header="0"/>
        </w:sectPr>
      </w:pPr>
    </w:p>
    <w:bookmarkStart w:id="234" w:name="page235"/>
    <w:bookmarkEnd w:id="234"/>
    <w:p>
      <w:pPr>
        <w:ind w:right="220" w:firstLine="656"/>
        <w:spacing w:after="0" w:line="254" w:lineRule="auto"/>
        <w:tabs>
          <w:tab w:leader="none" w:pos="972"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Risk</w:t>
      </w:r>
      <w:r>
        <w:rPr>
          <w:rFonts w:ascii="Times New Roman" w:cs="Times New Roman" w:eastAsia="Times New Roman" w:hAnsi="Times New Roman"/>
          <w:sz w:val="20"/>
          <w:szCs w:val="20"/>
          <w:color w:val="auto"/>
        </w:rPr>
        <w:t>. The Warrantholder has such knowledge and experience­ in financial and business matters as to be capable of evaluating the merits and risks of its investment, and has the ability to bear the economic risks of its investment.</w:t>
      </w:r>
    </w:p>
    <w:p>
      <w:pPr>
        <w:spacing w:after="0" w:line="174" w:lineRule="exact"/>
        <w:rPr>
          <w:rFonts w:ascii="Times New Roman" w:cs="Times New Roman" w:eastAsia="Times New Roman" w:hAnsi="Times New Roman"/>
          <w:sz w:val="20"/>
          <w:szCs w:val="20"/>
          <w:color w:val="auto"/>
        </w:rPr>
      </w:pPr>
    </w:p>
    <w:p>
      <w:pPr>
        <w:ind w:right="820" w:firstLine="656"/>
        <w:spacing w:after="0" w:line="269" w:lineRule="auto"/>
        <w:tabs>
          <w:tab w:leader="none" w:pos="972"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Accredited Investor</w:t>
      </w:r>
      <w:r>
        <w:rPr>
          <w:rFonts w:ascii="Times New Roman" w:cs="Times New Roman" w:eastAsia="Times New Roman" w:hAnsi="Times New Roman"/>
          <w:sz w:val="20"/>
          <w:szCs w:val="20"/>
          <w:color w:val="auto"/>
        </w:rPr>
        <w:t>. The Warrantholder is an “accredited investor” within the meaning of Rule 501 of Regulation D promulgated under the Act, as presently in effect (“Regulation D”).</w:t>
      </w:r>
    </w:p>
    <w:p>
      <w:pPr>
        <w:spacing w:after="0" w:line="159" w:lineRule="exact"/>
        <w:rPr>
          <w:rFonts w:ascii="Times New Roman" w:cs="Times New Roman" w:eastAsia="Times New Roman" w:hAnsi="Times New Roman"/>
          <w:sz w:val="20"/>
          <w:szCs w:val="20"/>
          <w:color w:val="auto"/>
        </w:rPr>
      </w:pPr>
    </w:p>
    <w:p>
      <w:pPr>
        <w:jc w:val="both"/>
        <w:ind w:right="40" w:firstLine="656"/>
        <w:spacing w:after="0" w:line="249" w:lineRule="auto"/>
        <w:tabs>
          <w:tab w:leader="none" w:pos="972"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Short Sales</w:t>
      </w:r>
      <w:r>
        <w:rPr>
          <w:rFonts w:ascii="Times New Roman" w:cs="Times New Roman" w:eastAsia="Times New Roman" w:hAnsi="Times New Roman"/>
          <w:sz w:val="20"/>
          <w:szCs w:val="20"/>
          <w:color w:val="auto"/>
        </w:rPr>
        <w:t>. The Warrantholder has not at any time on or prior to the Effective Date engaged in any short sales or equivalent transactions in the Common Stock. Warrantholder agrees that at all times from and after the Effective Date and on or before the expiration or earlier termination of this Warrant, it shall not engage in any short sales or equivalent transactions in the Common Stock.</w:t>
      </w:r>
    </w:p>
    <w:p>
      <w:pPr>
        <w:spacing w:after="0" w:line="1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 xml:space="preserve">SECTION 11. </w:t>
      </w:r>
      <w:r>
        <w:rPr>
          <w:rFonts w:ascii="Times New Roman" w:cs="Times New Roman" w:eastAsia="Times New Roman" w:hAnsi="Times New Roman"/>
          <w:sz w:val="20"/>
          <w:szCs w:val="20"/>
          <w:color w:val="auto"/>
        </w:rPr>
        <w:t>TRANSFERS.</w:t>
      </w:r>
    </w:p>
    <w:p>
      <w:pPr>
        <w:spacing w:after="0" w:line="22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9"/>
          <w:szCs w:val="19"/>
          <w:color w:val="auto"/>
        </w:rPr>
        <w:t>Subject to compliance with applicable federal and state securities laws, this Agreement and all rights hereunder are transferable, in whole or in part, without charge to the holder hereof (except for transfer taxes) upon surrender of this Agreement properly endorsed. Each taker and holder of this Agreement, by taking or holding the same, consents and agrees that this Agreement, when endorsed in blank, shall be deemed negotiable, and that the holder hereof, when this Agreement shall have been so endorsed and its transfer recorded on the Company’s books, shall be treated by the Company and all other persons dealing with this Agreement as the absolute owner hereof for any purpose and as the person entitled to exercise the rights represented by this Agreement. The transfer of this Agreement shall be recorded on the books of the Company upon receipt by the Company of a notice of transfer in the form attached hereto as Exhibit III (the “</w:t>
      </w:r>
      <w:r>
        <w:rPr>
          <w:rFonts w:ascii="Times New Roman" w:cs="Times New Roman" w:eastAsia="Times New Roman" w:hAnsi="Times New Roman"/>
          <w:sz w:val="19"/>
          <w:szCs w:val="19"/>
          <w:u w:val="single" w:color="auto"/>
          <w:color w:val="auto"/>
        </w:rPr>
        <w:t>Transfer Notice</w:t>
      </w:r>
      <w:r>
        <w:rPr>
          <w:rFonts w:ascii="Times New Roman" w:cs="Times New Roman" w:eastAsia="Times New Roman" w:hAnsi="Times New Roman"/>
          <w:sz w:val="19"/>
          <w:szCs w:val="19"/>
          <w:color w:val="auto"/>
        </w:rPr>
        <w:t>”), at its principal offices and the payment to the Company of all transfer taxes and other governmental charges imposed on such transfer. Until the Company receives such Transfer Notice, the Company may treat the registered owner hereof as the owner for all purposes. Notwithstanding anything herein or in any legend to the contrary, the Company shall not require an opinion of counsel in connection with any sale, assignment or other transfer by the Warrantholder of this Warrant (or any portion hereof or any interest herein) or of any shares of Common Stock issued upon any exercise hereof to an affiliate (as defined in Regulation D) of the Warrantholder, provided that such affiliate is an “accredited investor” as defined in Regulation D.</w:t>
      </w:r>
    </w:p>
    <w:p>
      <w:pPr>
        <w:spacing w:after="0" w:line="1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 xml:space="preserve">SECTION 12. </w:t>
      </w:r>
      <w:r>
        <w:rPr>
          <w:rFonts w:ascii="Times New Roman" w:cs="Times New Roman" w:eastAsia="Times New Roman" w:hAnsi="Times New Roman"/>
          <w:sz w:val="20"/>
          <w:szCs w:val="20"/>
          <w:color w:val="auto"/>
        </w:rPr>
        <w:t>MISCELLANEOUS.</w:t>
      </w:r>
    </w:p>
    <w:p>
      <w:pPr>
        <w:spacing w:after="0" w:line="220" w:lineRule="exact"/>
        <w:rPr>
          <w:sz w:val="20"/>
          <w:szCs w:val="20"/>
          <w:color w:val="auto"/>
        </w:rPr>
      </w:pPr>
    </w:p>
    <w:p>
      <w:pPr>
        <w:ind w:firstLine="656"/>
        <w:spacing w:after="0" w:line="254" w:lineRule="auto"/>
        <w:tabs>
          <w:tab w:leader="none" w:pos="972"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The provisions of this Agreement shall be construed and shall be given effect in all respects as if it had been executed and delivered by the Company on the date hereof. This Agreement shall be binding upon any successors or assigns of the Company.</w:t>
      </w:r>
    </w:p>
    <w:p>
      <w:pPr>
        <w:spacing w:after="0" w:line="174" w:lineRule="exact"/>
        <w:rPr>
          <w:rFonts w:ascii="Times New Roman" w:cs="Times New Roman" w:eastAsia="Times New Roman" w:hAnsi="Times New Roman"/>
          <w:sz w:val="20"/>
          <w:szCs w:val="20"/>
          <w:color w:val="auto"/>
        </w:rPr>
      </w:pPr>
    </w:p>
    <w:p>
      <w:pPr>
        <w:ind w:firstLine="656"/>
        <w:spacing w:after="0" w:line="249" w:lineRule="auto"/>
        <w:tabs>
          <w:tab w:leader="none" w:pos="972"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In the event of any default hereunder, the non-defaulting party may proceed to protect and enforce its rights either by suit in equity and/or by action at law, including but not limited to an action for damages as a result of any such default, and/or an action for specific performance for any default where the Warrantholder will not have an adequate remedy at law and where damages will not be readily ascertainable.</w:t>
      </w:r>
    </w:p>
    <w:p>
      <w:pPr>
        <w:spacing w:after="0" w:line="179" w:lineRule="exact"/>
        <w:rPr>
          <w:rFonts w:ascii="Times New Roman" w:cs="Times New Roman" w:eastAsia="Times New Roman" w:hAnsi="Times New Roman"/>
          <w:sz w:val="20"/>
          <w:szCs w:val="20"/>
          <w:color w:val="auto"/>
        </w:rPr>
      </w:pPr>
    </w:p>
    <w:p>
      <w:pPr>
        <w:jc w:val="both"/>
        <w:ind w:right="320" w:firstLine="656"/>
        <w:spacing w:after="0" w:line="249" w:lineRule="auto"/>
        <w:tabs>
          <w:tab w:leader="none" w:pos="972"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Impairment of Rights</w:t>
      </w:r>
      <w:r>
        <w:rPr>
          <w:rFonts w:ascii="Times New Roman" w:cs="Times New Roman" w:eastAsia="Times New Roman" w:hAnsi="Times New Roman"/>
          <w:sz w:val="20"/>
          <w:szCs w:val="20"/>
          <w:color w:val="auto"/>
        </w:rPr>
        <w:t>. The Company will not, by amendment of its Charter or through any other means, avoid or seek to avoid the observance or performance of any of the terms of this Agreement, but will at all times in good faith assist in the carrying out of all such terms and in the taking of all such actions as may be necessary or appropriate in order to protect the rights of the Warrantholder against impairment.</w:t>
      </w:r>
    </w:p>
    <w:p>
      <w:pPr>
        <w:spacing w:after="0" w:line="179" w:lineRule="exact"/>
        <w:rPr>
          <w:rFonts w:ascii="Times New Roman" w:cs="Times New Roman" w:eastAsia="Times New Roman" w:hAnsi="Times New Roman"/>
          <w:sz w:val="20"/>
          <w:szCs w:val="20"/>
          <w:color w:val="auto"/>
        </w:rPr>
      </w:pPr>
    </w:p>
    <w:p>
      <w:pPr>
        <w:ind w:right="240" w:firstLine="656"/>
        <w:spacing w:after="0" w:line="269" w:lineRule="auto"/>
        <w:tabs>
          <w:tab w:leader="none" w:pos="972"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Documents</w:t>
      </w:r>
      <w:r>
        <w:rPr>
          <w:rFonts w:ascii="Times New Roman" w:cs="Times New Roman" w:eastAsia="Times New Roman" w:hAnsi="Times New Roman"/>
          <w:sz w:val="20"/>
          <w:szCs w:val="20"/>
          <w:color w:val="auto"/>
        </w:rPr>
        <w:t>. The Company agrees to supply such other documents as the Warrantholder may from time to time reasonably request.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35" w:name="page236"/>
    <w:bookmarkEnd w:id="235"/>
    <w:p>
      <w:pPr>
        <w:ind w:left="-8" w:firstLine="656"/>
        <w:spacing w:after="0" w:line="244" w:lineRule="auto"/>
        <w:tabs>
          <w:tab w:leader="none" w:pos="964"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Attorneys’ Fees</w:t>
      </w:r>
      <w:r>
        <w:rPr>
          <w:rFonts w:ascii="Times New Roman" w:cs="Times New Roman" w:eastAsia="Times New Roman" w:hAnsi="Times New Roman"/>
          <w:sz w:val="20"/>
          <w:szCs w:val="20"/>
          <w:color w:val="auto"/>
        </w:rPr>
        <w:t>. In any litigation, arbitration or court proceeding between the Company and the Warrantholder relating hereto, the prevailing party shall be entitled to attorneys’ fees and expenses and all costs of proceedings incurred in enforcing this Agreement. For the purposes of this Section 12(e), attorneys’ fees shall include without limitation fees incurred in connection with the following: (i) contempt proceedings; (ii) discovery; (iii) any motion, proceeding or other activity of any kind in connection with an insolvency proceeding; (iv) garnishment, levy, and debtor and third party examinations; and (v) post-judgment motions and proceedings of any kind, including without limitation any activity taken to collect or enforce any judgment.</w:t>
      </w:r>
    </w:p>
    <w:p>
      <w:pPr>
        <w:spacing w:after="0" w:line="185" w:lineRule="exact"/>
        <w:rPr>
          <w:rFonts w:ascii="Times New Roman" w:cs="Times New Roman" w:eastAsia="Times New Roman" w:hAnsi="Times New Roman"/>
          <w:sz w:val="20"/>
          <w:szCs w:val="20"/>
          <w:color w:val="auto"/>
        </w:rPr>
      </w:pPr>
    </w:p>
    <w:p>
      <w:pPr>
        <w:ind w:left="-8" w:right="100" w:firstLine="656"/>
        <w:spacing w:after="0" w:line="249" w:lineRule="auto"/>
        <w:tabs>
          <w:tab w:leader="none" w:pos="964"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any one or more of the provisions of this Agreement shall for any reason be held invalid, illegal or unenforceable, the remaining provisions of this Agreement shall be unimpaired, and the invalid, illegal or unenforceable provision shall be replaced by a mutually acceptable valid, legal and enforceable provision, which comes closest to the intention of the parties underlying the invalid, illegal or unenforceable provision.</w:t>
      </w:r>
    </w:p>
    <w:p>
      <w:pPr>
        <w:spacing w:after="0" w:line="179" w:lineRule="exact"/>
        <w:rPr>
          <w:rFonts w:ascii="Times New Roman" w:cs="Times New Roman" w:eastAsia="Times New Roman" w:hAnsi="Times New Roman"/>
          <w:sz w:val="20"/>
          <w:szCs w:val="20"/>
          <w:color w:val="auto"/>
        </w:rPr>
      </w:pPr>
    </w:p>
    <w:p>
      <w:pPr>
        <w:ind w:left="-8" w:right="20" w:firstLine="656"/>
        <w:spacing w:after="0" w:line="256" w:lineRule="auto"/>
        <w:tabs>
          <w:tab w:leader="none" w:pos="964" w:val="left"/>
        </w:tabs>
        <w:numPr>
          <w:ilvl w:val="1"/>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Except as otherwise provided herein, any notice, demand, request, consent, approval, declaration, service of process or other communication that is required, contemplated, or permitted under this Agreement or with respect to the subject matter hereof shall be in writing, and shall be deemed to have been validly served, given, delivered, and received upon the earlier of: (i) personal delivery to the party to be notified, (ii) when sent by confirmed telex, electronic transmission or facsimile if sent during normal business hours of the recipient, if not, then on the next business day, (iii) five</w:t>
      </w:r>
    </w:p>
    <w:p>
      <w:pPr>
        <w:spacing w:after="0" w:line="4" w:lineRule="exact"/>
        <w:rPr>
          <w:rFonts w:ascii="Times New Roman" w:cs="Times New Roman" w:eastAsia="Times New Roman" w:hAnsi="Times New Roman"/>
          <w:sz w:val="19"/>
          <w:szCs w:val="19"/>
          <w:color w:val="auto"/>
        </w:rPr>
      </w:pPr>
    </w:p>
    <w:p>
      <w:pPr>
        <w:jc w:val="both"/>
        <w:ind w:left="-8" w:right="40" w:firstLine="8"/>
        <w:spacing w:after="0" w:line="242" w:lineRule="auto"/>
        <w:tabs>
          <w:tab w:leader="none" w:pos="272"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having been sent by registered or certified mail, return receipt requested, postage prepaid, or (iv) one day after deposit with a nationally recognized overnight courier, specifying next day delivery, with written verification of receipt, and shall be addressed to the party to be notified as follows:</w:t>
      </w:r>
    </w:p>
    <w:p>
      <w:pPr>
        <w:spacing w:after="0" w:line="18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0"/>
          <w:szCs w:val="20"/>
          <w:color w:val="auto"/>
        </w:rPr>
        <w:t>If to the Warrantholder:</w:t>
      </w:r>
    </w:p>
    <w:p>
      <w:pPr>
        <w:spacing w:after="0" w:line="216"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20"/>
          <w:szCs w:val="20"/>
          <w:color w:val="auto"/>
        </w:rPr>
        <w:t>HERCULES CAPITAL, INC.</w:t>
      </w:r>
    </w:p>
    <w:p>
      <w:pPr>
        <w:spacing w:after="0" w:line="21"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20"/>
          <w:szCs w:val="20"/>
          <w:color w:val="auto"/>
        </w:rPr>
        <w:t>Legal Department</w:t>
      </w:r>
    </w:p>
    <w:p>
      <w:pPr>
        <w:ind w:left="2592"/>
        <w:spacing w:after="0"/>
        <w:rPr>
          <w:sz w:val="20"/>
          <w:szCs w:val="20"/>
          <w:color w:val="auto"/>
        </w:rPr>
      </w:pPr>
      <w:r>
        <w:rPr>
          <w:rFonts w:ascii="Times New Roman" w:cs="Times New Roman" w:eastAsia="Times New Roman" w:hAnsi="Times New Roman"/>
          <w:sz w:val="20"/>
          <w:szCs w:val="20"/>
          <w:color w:val="auto"/>
        </w:rPr>
        <w:t>Attention: Chief Legal Officer and Michael Dutra and John Miotti</w:t>
      </w:r>
    </w:p>
    <w:p>
      <w:pPr>
        <w:ind w:left="2592"/>
        <w:spacing w:after="0"/>
        <w:rPr>
          <w:sz w:val="20"/>
          <w:szCs w:val="20"/>
          <w:color w:val="auto"/>
        </w:rPr>
      </w:pPr>
      <w:r>
        <w:rPr>
          <w:rFonts w:ascii="Times New Roman" w:cs="Times New Roman" w:eastAsia="Times New Roman" w:hAnsi="Times New Roman"/>
          <w:sz w:val="20"/>
          <w:szCs w:val="20"/>
          <w:color w:val="auto"/>
        </w:rPr>
        <w:t>400 Hamilton Avenue, Suite 310</w:t>
      </w:r>
    </w:p>
    <w:p>
      <w:pPr>
        <w:ind w:left="2592"/>
        <w:spacing w:after="0"/>
        <w:rPr>
          <w:sz w:val="20"/>
          <w:szCs w:val="20"/>
          <w:color w:val="auto"/>
        </w:rPr>
      </w:pPr>
      <w:r>
        <w:rPr>
          <w:rFonts w:ascii="Times New Roman" w:cs="Times New Roman" w:eastAsia="Times New Roman" w:hAnsi="Times New Roman"/>
          <w:sz w:val="20"/>
          <w:szCs w:val="20"/>
          <w:color w:val="auto"/>
        </w:rPr>
        <w:t>Palo Alto, CA 94301</w:t>
      </w:r>
    </w:p>
    <w:p>
      <w:pPr>
        <w:ind w:left="2592"/>
        <w:spacing w:after="0"/>
        <w:rPr>
          <w:sz w:val="20"/>
          <w:szCs w:val="20"/>
          <w:color w:val="auto"/>
        </w:rPr>
      </w:pPr>
      <w:r>
        <w:rPr>
          <w:rFonts w:ascii="Times New Roman" w:cs="Times New Roman" w:eastAsia="Times New Roman" w:hAnsi="Times New Roman"/>
          <w:sz w:val="20"/>
          <w:szCs w:val="20"/>
          <w:color w:val="auto"/>
        </w:rPr>
        <w:t>Facsimile: 650-473-9194</w:t>
      </w:r>
    </w:p>
    <w:p>
      <w:pPr>
        <w:ind w:left="2592"/>
        <w:spacing w:after="0"/>
        <w:rPr>
          <w:sz w:val="20"/>
          <w:szCs w:val="20"/>
          <w:color w:val="auto"/>
        </w:rPr>
      </w:pPr>
      <w:r>
        <w:rPr>
          <w:rFonts w:ascii="Times New Roman" w:cs="Times New Roman" w:eastAsia="Times New Roman" w:hAnsi="Times New Roman"/>
          <w:sz w:val="20"/>
          <w:szCs w:val="20"/>
          <w:color w:val="auto"/>
        </w:rPr>
        <w:t>Telephone: 650-289-3060</w:t>
      </w:r>
    </w:p>
    <w:p>
      <w:pPr>
        <w:ind w:left="2592"/>
        <w:spacing w:after="0"/>
        <w:rPr>
          <w:sz w:val="20"/>
          <w:szCs w:val="20"/>
          <w:color w:val="auto"/>
        </w:rPr>
      </w:pPr>
      <w:r>
        <w:rPr>
          <w:rFonts w:ascii="Times New Roman" w:cs="Times New Roman" w:eastAsia="Times New Roman" w:hAnsi="Times New Roman"/>
          <w:sz w:val="20"/>
          <w:szCs w:val="20"/>
          <w:color w:val="auto"/>
        </w:rPr>
        <w:t>Email : legal@herculestech.com; mdutra@htgc.com; jmiotti@htgc.com</w:t>
      </w:r>
    </w:p>
    <w:p>
      <w:pPr>
        <w:spacing w:after="0" w:line="20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 xml:space="preserve">With </w:t>
      </w:r>
      <w:r>
        <w:rPr>
          <w:rFonts w:ascii="Times New Roman" w:cs="Times New Roman" w:eastAsia="Times New Roman" w:hAnsi="Times New Roman"/>
          <w:sz w:val="19"/>
          <w:szCs w:val="19"/>
          <w:color w:val="auto"/>
        </w:rPr>
        <w:t>a copy to:</w:t>
      </w:r>
    </w:p>
    <w:p>
      <w:pPr>
        <w:spacing w:after="0" w:line="227"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20"/>
          <w:szCs w:val="20"/>
          <w:color w:val="auto"/>
        </w:rPr>
        <w:t>LATHAM &amp; WATKINS</w:t>
      </w:r>
    </w:p>
    <w:p>
      <w:pPr>
        <w:spacing w:after="0" w:line="21"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20"/>
          <w:szCs w:val="20"/>
          <w:color w:val="auto"/>
        </w:rPr>
        <w:t>Attn: Haim Zaltzman</w:t>
      </w:r>
    </w:p>
    <w:p>
      <w:pPr>
        <w:ind w:left="2592"/>
        <w:spacing w:after="0"/>
        <w:rPr>
          <w:sz w:val="20"/>
          <w:szCs w:val="20"/>
          <w:color w:val="auto"/>
        </w:rPr>
      </w:pPr>
      <w:r>
        <w:rPr>
          <w:rFonts w:ascii="Times New Roman" w:cs="Times New Roman" w:eastAsia="Times New Roman" w:hAnsi="Times New Roman"/>
          <w:sz w:val="20"/>
          <w:szCs w:val="20"/>
          <w:color w:val="auto"/>
        </w:rPr>
        <w:t>505 Montgomery Street, Suite 2000</w:t>
      </w:r>
    </w:p>
    <w:p>
      <w:pPr>
        <w:ind w:left="2592"/>
        <w:spacing w:after="0"/>
        <w:rPr>
          <w:sz w:val="20"/>
          <w:szCs w:val="20"/>
          <w:color w:val="auto"/>
        </w:rPr>
      </w:pPr>
      <w:r>
        <w:rPr>
          <w:rFonts w:ascii="Times New Roman" w:cs="Times New Roman" w:eastAsia="Times New Roman" w:hAnsi="Times New Roman"/>
          <w:sz w:val="20"/>
          <w:szCs w:val="20"/>
          <w:color w:val="auto"/>
        </w:rPr>
        <w:t>San Francisco, CA 94111</w:t>
      </w:r>
    </w:p>
    <w:p>
      <w:pPr>
        <w:ind w:left="2592"/>
        <w:spacing w:after="0"/>
        <w:rPr>
          <w:sz w:val="20"/>
          <w:szCs w:val="20"/>
          <w:color w:val="auto"/>
        </w:rPr>
      </w:pPr>
      <w:r>
        <w:rPr>
          <w:rFonts w:ascii="Times New Roman" w:cs="Times New Roman" w:eastAsia="Times New Roman" w:hAnsi="Times New Roman"/>
          <w:sz w:val="20"/>
          <w:szCs w:val="20"/>
          <w:color w:val="auto"/>
        </w:rPr>
        <w:t>Facsimile: (415) 395-8095</w:t>
      </w:r>
    </w:p>
    <w:p>
      <w:pPr>
        <w:ind w:left="2592"/>
        <w:spacing w:after="0"/>
        <w:rPr>
          <w:sz w:val="20"/>
          <w:szCs w:val="20"/>
          <w:color w:val="auto"/>
        </w:rPr>
      </w:pPr>
      <w:r>
        <w:rPr>
          <w:rFonts w:ascii="Times New Roman" w:cs="Times New Roman" w:eastAsia="Times New Roman" w:hAnsi="Times New Roman"/>
          <w:sz w:val="20"/>
          <w:szCs w:val="20"/>
          <w:color w:val="auto"/>
        </w:rPr>
        <w:t>Telephone: (415) 395-8870</w:t>
      </w:r>
    </w:p>
    <w:p>
      <w:pPr>
        <w:ind w:left="2592"/>
        <w:spacing w:after="0"/>
        <w:rPr>
          <w:sz w:val="20"/>
          <w:szCs w:val="20"/>
          <w:color w:val="auto"/>
        </w:rPr>
      </w:pPr>
      <w:r>
        <w:rPr>
          <w:rFonts w:ascii="Times New Roman" w:cs="Times New Roman" w:eastAsia="Times New Roman" w:hAnsi="Times New Roman"/>
          <w:sz w:val="20"/>
          <w:szCs w:val="20"/>
          <w:color w:val="auto"/>
        </w:rPr>
        <w:t>Email: haim.zaltzman@lw.com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72"/>
          </w:cols>
          <w:pgMar w:left="988" w:top="873" w:right="1039" w:bottom="1440" w:gutter="0" w:footer="0" w:header="0"/>
        </w:sectPr>
      </w:pPr>
    </w:p>
    <w:bookmarkStart w:id="236" w:name="page237"/>
    <w:bookmarkEnd w:id="236"/>
    <w:p>
      <w:pPr>
        <w:ind w:left="1300"/>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2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TG THERAPEUTICS, INC.</w:t>
      </w:r>
    </w:p>
    <w:p>
      <w:pPr>
        <w:spacing w:after="0" w:line="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Attention: Sean Power, Chief Financial Officer</w:t>
      </w:r>
    </w:p>
    <w:p>
      <w:pPr>
        <w:ind w:left="2600"/>
        <w:spacing w:after="0" w:line="184" w:lineRule="auto"/>
        <w:rPr>
          <w:sz w:val="20"/>
          <w:szCs w:val="20"/>
          <w:color w:val="auto"/>
        </w:rPr>
      </w:pPr>
      <w:r>
        <w:rPr>
          <w:rFonts w:ascii="Times New Roman" w:cs="Times New Roman" w:eastAsia="Times New Roman" w:hAnsi="Times New Roman"/>
          <w:sz w:val="18"/>
          <w:szCs w:val="18"/>
          <w:color w:val="auto"/>
        </w:rPr>
        <w:t>2 Gansevoort St., 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ind w:left="2600"/>
        <w:spacing w:after="0"/>
        <w:rPr>
          <w:sz w:val="20"/>
          <w:szCs w:val="20"/>
          <w:color w:val="auto"/>
        </w:rPr>
      </w:pPr>
      <w:r>
        <w:rPr>
          <w:rFonts w:ascii="Times New Roman" w:cs="Times New Roman" w:eastAsia="Times New Roman" w:hAnsi="Times New Roman"/>
          <w:sz w:val="20"/>
          <w:szCs w:val="20"/>
          <w:color w:val="auto"/>
        </w:rPr>
        <w:t>New York, NY 10014</w:t>
      </w:r>
    </w:p>
    <w:p>
      <w:pPr>
        <w:ind w:left="2600"/>
        <w:spacing w:after="0"/>
        <w:rPr>
          <w:sz w:val="20"/>
          <w:szCs w:val="20"/>
          <w:color w:val="auto"/>
        </w:rPr>
      </w:pPr>
      <w:r>
        <w:rPr>
          <w:rFonts w:ascii="Times New Roman" w:cs="Times New Roman" w:eastAsia="Times New Roman" w:hAnsi="Times New Roman"/>
          <w:sz w:val="20"/>
          <w:szCs w:val="20"/>
          <w:color w:val="auto"/>
        </w:rPr>
        <w:t>Telephone: (212)-554-4484</w:t>
      </w:r>
    </w:p>
    <w:p>
      <w:pPr>
        <w:ind w:left="2600"/>
        <w:spacing w:after="0"/>
        <w:rPr>
          <w:sz w:val="20"/>
          <w:szCs w:val="20"/>
          <w:color w:val="auto"/>
        </w:rPr>
      </w:pPr>
      <w:r>
        <w:rPr>
          <w:rFonts w:ascii="Times New Roman" w:cs="Times New Roman" w:eastAsia="Times New Roman" w:hAnsi="Times New Roman"/>
          <w:sz w:val="20"/>
          <w:szCs w:val="20"/>
          <w:color w:val="auto"/>
        </w:rPr>
        <w:t>Email: sp@tgtxinc.com</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or to such other address as each party may designate for itself by like notice.</w:t>
      </w:r>
    </w:p>
    <w:p>
      <w:pPr>
        <w:spacing w:after="0" w:line="216" w:lineRule="exact"/>
        <w:rPr>
          <w:sz w:val="20"/>
          <w:szCs w:val="20"/>
          <w:color w:val="auto"/>
        </w:rPr>
      </w:pPr>
    </w:p>
    <w:p>
      <w:pPr>
        <w:ind w:right="180" w:firstLine="656"/>
        <w:spacing w:after="0" w:line="246" w:lineRule="auto"/>
        <w:tabs>
          <w:tab w:leader="none" w:pos="972"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 Amendments</w:t>
      </w:r>
      <w:r>
        <w:rPr>
          <w:rFonts w:ascii="Times New Roman" w:cs="Times New Roman" w:eastAsia="Times New Roman" w:hAnsi="Times New Roman"/>
          <w:sz w:val="20"/>
          <w:szCs w:val="20"/>
          <w:color w:val="auto"/>
        </w:rPr>
        <w:t>. This Agreement constitutes the entire agreement and understanding of the parties hereto in respect of the subject matter hereof, and supersedes and replaces in their entirety any prior proposals, term sheets, letters, negotiations or other documents or agreements, whether written or oral, with respect to the subject matter hereof. None of the terms of this Agreement may be amended except by an instrument executed by each of the parties hereto.</w:t>
      </w:r>
    </w:p>
    <w:p>
      <w:pPr>
        <w:spacing w:after="0" w:line="184" w:lineRule="exact"/>
        <w:rPr>
          <w:rFonts w:ascii="Times New Roman" w:cs="Times New Roman" w:eastAsia="Times New Roman" w:hAnsi="Times New Roman"/>
          <w:sz w:val="20"/>
          <w:szCs w:val="20"/>
          <w:color w:val="auto"/>
        </w:rPr>
      </w:pPr>
    </w:p>
    <w:p>
      <w:pPr>
        <w:ind w:right="360" w:firstLine="656"/>
        <w:spacing w:after="0" w:line="269" w:lineRule="auto"/>
        <w:tabs>
          <w:tab w:leader="none" w:pos="972"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various headings in this Agreement are inserted for convenience only and shall not affect the meaning or interpretation of this Agreement or any provisions hereof.</w:t>
      </w:r>
    </w:p>
    <w:p>
      <w:pPr>
        <w:spacing w:after="0" w:line="159" w:lineRule="exact"/>
        <w:rPr>
          <w:rFonts w:ascii="Times New Roman" w:cs="Times New Roman" w:eastAsia="Times New Roman" w:hAnsi="Times New Roman"/>
          <w:sz w:val="20"/>
          <w:szCs w:val="20"/>
          <w:color w:val="auto"/>
        </w:rPr>
      </w:pPr>
    </w:p>
    <w:p>
      <w:pPr>
        <w:ind w:firstLine="656"/>
        <w:spacing w:after="0" w:line="254" w:lineRule="auto"/>
        <w:tabs>
          <w:tab w:leader="none" w:pos="972"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Advice of Counsel</w:t>
      </w:r>
      <w:r>
        <w:rPr>
          <w:rFonts w:ascii="Times New Roman" w:cs="Times New Roman" w:eastAsia="Times New Roman" w:hAnsi="Times New Roman"/>
          <w:sz w:val="20"/>
          <w:szCs w:val="20"/>
          <w:color w:val="auto"/>
        </w:rPr>
        <w:t>. Each of the parties represents to each other party hereto that it has discussed (or had an opportunity to discuss) with its counsel this Agreement and, specifically, the provisions of Sections 12(n), 12(o), 12(p), 12(q) and 12(r).</w:t>
      </w:r>
    </w:p>
    <w:p>
      <w:pPr>
        <w:spacing w:after="0" w:line="174" w:lineRule="exact"/>
        <w:rPr>
          <w:rFonts w:ascii="Times New Roman" w:cs="Times New Roman" w:eastAsia="Times New Roman" w:hAnsi="Times New Roman"/>
          <w:sz w:val="20"/>
          <w:szCs w:val="20"/>
          <w:color w:val="auto"/>
        </w:rPr>
      </w:pPr>
    </w:p>
    <w:p>
      <w:pPr>
        <w:ind w:right="200" w:firstLine="656"/>
        <w:spacing w:after="0" w:line="249" w:lineRule="auto"/>
        <w:tabs>
          <w:tab w:leader="none" w:pos="972"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Strict Construction</w:t>
      </w:r>
      <w:r>
        <w:rPr>
          <w:rFonts w:ascii="Times New Roman" w:cs="Times New Roman" w:eastAsia="Times New Roman" w:hAnsi="Times New Roman"/>
          <w:sz w:val="20"/>
          <w:szCs w:val="20"/>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79" w:lineRule="exact"/>
        <w:rPr>
          <w:rFonts w:ascii="Times New Roman" w:cs="Times New Roman" w:eastAsia="Times New Roman" w:hAnsi="Times New Roman"/>
          <w:sz w:val="20"/>
          <w:szCs w:val="20"/>
          <w:color w:val="auto"/>
        </w:rPr>
      </w:pPr>
    </w:p>
    <w:p>
      <w:pPr>
        <w:ind w:firstLine="656"/>
        <w:spacing w:after="0" w:line="249" w:lineRule="auto"/>
        <w:tabs>
          <w:tab w:leader="none" w:pos="972"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Waiver</w:t>
      </w:r>
      <w:r>
        <w:rPr>
          <w:rFonts w:ascii="Times New Roman" w:cs="Times New Roman" w:eastAsia="Times New Roman" w:hAnsi="Times New Roman"/>
          <w:sz w:val="20"/>
          <w:szCs w:val="20"/>
          <w:color w:val="auto"/>
        </w:rPr>
        <w:t>. No omission or delay by the Warrantholder at any time to enforce any right or remedy reserved to it, or to require performance of any of the terms, covenants or provisions hereof by the Company at any time designated, shall be a waiver of any such right or remedy to which the Warrantholder is entitled, nor shall it in any way affect the right of the Warrantholder to enforce such provisions thereafter during the term of this Agreement.</w:t>
      </w:r>
    </w:p>
    <w:p>
      <w:pPr>
        <w:spacing w:after="0" w:line="179" w:lineRule="exact"/>
        <w:rPr>
          <w:rFonts w:ascii="Times New Roman" w:cs="Times New Roman" w:eastAsia="Times New Roman" w:hAnsi="Times New Roman"/>
          <w:sz w:val="20"/>
          <w:szCs w:val="20"/>
          <w:color w:val="auto"/>
        </w:rPr>
      </w:pPr>
    </w:p>
    <w:p>
      <w:pPr>
        <w:ind w:right="300" w:firstLine="656"/>
        <w:spacing w:after="0" w:line="254" w:lineRule="auto"/>
        <w:tabs>
          <w:tab w:leader="none" w:pos="972"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All agreements, representations and warranties contained in this Agreement or in any document delivered pursuant hereto shall be for the benefit of the Warrantholder and shall survive the execution and delivery of this Agreement and the expiration or other termination of this Agreement.</w:t>
      </w:r>
    </w:p>
    <w:p>
      <w:pPr>
        <w:spacing w:after="0" w:line="174" w:lineRule="exact"/>
        <w:rPr>
          <w:rFonts w:ascii="Times New Roman" w:cs="Times New Roman" w:eastAsia="Times New Roman" w:hAnsi="Times New Roman"/>
          <w:sz w:val="20"/>
          <w:szCs w:val="20"/>
          <w:color w:val="auto"/>
        </w:rPr>
      </w:pPr>
    </w:p>
    <w:p>
      <w:pPr>
        <w:ind w:right="40" w:firstLine="656"/>
        <w:spacing w:after="0" w:line="246" w:lineRule="auto"/>
        <w:tabs>
          <w:tab w:leader="none" w:pos="972"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has been negotiated and delivered to the Warrantholder in the State of California, and shall be deemed to have been accepted by the Warrantholder in the State of California. Delivery of Common Stock to the Warrantholder by the Company under this Agreement is due in the State of California. This Agreement shall be governed by, and construed and enforced in accordance with, the laws of the State of California, excluding conflict of laws principles that would cause the application of laws of any other jurisdiction.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37" w:name="page238"/>
    <w:bookmarkEnd w:id="237"/>
    <w:p>
      <w:pPr>
        <w:ind w:left="-20" w:firstLine="656"/>
        <w:spacing w:after="0" w:line="242" w:lineRule="auto"/>
        <w:tabs>
          <w:tab w:leader="none" w:pos="952"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 to Jurisdiction and Venue</w:t>
      </w:r>
      <w:r>
        <w:rPr>
          <w:rFonts w:ascii="Times New Roman" w:cs="Times New Roman" w:eastAsia="Times New Roman" w:hAnsi="Times New Roman"/>
          <w:sz w:val="20"/>
          <w:szCs w:val="20"/>
          <w:color w:val="auto"/>
        </w:rPr>
        <w:t>. All judicial proceedings arising in or under or related to this Agreement may be brought in any state or federal court of competent jurisdiction located in the State of California. By execution and delivery of this Agreement, each party hereto generally and unconditionally: (i) consents to personal jurisdiction in Santa Clara County, State of California; (ii) waives any objection as to jurisdiction or venue in Santa Clara County, State of California; (iii) agrees not to assert any defense based on lack of jurisdiction or venue in the aforesaid courts; and (iv) irrevocably agrees to be bound by any judgment rendered thereby in connection with this Agreement. Service of process on any party hereto in any action arising out of or relating to this Agreement shall be effective if given in accordance with the requirements for notice set forth in Section 12(g), and shall be deemed effective and received as set forth in Section 12(g). Nothing herein shall affect the right to serve process in any other manner permitted by law or shall limit the right of either party to bring proceedings in the courts of any other jurisdiction.</w:t>
      </w:r>
    </w:p>
    <w:p>
      <w:pPr>
        <w:spacing w:after="0" w:line="192" w:lineRule="exact"/>
        <w:rPr>
          <w:rFonts w:ascii="Times New Roman" w:cs="Times New Roman" w:eastAsia="Times New Roman" w:hAnsi="Times New Roman"/>
          <w:sz w:val="20"/>
          <w:szCs w:val="20"/>
          <w:color w:val="auto"/>
        </w:rPr>
      </w:pPr>
    </w:p>
    <w:p>
      <w:pPr>
        <w:ind w:left="-20" w:right="120" w:firstLine="656"/>
        <w:spacing w:after="0" w:line="242" w:lineRule="auto"/>
        <w:tabs>
          <w:tab w:leader="none" w:pos="952"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Mutual Waiver of Jury Trial</w:t>
      </w:r>
      <w:r>
        <w:rPr>
          <w:rFonts w:ascii="Times New Roman" w:cs="Times New Roman" w:eastAsia="Times New Roman" w:hAnsi="Times New Roman"/>
          <w:sz w:val="20"/>
          <w:szCs w:val="20"/>
          <w:color w:val="auto"/>
        </w:rPr>
        <w:t>. 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arising under or in connection with this Warrant be resolved by a judge applying such applicable laws. EACH OF THE COMPANY AND THE WARRANTHOLDER SPECIFICALLY WAIVES ANY RIGHT IT MAY HAVE TO TRIAL BY JURY OF ANY CAUSE OF ACTION, CLAIM, CROSS-CLAIM, COUNTERCLAIM, THIRD PARTY CLAIM OR ANY OTHER CLAIM (COLLECTIVELY, “CLAIMS”) ASSERTED BY THE COMPANY AGAINST THE WARRANTHOLDER OR ITS ASSIGNEE OR BY THE WARRANTHOLDER OR ITS ASSIGNEE AGAINST THE COMPANY RELATING TO THIS WARRANT. This waiver extends to all such Claims, including Claims that involve persons or entities other the Company and the Warrantholder; Claims that arise out of or are in any way connected to the relationship between the Company and the Warrantholder; and any Claims for damages, breach of contract, specific performance, or any equitable or legal relief of any kind, arising out of this Agreement.</w:t>
      </w:r>
    </w:p>
    <w:p>
      <w:pPr>
        <w:spacing w:after="0" w:line="187" w:lineRule="exact"/>
        <w:rPr>
          <w:rFonts w:ascii="Times New Roman" w:cs="Times New Roman" w:eastAsia="Times New Roman" w:hAnsi="Times New Roman"/>
          <w:sz w:val="20"/>
          <w:szCs w:val="20"/>
          <w:color w:val="auto"/>
        </w:rPr>
      </w:pPr>
    </w:p>
    <w:p>
      <w:pPr>
        <w:ind w:left="-20" w:right="100" w:firstLine="656"/>
        <w:spacing w:after="0" w:line="243" w:lineRule="auto"/>
        <w:tabs>
          <w:tab w:leader="none" w:pos="952"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If the Mutual Waiver of Jury Trial set forth in Section 12(p) is ineffective or unenforceable, the parties agree that all Claims shall be submitted to binding arbitration in accordance with the commercial arbitration rules of JAMS (the “Rules”), such arbitration to occur before one arbitrator, which arbitrator shall be a retired California state judge or a retired Federal court judge. Such proceeding shall be conducted in Santa Clara County, State of California, with California rules of evidence and discovery applicable to such arbitration. The decision of the arbitrator shall be binding on the parties, and shall be final and nonappealable to the maximum extent permitted by law. Any judgment rendered by the arbitrator may be entered in a court of competent jurisdiction and enforced by the prevailing party as a final judgment of such court.</w:t>
      </w:r>
    </w:p>
    <w:p>
      <w:pPr>
        <w:spacing w:after="0" w:line="189" w:lineRule="exact"/>
        <w:rPr>
          <w:rFonts w:ascii="Times New Roman" w:cs="Times New Roman" w:eastAsia="Times New Roman" w:hAnsi="Times New Roman"/>
          <w:sz w:val="20"/>
          <w:szCs w:val="20"/>
          <w:color w:val="auto"/>
        </w:rPr>
      </w:pPr>
    </w:p>
    <w:p>
      <w:pPr>
        <w:jc w:val="both"/>
        <w:ind w:left="-20" w:right="100" w:firstLine="656"/>
        <w:spacing w:after="0" w:line="249" w:lineRule="auto"/>
        <w:tabs>
          <w:tab w:leader="none" w:pos="952"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Pre-arbitration Relief</w:t>
      </w:r>
      <w:r>
        <w:rPr>
          <w:rFonts w:ascii="Times New Roman" w:cs="Times New Roman" w:eastAsia="Times New Roman" w:hAnsi="Times New Roman"/>
          <w:sz w:val="20"/>
          <w:szCs w:val="20"/>
          <w:color w:val="auto"/>
        </w:rPr>
        <w:t>. In the event Claims are to be resolved by arbitration, either party may seek from a court of competent jurisdiction identified in Section 12(o), any prejudgment order, writ or other relief and have such prejudgment order, writ or other relief enforced to the fullest extent permitted by law notwithstanding that all Claims are otherwise subject to resolution by binding arbitration.</w:t>
      </w:r>
    </w:p>
    <w:p>
      <w:pPr>
        <w:spacing w:after="0" w:line="179" w:lineRule="exact"/>
        <w:rPr>
          <w:rFonts w:ascii="Times New Roman" w:cs="Times New Roman" w:eastAsia="Times New Roman" w:hAnsi="Times New Roman"/>
          <w:sz w:val="20"/>
          <w:szCs w:val="20"/>
          <w:color w:val="auto"/>
        </w:rPr>
      </w:pPr>
    </w:p>
    <w:p>
      <w:pPr>
        <w:ind w:left="-20" w:right="80" w:firstLine="656"/>
        <w:spacing w:after="0" w:line="249" w:lineRule="auto"/>
        <w:tabs>
          <w:tab w:leader="none" w:pos="952"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and any amendments, waivers, consents or supplements hereto may be executed in any number of counterparts (including by facsimile or electronic delivery (PDF)), and by different parties hereto in separate counterparts, each of which when so delivered shall be deemed an original, but all of which counterparts shall constitute but one and the same instrument.</w:t>
      </w:r>
    </w:p>
    <w:p>
      <w:pPr>
        <w:spacing w:after="0" w:line="179" w:lineRule="exact"/>
        <w:rPr>
          <w:rFonts w:ascii="Times New Roman" w:cs="Times New Roman" w:eastAsia="Times New Roman" w:hAnsi="Times New Roman"/>
          <w:sz w:val="20"/>
          <w:szCs w:val="20"/>
          <w:color w:val="auto"/>
        </w:rPr>
      </w:pPr>
    </w:p>
    <w:p>
      <w:pPr>
        <w:ind w:left="-20" w:right="60" w:firstLine="656"/>
        <w:spacing w:after="0" w:line="244" w:lineRule="auto"/>
        <w:tabs>
          <w:tab w:leader="none" w:pos="952"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The parties hereto hereby declare that it is impossible to measure in money the damages which will accrue to the Warrantholder by reason of the Company’s failure to perform any of the obligations under this Agreement and agree that the terms of this Agreement shall be specifically enforceable by the Warrantholder. If the Warrantholder institutes any action or proceeding to specifically enforce the provisions hereof, any person against whom such action or proceeding is brought hereby waives the claim or defense therein that the Warrantholder has an adequate remedy at law, and such person shall not offer in any such action or proceeding the claim or defense that such remedy at law exists.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356870</wp:posOffset>
            </wp:positionV>
            <wp:extent cx="629221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00" w:top="873" w:right="1019" w:bottom="1440" w:gutter="0" w:footer="0" w:header="0"/>
        </w:sectPr>
      </w:pPr>
    </w:p>
    <w:bookmarkStart w:id="238" w:name="page239"/>
    <w:bookmarkEnd w:id="238"/>
    <w:p>
      <w:pPr>
        <w:ind w:right="20" w:firstLine="656"/>
        <w:spacing w:after="0" w:line="263" w:lineRule="auto"/>
        <w:tabs>
          <w:tab w:leader="none" w:pos="972"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Lost, Stolen, Mutilated or Destroyed Warrant</w:t>
      </w:r>
      <w:r>
        <w:rPr>
          <w:rFonts w:ascii="Times New Roman" w:cs="Times New Roman" w:eastAsia="Times New Roman" w:hAnsi="Times New Roman"/>
          <w:sz w:val="19"/>
          <w:szCs w:val="19"/>
          <w:color w:val="auto"/>
        </w:rPr>
        <w:t>. If this Warrant is lost, stolen, mutilated or destroyed, the Company may, on such terms as to indemnity or otherwise as it may reasonably impose (which shall, in the case of a mutilated Warrant, include the surrender thereof), issue a new Warrant of like denomination and tenor as this Warrant so lost, stolen, mutilated or destroyed. Any such new Warrant shall constitute an original contractual obligation of the Company, whether or not the allegedly lost, stolen, mutilated or destroyed Warrant shall be at any time enforceable by anyone.</w:t>
      </w:r>
    </w:p>
    <w:p>
      <w:pPr>
        <w:spacing w:after="0" w:line="166" w:lineRule="exact"/>
        <w:rPr>
          <w:rFonts w:ascii="Times New Roman" w:cs="Times New Roman" w:eastAsia="Times New Roman" w:hAnsi="Times New Roman"/>
          <w:sz w:val="19"/>
          <w:szCs w:val="19"/>
          <w:color w:val="auto"/>
        </w:rPr>
      </w:pPr>
    </w:p>
    <w:p>
      <w:pPr>
        <w:ind w:right="140" w:firstLine="656"/>
        <w:spacing w:after="0" w:line="254" w:lineRule="auto"/>
        <w:tabs>
          <w:tab w:leader="none" w:pos="972"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Legends</w:t>
      </w:r>
      <w:r>
        <w:rPr>
          <w:rFonts w:ascii="Times New Roman" w:cs="Times New Roman" w:eastAsia="Times New Roman" w:hAnsi="Times New Roman"/>
          <w:sz w:val="20"/>
          <w:szCs w:val="20"/>
          <w:color w:val="auto"/>
        </w:rPr>
        <w:t>. To the extent required by applicable laws, this Warrant and the shares of Common Stock issuable hereunder (and the securities issuable, directly or indirectly, upon conversion of such shares of Common Stock, if any) may be imprinted with a restricted securities legend in substantially the following form:</w:t>
      </w:r>
    </w:p>
    <w:p>
      <w:pPr>
        <w:spacing w:after="0" w:line="174"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0"/>
          <w:szCs w:val="20"/>
          <w:color w:val="auto"/>
        </w:rPr>
        <w:t>THIS SECURITY HAS NOT BEEN REGISTERED UNDER THE SECURITIES ACT OF 1933, AS AMENDED (THE “ACT”), OR ANY APPLICABLE STATE SECURITIES LAWS, AND MAY NOT BE SOLD, OFFERED FOR SALE, PLEDGED OR HYPOTHECATED IN THE ABSENCE OF AN EFFECTIVE REGISTRATION RELATED THERETO OR, SUBJECT TO SECTION 11 OF THE WARRANT AGREEMENT DATED MARCH 31, 2023, BETWEEN THE COMPANY AND HERCULES CAPITAL, INC., AN OPINION OF COUNSEL (WHICH MAY BE COMPANY COUNSEL) REASONABLY SATISFACTORY TO THE COMPANY THAT SUCH REGISTRATION IS NOT REQUIRED UNDER THE ACTOR ANY STATE SECURITIES LAWS.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39" w:name="page240"/>
    <w:bookmarkEnd w:id="239"/>
    <w:p>
      <w:pPr>
        <w:ind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Warrant Agreement to be executed by its officers thereunto duly authorized as of the Effective Date.</w:t>
      </w:r>
    </w:p>
    <w:p>
      <w:pPr>
        <w:spacing w:after="0" w:line="389" w:lineRule="exact"/>
        <w:rPr>
          <w:sz w:val="20"/>
          <w:szCs w:val="20"/>
          <w:color w:val="auto"/>
        </w:rPr>
      </w:pPr>
    </w:p>
    <w:p>
      <w:pPr>
        <w:ind w:left="660"/>
        <w:spacing w:after="0"/>
        <w:tabs>
          <w:tab w:leader="none" w:pos="4960" w:val="left"/>
        </w:tabs>
        <w:rPr>
          <w:sz w:val="20"/>
          <w:szCs w:val="20"/>
          <w:color w:val="auto"/>
        </w:rPr>
      </w:pPr>
      <w:r>
        <w:rPr>
          <w:rFonts w:ascii="Times New Roman" w:cs="Times New Roman" w:eastAsia="Times New Roman" w:hAnsi="Times New Roman"/>
          <w:sz w:val="20"/>
          <w:szCs w:val="20"/>
          <w:color w:val="auto"/>
        </w:rPr>
        <w:t>COMPANY:</w:t>
      </w:r>
      <w:r>
        <w:rPr>
          <w:sz w:val="20"/>
          <w:szCs w:val="20"/>
          <w:color w:val="auto"/>
        </w:rPr>
        <w:tab/>
      </w:r>
      <w:r>
        <w:rPr>
          <w:rFonts w:ascii="Times New Roman" w:cs="Times New Roman" w:eastAsia="Times New Roman" w:hAnsi="Times New Roman"/>
          <w:sz w:val="20"/>
          <w:szCs w:val="20"/>
          <w:color w:val="auto"/>
        </w:rPr>
        <w:t>TG THERAPEUTICS, INC.</w:t>
      </w:r>
    </w:p>
    <w:p>
      <w:pPr>
        <w:spacing w:after="0" w:line="200" w:lineRule="exact"/>
        <w:rPr>
          <w:sz w:val="20"/>
          <w:szCs w:val="20"/>
          <w:color w:val="auto"/>
        </w:rPr>
      </w:pPr>
    </w:p>
    <w:p>
      <w:pPr>
        <w:spacing w:after="0" w:line="25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-144780</wp:posOffset>
            </wp:positionV>
            <wp:extent cx="276034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13335</wp:posOffset>
            </wp:positionV>
            <wp:extent cx="276034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760345" cy="825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-140335</wp:posOffset>
            </wp:positionV>
            <wp:extent cx="276034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1"/>
          <w:szCs w:val="21"/>
          <w:i w:val="1"/>
          <w:iCs w:val="1"/>
          <w:color w:val="auto"/>
        </w:rPr>
        <w:t>[Signature Page to Warrant (TG Therapeutics/Hercules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00"/>
          </w:cols>
          <w:pgMar w:left="980" w:top="873" w:right="1419" w:bottom="1440" w:gutter="0" w:footer="0" w:header="0"/>
        </w:sectPr>
      </w:pPr>
    </w:p>
    <w:bookmarkStart w:id="240" w:name="page241"/>
    <w:bookmarkEnd w:id="240"/>
    <w:p>
      <w:pPr>
        <w:ind w:left="200"/>
        <w:spacing w:after="0"/>
        <w:tabs>
          <w:tab w:leader="none" w:pos="4500" w:val="left"/>
        </w:tabs>
        <w:rPr>
          <w:sz w:val="20"/>
          <w:szCs w:val="20"/>
          <w:color w:val="auto"/>
        </w:rPr>
      </w:pPr>
      <w:r>
        <w:rPr>
          <w:rFonts w:ascii="Times New Roman" w:cs="Times New Roman" w:eastAsia="Times New Roman" w:hAnsi="Times New Roman"/>
          <w:sz w:val="20"/>
          <w:szCs w:val="20"/>
          <w:color w:val="auto"/>
        </w:rPr>
        <w:t>WARRANTHOLDER:</w:t>
      </w:r>
      <w:r>
        <w:rPr>
          <w:sz w:val="20"/>
          <w:szCs w:val="20"/>
          <w:color w:val="auto"/>
        </w:rPr>
        <w:tab/>
      </w:r>
      <w:r>
        <w:rPr>
          <w:rFonts w:ascii="Times New Roman" w:cs="Times New Roman" w:eastAsia="Times New Roman" w:hAnsi="Times New Roman"/>
          <w:sz w:val="20"/>
          <w:szCs w:val="20"/>
          <w:color w:val="auto"/>
        </w:rPr>
        <w:t>HERCULES CAPITAL, INC.,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Name: Jennifer Choe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-144780</wp:posOffset>
            </wp:positionV>
            <wp:extent cx="276034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ind w:left="4520"/>
        <w:spacing w:after="0"/>
        <w:tabs>
          <w:tab w:leader="none" w:pos="51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Assistant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to Warrant (TG Therapeutics/Hercules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364490</wp:posOffset>
            </wp:positionV>
            <wp:extent cx="629221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241" w:name="page242"/>
    <w:bookmarkEnd w:id="241"/>
    <w:p>
      <w:pPr>
        <w:ind w:left="4020"/>
        <w:spacing w:after="0"/>
        <w:rPr>
          <w:sz w:val="20"/>
          <w:szCs w:val="20"/>
          <w:color w:val="auto"/>
        </w:rPr>
      </w:pPr>
      <w:r>
        <w:rPr>
          <w:rFonts w:ascii="Times New Roman" w:cs="Times New Roman" w:eastAsia="Times New Roman" w:hAnsi="Times New Roman"/>
          <w:sz w:val="20"/>
          <w:szCs w:val="20"/>
          <w:color w:val="auto"/>
        </w:rPr>
        <w:t>EXHIBIT I</w:t>
      </w:r>
    </w:p>
    <w:p>
      <w:pPr>
        <w:spacing w:after="0" w:line="21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EXHIBIT II</w:t>
      </w:r>
    </w:p>
    <w:p>
      <w:pPr>
        <w:spacing w:after="0" w:line="21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9"/>
          <w:szCs w:val="19"/>
          <w:color w:val="auto"/>
        </w:rPr>
        <w:t>EXHIBIT III</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42" w:name="page243"/>
    <w:bookmarkEnd w:id="242"/>
    <w:p>
      <w:pPr>
        <w:ind w:left="8900"/>
        <w:spacing w:after="0"/>
        <w:rPr>
          <w:sz w:val="20"/>
          <w:szCs w:val="20"/>
          <w:color w:val="auto"/>
        </w:rPr>
      </w:pPr>
      <w:r>
        <w:rPr>
          <w:rFonts w:ascii="Times New Roman" w:cs="Times New Roman" w:eastAsia="Times New Roman" w:hAnsi="Times New Roman"/>
          <w:sz w:val="19"/>
          <w:szCs w:val="19"/>
          <w:b w:val="1"/>
          <w:bCs w:val="1"/>
          <w:color w:val="auto"/>
        </w:rPr>
        <w:t>Exhibit 10.7</w:t>
      </w:r>
    </w:p>
    <w:p>
      <w:pPr>
        <w:spacing w:after="0" w:line="2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WARRANT AND THE SHARES ISSUABLE UPON EXERCISE HEREOF HAVE NOT BEEN REGISTERED UNDER THE SECURITIES ACT OF 1933, AS AMENDED (THE “ACT”), OR ANY STATE SECURITIES LAWS, AND MAY NOT BE SOLD, OFFERED FOR SALE, PLEDGED, OR HYPOTHECATED IN THE ABSENCE OF AN EFFECTIVE REGISTRATION STATEMENT RELATED THERETO OR, SUBJECT TO SECTION 11 HEREOF, AN OPINION OF COUNSEL (WHICH MAY BE COMPANY COUNSEL) REASONABLY SATISFACTORY TO THE COMPANY THAT SUCH REGISTRATION IS NOT REQUIRED UNDER THE ACT, OR ANY APPLICABLE STATE SECURITIES LAWS.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WARRANT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To Purchase Shares of the Common Stock of</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TG THERAPEUTICS,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as of March 31, 2023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20" w:firstLine="648"/>
        <w:spacing w:after="0" w:line="245" w:lineRule="auto"/>
        <w:rPr>
          <w:sz w:val="20"/>
          <w:szCs w:val="20"/>
          <w:color w:val="auto"/>
        </w:rPr>
      </w:pPr>
      <w:r>
        <w:rPr>
          <w:rFonts w:ascii="Times New Roman" w:cs="Times New Roman" w:eastAsia="Times New Roman" w:hAnsi="Times New Roman"/>
          <w:sz w:val="20"/>
          <w:szCs w:val="20"/>
          <w:color w:val="auto"/>
        </w:rPr>
        <w:t>WHEREAS, TG Therapeutics,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entered into an Amended and Restated Loan and Security Agreement dated as of December 30, 2021 (as amended by that certain First Amendment to Amended and Restated Loan and Security Agreement dated as of March 31, 2023, and as otherwise amended and in effect from time to time, the “</w:t>
      </w:r>
      <w:r>
        <w:rPr>
          <w:rFonts w:ascii="Times New Roman" w:cs="Times New Roman" w:eastAsia="Times New Roman" w:hAnsi="Times New Roman"/>
          <w:sz w:val="20"/>
          <w:szCs w:val="20"/>
          <w:u w:val="single" w:color="auto"/>
          <w:color w:val="auto"/>
        </w:rPr>
        <w:t>Loan Agreement</w:t>
      </w:r>
      <w:r>
        <w:rPr>
          <w:rFonts w:ascii="Times New Roman" w:cs="Times New Roman" w:eastAsia="Times New Roman" w:hAnsi="Times New Roman"/>
          <w:sz w:val="20"/>
          <w:szCs w:val="20"/>
          <w:color w:val="auto"/>
        </w:rPr>
        <w:t>”) with Hercules Capital, Inc., a Maryland corporation, in its capacity as administrative and collateral agent, Hercules Private Credit Fund 1 L.P., as a lender (the “</w:t>
      </w:r>
      <w:r>
        <w:rPr>
          <w:rFonts w:ascii="Times New Roman" w:cs="Times New Roman" w:eastAsia="Times New Roman" w:hAnsi="Times New Roman"/>
          <w:sz w:val="20"/>
          <w:szCs w:val="20"/>
          <w:u w:val="single" w:color="auto"/>
          <w:color w:val="auto"/>
        </w:rPr>
        <w:t>Warrantholder</w:t>
      </w:r>
      <w:r>
        <w:rPr>
          <w:rFonts w:ascii="Times New Roman" w:cs="Times New Roman" w:eastAsia="Times New Roman" w:hAnsi="Times New Roman"/>
          <w:sz w:val="20"/>
          <w:szCs w:val="20"/>
          <w:color w:val="auto"/>
        </w:rPr>
        <w:t>”), and the other lenders from time to time party thereto;</w:t>
      </w:r>
    </w:p>
    <w:p>
      <w:pPr>
        <w:spacing w:after="0" w:line="184" w:lineRule="exact"/>
        <w:rPr>
          <w:sz w:val="20"/>
          <w:szCs w:val="20"/>
          <w:color w:val="auto"/>
        </w:rPr>
      </w:pPr>
    </w:p>
    <w:p>
      <w:pPr>
        <w:ind w:right="100" w:firstLine="648"/>
        <w:spacing w:after="0" w:line="249" w:lineRule="auto"/>
        <w:rPr>
          <w:sz w:val="20"/>
          <w:szCs w:val="20"/>
          <w:color w:val="auto"/>
        </w:rPr>
      </w:pPr>
      <w:r>
        <w:rPr>
          <w:rFonts w:ascii="Times New Roman" w:cs="Times New Roman" w:eastAsia="Times New Roman" w:hAnsi="Times New Roman"/>
          <w:sz w:val="20"/>
          <w:szCs w:val="20"/>
          <w:color w:val="auto"/>
        </w:rPr>
        <w:t>WHEREAS, pursuant to the Loan Agreement and as additional consideration to the Warrantholder for, among other things, its agreements in the Loan Agreement, the Company has agreed to issue to the Warrantholder this Warrant Agreement, evidencing the right to purchase shares of the Company’s Common Stock (this “</w:t>
      </w:r>
      <w:r>
        <w:rPr>
          <w:rFonts w:ascii="Times New Roman" w:cs="Times New Roman" w:eastAsia="Times New Roman" w:hAnsi="Times New Roman"/>
          <w:sz w:val="20"/>
          <w:szCs w:val="20"/>
          <w:u w:val="single" w:color="auto"/>
          <w:color w:val="auto"/>
        </w:rPr>
        <w:t>Warrant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Warrant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or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Warrantholder having executed and delivered the Loan Agreement and provided the financial accommodations contemplated therein, and in consideration of the mutual covenants and agreements contained herein, the Company and Warrantholder agree as follows:</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color w:val="auto"/>
        </w:rPr>
        <w:t>GRANT OF THE RIGHT TO PURCHASE COMMON STOCK.</w:t>
      </w:r>
    </w:p>
    <w:p>
      <w:pPr>
        <w:spacing w:after="0" w:line="220" w:lineRule="exact"/>
        <w:rPr>
          <w:sz w:val="20"/>
          <w:szCs w:val="20"/>
          <w:color w:val="auto"/>
        </w:rPr>
      </w:pPr>
    </w:p>
    <w:p>
      <w:pPr>
        <w:ind w:firstLine="656"/>
        <w:spacing w:after="0" w:line="245" w:lineRule="auto"/>
        <w:tabs>
          <w:tab w:leader="none" w:pos="1296"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value received, the Company hereby grants to the Warrantholder, and the Warrantholder is entitled, upon the terms and subject to the conditions hereinafter set forth, to subscribe for and purchase, from the Company, up to the aggregate number of fully paid and non-assessable shares of Common Stock (as defined below) as determined pursuant to Section 1(b) below, at a purchase price per share equal to the Exercise Price (as defined below). The number and Exercise Price of such shares are subject to adjustment as provided in Section 8. As used herein, the following terms shall have the following meanings:</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means the Securities Act of 1933, as amended.</w:t>
      </w:r>
    </w:p>
    <w:p>
      <w:pPr>
        <w:spacing w:after="0" w:line="216" w:lineRule="exact"/>
        <w:rPr>
          <w:sz w:val="20"/>
          <w:szCs w:val="20"/>
          <w:color w:val="auto"/>
        </w:rPr>
      </w:pPr>
    </w:p>
    <w:p>
      <w:pPr>
        <w:ind w:left="660" w:right="3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Charter</w:t>
      </w:r>
      <w:r>
        <w:rPr>
          <w:rFonts w:ascii="Times New Roman" w:cs="Times New Roman" w:eastAsia="Times New Roman" w:hAnsi="Times New Roman"/>
          <w:sz w:val="20"/>
          <w:szCs w:val="20"/>
          <w:color w:val="auto"/>
        </w:rPr>
        <w:t>” means the Company’s Certificate of Incorporation or other constitutional document, as may be amended and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878840</wp:posOffset>
            </wp:positionV>
            <wp:extent cx="629221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9" w:right="999" w:bottom="1440" w:gutter="0" w:footer="0" w:header="0"/>
        </w:sectPr>
      </w:pPr>
    </w:p>
    <w:bookmarkStart w:id="243" w:name="page244"/>
    <w:bookmarkEnd w:id="243"/>
    <w:p>
      <w:pPr>
        <w:ind w:left="200" w:right="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means the Company’s common stock, $0.001 par value per share, as presently constituted under the Charter, and any class and/or series of Company capital stock for or into which such common stock may be converted or exchanged in a reorganization, recapitalization or similar transaction.</w:t>
      </w:r>
    </w:p>
    <w:p>
      <w:pPr>
        <w:spacing w:after="0" w:line="174" w:lineRule="exact"/>
        <w:rPr>
          <w:sz w:val="20"/>
          <w:szCs w:val="20"/>
          <w:color w:val="auto"/>
        </w:rPr>
      </w:pPr>
    </w:p>
    <w:p>
      <w:pPr>
        <w:ind w:left="200" w:right="100"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Registration</w:t>
      </w:r>
      <w:r>
        <w:rPr>
          <w:rFonts w:ascii="Times New Roman" w:cs="Times New Roman" w:eastAsia="Times New Roman" w:hAnsi="Times New Roman"/>
          <w:sz w:val="20"/>
          <w:szCs w:val="20"/>
          <w:color w:val="auto"/>
        </w:rPr>
        <w:t xml:space="preserve">” means (i) a registration relating to the sale of securities to employees of the Company or a subsidiary pursuant to an equity option, equity purchase, or similar plan; (ii) a registration relating to an SEC Rule 145 transaction; or (iii) a registration on any form that does not include substantially the same information as would be required to be included in a registration statement covering the sale of the Registrable Securities,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the inclusion of information regarding this Warrant and the plan of distribution of and selling securityholder information related to the Common Shares issuable upon exercise of this Warrant, shall not constitute a basis for excluding the Registrable Securities from a registration pursuant to this clause (iii).</w:t>
      </w:r>
    </w:p>
    <w:p>
      <w:pPr>
        <w:spacing w:after="0" w:line="189" w:lineRule="exact"/>
        <w:rPr>
          <w:sz w:val="20"/>
          <w:szCs w:val="20"/>
          <w:color w:val="auto"/>
        </w:rPr>
      </w:pPr>
    </w:p>
    <w:p>
      <w:pPr>
        <w:ind w:left="200" w:right="1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means $14.70, subject to adjustment from time to time in accordance with the provisions of this Warrant.</w:t>
      </w:r>
    </w:p>
    <w:p>
      <w:pPr>
        <w:spacing w:after="0" w:line="159" w:lineRule="exact"/>
        <w:rPr>
          <w:sz w:val="20"/>
          <w:szCs w:val="20"/>
          <w:color w:val="auto"/>
        </w:rPr>
      </w:pPr>
    </w:p>
    <w:p>
      <w:pPr>
        <w:ind w:left="200" w:right="3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 Sale</w:t>
      </w:r>
      <w:r>
        <w:rPr>
          <w:rFonts w:ascii="Times New Roman" w:cs="Times New Roman" w:eastAsia="Times New Roman" w:hAnsi="Times New Roman"/>
          <w:sz w:val="20"/>
          <w:szCs w:val="20"/>
          <w:color w:val="auto"/>
        </w:rPr>
        <w:t>” means the closing of a Merger Event in which the consideration received by the Company and/or its stockholders, as applicable, consists solely of cash and/or Marketable Securities.</w:t>
      </w:r>
    </w:p>
    <w:p>
      <w:pPr>
        <w:spacing w:after="0" w:line="159" w:lineRule="exact"/>
        <w:rPr>
          <w:sz w:val="20"/>
          <w:szCs w:val="20"/>
          <w:color w:val="auto"/>
        </w:rPr>
      </w:pPr>
    </w:p>
    <w:p>
      <w:pPr>
        <w:ind w:left="200"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Marketable Securities</w:t>
      </w:r>
      <w:r>
        <w:rPr>
          <w:rFonts w:ascii="Times New Roman" w:cs="Times New Roman" w:eastAsia="Times New Roman" w:hAnsi="Times New Roman"/>
          <w:sz w:val="20"/>
          <w:szCs w:val="20"/>
          <w:color w:val="auto"/>
        </w:rPr>
        <w:t>” in connection with a Merger Event means securities meeting all of the following requirements: (i) the issuer thereof is then subject to the reporting requirements of Section 13 or Section 15(d)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is then current in its filing of all required reports and other information under the Act and the Exchange Act; (ii) the class and series of shares or other security of the issuer that would be received by the Warrantholder in connection with the Merger Event were the Warrantholder to exercise this Warrant on or prior to the closing thereof is then traded on a national securities exchange or over-the-counter market, and (iii) following the closing of such Merger Event, the Warrantholder would not be restricted from publicly re-selling all of the issuer’s shares and/or other securities that would be received by the Warrantholder in such Merger Event were the Warrantholder to exercise this Warrant in full on or prior to the closing of such Merger Event, except to the extent that any such restriction (x) arises solely under federal or state securities laws, rules or regulations, and (y) does not extend beyond six (6) months from the closing of such Merger Event.</w:t>
      </w:r>
    </w:p>
    <w:p>
      <w:pPr>
        <w:spacing w:after="0" w:line="187" w:lineRule="exact"/>
        <w:rPr>
          <w:sz w:val="20"/>
          <w:szCs w:val="20"/>
          <w:color w:val="auto"/>
        </w:rPr>
      </w:pPr>
    </w:p>
    <w:p>
      <w:pPr>
        <w:ind w:left="200"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Merger Event</w:t>
      </w:r>
      <w:r>
        <w:rPr>
          <w:rFonts w:ascii="Times New Roman" w:cs="Times New Roman" w:eastAsia="Times New Roman" w:hAnsi="Times New Roman"/>
          <w:sz w:val="20"/>
          <w:szCs w:val="20"/>
          <w:color w:val="auto"/>
        </w:rPr>
        <w:t>” means any of the following: (i) a sale, lease or other transfer of all or substantially all assets of the Company, (ii) any merger or consolidation involving the Company in which the Company is not the surviving entity or in which the outstanding shares of the Company’s capital stock are otherwise converted into or exchanged for shares of capital stock or other securities or property of another entity, or (iii) any sale by holders of the outstanding voting equity securities of the Company in a single transaction or series of related transactions of shares constituting a majority of the outstanding combined voting power of the Company.</w:t>
      </w:r>
    </w:p>
    <w:p>
      <w:pPr>
        <w:spacing w:after="0" w:line="184" w:lineRule="exact"/>
        <w:rPr>
          <w:sz w:val="20"/>
          <w:szCs w:val="20"/>
          <w:color w:val="auto"/>
        </w:rPr>
      </w:pPr>
    </w:p>
    <w:p>
      <w:pPr>
        <w:ind w:left="200" w:right="120"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Purchase Price</w:t>
      </w:r>
      <w:r>
        <w:rPr>
          <w:rFonts w:ascii="Times New Roman" w:cs="Times New Roman" w:eastAsia="Times New Roman" w:hAnsi="Times New Roman"/>
          <w:sz w:val="19"/>
          <w:szCs w:val="19"/>
          <w:color w:val="auto"/>
        </w:rPr>
        <w:t>” means, with respect to any exercise of this Warrant, an amount equal to the then-effective Exercise Price multiplied by the number of shares of Common Stock as to which this Warrant is then exercised.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40"/>
          </w:cols>
          <w:pgMar w:left="1440" w:top="1318" w:right="1019" w:bottom="1440" w:gutter="0" w:footer="0" w:header="0"/>
        </w:sectPr>
      </w:pPr>
    </w:p>
    <w:bookmarkStart w:id="244" w:name="page245"/>
    <w:bookmarkEnd w:id="244"/>
    <w:p>
      <w:pPr>
        <w:ind w:left="660" w:right="80"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Registrable Securities</w:t>
      </w:r>
      <w:r>
        <w:rPr>
          <w:rFonts w:ascii="Times New Roman" w:cs="Times New Roman" w:eastAsia="Times New Roman" w:hAnsi="Times New Roman"/>
          <w:sz w:val="20"/>
          <w:szCs w:val="20"/>
          <w:color w:val="auto"/>
        </w:rPr>
        <w:t xml:space="preserve">” means (i) the shares issuable upon exercise of this Warrant and (ii) any other Common Shares issued as a dividend or other distribution with respect to, in exchange for or in replacement of such shares;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securities referred to in (i)-(ii) above shall cease to be Registrable Securities (A) upon the sale of such securities pursuant to a registration statement or (B) upon the sale of such securities pursuant to Rule 144.</w:t>
      </w:r>
    </w:p>
    <w:p>
      <w:pPr>
        <w:spacing w:after="0" w:line="185" w:lineRule="exact"/>
        <w:rPr>
          <w:sz w:val="20"/>
          <w:szCs w:val="20"/>
          <w:color w:val="auto"/>
        </w:rPr>
      </w:pPr>
    </w:p>
    <w:p>
      <w:pPr>
        <w:ind w:left="6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Warrant Coverage</w:t>
      </w:r>
      <w:r>
        <w:rPr>
          <w:rFonts w:ascii="Times New Roman" w:cs="Times New Roman" w:eastAsia="Times New Roman" w:hAnsi="Times New Roman"/>
          <w:sz w:val="20"/>
          <w:szCs w:val="20"/>
          <w:color w:val="auto"/>
        </w:rPr>
        <w:t xml:space="preserve">” means 2.95%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aggregate principal amount of Term Loan Advances (as defined in the Loan Agreement) made and funded under the Loan Agreement on the Effective Date.</w:t>
      </w:r>
    </w:p>
    <w:p>
      <w:pPr>
        <w:spacing w:after="0" w:line="159" w:lineRule="exact"/>
        <w:rPr>
          <w:sz w:val="20"/>
          <w:szCs w:val="20"/>
          <w:color w:val="auto"/>
        </w:rPr>
      </w:pPr>
    </w:p>
    <w:p>
      <w:pPr>
        <w:ind w:right="20" w:firstLine="656"/>
        <w:spacing w:after="0" w:line="254" w:lineRule="auto"/>
        <w:tabs>
          <w:tab w:leader="none" w:pos="1296"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color w:val="auto"/>
        </w:rPr>
        <w:t>. This Warrant shall be exercisable for a number of shares of Common Stock equal to the quotient derived by dividing (i) the Warrant Coverage by (ii) the Exercise Price, subject to adjustment from time to time in accordance with the provisions of this Warrant.</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color w:val="auto"/>
        </w:rPr>
        <w:t>TERM OF THE AGREEMENT.</w:t>
      </w:r>
    </w:p>
    <w:p>
      <w:pPr>
        <w:spacing w:after="0" w:line="220" w:lineRule="exact"/>
        <w:rPr>
          <w:sz w:val="20"/>
          <w:szCs w:val="20"/>
          <w:color w:val="auto"/>
        </w:rPr>
      </w:pPr>
    </w:p>
    <w:p>
      <w:pPr>
        <w:ind w:right="320" w:firstLine="648"/>
        <w:spacing w:after="0" w:line="254" w:lineRule="auto"/>
        <w:rPr>
          <w:sz w:val="20"/>
          <w:szCs w:val="20"/>
          <w:color w:val="auto"/>
        </w:rPr>
      </w:pPr>
      <w:r>
        <w:rPr>
          <w:rFonts w:ascii="Times New Roman" w:cs="Times New Roman" w:eastAsia="Times New Roman" w:hAnsi="Times New Roman"/>
          <w:sz w:val="20"/>
          <w:szCs w:val="20"/>
          <w:color w:val="auto"/>
        </w:rPr>
        <w:t>The term of this Agreement and the right to purchase Common Stock as granted herein shall commence on the Effective Date and, subject to Section 8(a) below, shall be exercisable until 5:00 p.m. (Eastern Time) on the seventh (7th) anniversary of the Effective Date.</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19"/>
          <w:szCs w:val="19"/>
          <w:color w:val="auto"/>
        </w:rPr>
        <w:t>EXERCISE OF THE PURCHASE RIGHTS.</w:t>
      </w:r>
    </w:p>
    <w:p>
      <w:pPr>
        <w:spacing w:after="0" w:line="220" w:lineRule="exact"/>
        <w:rPr>
          <w:sz w:val="20"/>
          <w:szCs w:val="20"/>
          <w:color w:val="auto"/>
        </w:rPr>
      </w:pPr>
    </w:p>
    <w:p>
      <w:pPr>
        <w:ind w:right="20" w:firstLine="656"/>
        <w:spacing w:after="0" w:line="256" w:lineRule="auto"/>
        <w:tabs>
          <w:tab w:leader="none" w:pos="1296" w:val="left"/>
        </w:tabs>
        <w:numPr>
          <w:ilvl w:val="1"/>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Exercise</w:t>
      </w:r>
      <w:r>
        <w:rPr>
          <w:rFonts w:ascii="Times New Roman" w:cs="Times New Roman" w:eastAsia="Times New Roman" w:hAnsi="Times New Roman"/>
          <w:sz w:val="19"/>
          <w:szCs w:val="19"/>
          <w:color w:val="auto"/>
        </w:rPr>
        <w:t xml:space="preserve">. The purchase rights set forth in this Agreement are exercisable by the Warrantholder, in whole or in part, at any time, or from time to time, prior to the expiration of the term set forth in Section 2, by tendering to the Company at its principal office a notice of exercise in the form attached hereto as </w:t>
      </w:r>
      <w:r>
        <w:rPr>
          <w:rFonts w:ascii="Times New Roman" w:cs="Times New Roman" w:eastAsia="Times New Roman" w:hAnsi="Times New Roman"/>
          <w:sz w:val="19"/>
          <w:szCs w:val="19"/>
          <w:u w:val="single" w:color="auto"/>
          <w:color w:val="auto"/>
        </w:rPr>
        <w:t>Exhibit I</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Notice of Exercise</w:t>
      </w:r>
      <w:r>
        <w:rPr>
          <w:rFonts w:ascii="Times New Roman" w:cs="Times New Roman" w:eastAsia="Times New Roman" w:hAnsi="Times New Roman"/>
          <w:sz w:val="19"/>
          <w:szCs w:val="19"/>
          <w:color w:val="auto"/>
        </w:rPr>
        <w:t>”), duly completed and executed. Promptly upon receipt of the Notice of Exercise and the payment of the Purchase Price in accordance with the terms set forth below, and in no event later than three (3) business days thereafter, the Company or its transfer agent shall either (i) issue to the Warrantholder a certificate for the number of shares of Common Stock purchased or</w:t>
      </w:r>
    </w:p>
    <w:p>
      <w:pPr>
        <w:ind w:right="180" w:firstLine="8"/>
        <w:spacing w:after="0" w:line="242" w:lineRule="auto"/>
        <w:tabs>
          <w:tab w:leader="none" w:pos="291"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credit the same via book entry to the Warrantholder, and the Company shall execute the acknowledgment of exercise in the form attached hereto as </w:t>
      </w:r>
      <w:r>
        <w:rPr>
          <w:rFonts w:ascii="Times New Roman" w:cs="Times New Roman" w:eastAsia="Times New Roman" w:hAnsi="Times New Roman"/>
          <w:sz w:val="20"/>
          <w:szCs w:val="20"/>
          <w:u w:val="single" w:color="auto"/>
          <w:color w:val="auto"/>
        </w:rPr>
        <w:t>Exhibit II</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Acknowledgment of Exercise</w:t>
      </w:r>
      <w:r>
        <w:rPr>
          <w:rFonts w:ascii="Times New Roman" w:cs="Times New Roman" w:eastAsia="Times New Roman" w:hAnsi="Times New Roman"/>
          <w:sz w:val="20"/>
          <w:szCs w:val="20"/>
          <w:color w:val="auto"/>
        </w:rPr>
        <w:t>”) indicating the number of shares which remain subject to future purchases under this Warrant, if any.</w:t>
      </w:r>
    </w:p>
    <w:p>
      <w:pPr>
        <w:spacing w:after="0" w:line="187"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20"/>
          <w:szCs w:val="20"/>
          <w:color w:val="auto"/>
        </w:rPr>
        <w:t>The Purchase Price may be paid at the Warrantholder’s election either (i) by cash or check, or (ii) by surrender of all or a portion of the Warrant for shares of Common Stock to be exercised under this Agreement and, if applicable, an amended Agreement setting forth the remaining number of shares purchasable hereunder, as determined below (“</w:t>
      </w:r>
      <w:r>
        <w:rPr>
          <w:rFonts w:ascii="Times New Roman" w:cs="Times New Roman" w:eastAsia="Times New Roman" w:hAnsi="Times New Roman"/>
          <w:sz w:val="20"/>
          <w:szCs w:val="20"/>
          <w:u w:val="single" w:color="auto"/>
          <w:color w:val="auto"/>
        </w:rPr>
        <w:t>Net Issuance</w:t>
      </w:r>
      <w:r>
        <w:rPr>
          <w:rFonts w:ascii="Times New Roman" w:cs="Times New Roman" w:eastAsia="Times New Roman" w:hAnsi="Times New Roman"/>
          <w:sz w:val="20"/>
          <w:szCs w:val="20"/>
          <w:color w:val="auto"/>
        </w:rPr>
        <w:t>”). If the Warrantholder elects the Net Issuance method, the Company will issue shares of Common Stock in accordance with the following formula:</w:t>
      </w:r>
    </w:p>
    <w:p>
      <w:pPr>
        <w:spacing w:after="0" w:line="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9"/>
          <w:szCs w:val="39"/>
          <w:color w:val="auto"/>
          <w:vertAlign w:val="subscript"/>
        </w:rPr>
        <w:t>X =</w:t>
      </w:r>
      <w:r>
        <w:rPr>
          <w:rFonts w:ascii="Times New Roman" w:cs="Times New Roman" w:eastAsia="Times New Roman" w:hAnsi="Times New Roman"/>
          <w:sz w:val="20"/>
          <w:szCs w:val="20"/>
          <w:color w:val="auto"/>
        </w:rPr>
        <w:t xml:space="preserve">  Y(A-B)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-7620</wp:posOffset>
            </wp:positionV>
            <wp:extent cx="49720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0"/>
          <w:szCs w:val="20"/>
          <w:color w:val="auto"/>
        </w:rPr>
        <w:t>A</w:t>
      </w:r>
    </w:p>
    <w:p>
      <w:pPr>
        <w:spacing w:after="0" w:line="200" w:lineRule="exact"/>
        <w:rPr>
          <w:sz w:val="20"/>
          <w:szCs w:val="20"/>
          <w:color w:val="auto"/>
        </w:rPr>
      </w:pPr>
    </w:p>
    <w:p>
      <w:pPr>
        <w:spacing w:after="0" w:line="237" w:lineRule="exact"/>
        <w:rPr>
          <w:sz w:val="20"/>
          <w:szCs w:val="20"/>
          <w:color w:val="auto"/>
        </w:rPr>
      </w:pPr>
    </w:p>
    <w:p>
      <w:pPr>
        <w:spacing w:after="0"/>
        <w:tabs>
          <w:tab w:leader="none" w:pos="820" w:val="left"/>
          <w:tab w:leader="none" w:pos="1460" w:val="left"/>
        </w:tabs>
        <w:rPr>
          <w:sz w:val="20"/>
          <w:szCs w:val="20"/>
          <w:color w:val="auto"/>
        </w:rPr>
      </w:pPr>
      <w:r>
        <w:rPr>
          <w:rFonts w:ascii="Times New Roman" w:cs="Times New Roman" w:eastAsia="Times New Roman" w:hAnsi="Times New Roman"/>
          <w:sz w:val="20"/>
          <w:szCs w:val="20"/>
          <w:color w:val="auto"/>
        </w:rPr>
        <w:t>Where:</w:t>
        <w:tab/>
        <w:t>X =</w:t>
      </w:r>
      <w:r>
        <w:rPr>
          <w:sz w:val="20"/>
          <w:szCs w:val="20"/>
          <w:color w:val="auto"/>
        </w:rPr>
        <w:tab/>
      </w:r>
      <w:r>
        <w:rPr>
          <w:rFonts w:ascii="Times New Roman" w:cs="Times New Roman" w:eastAsia="Times New Roman" w:hAnsi="Times New Roman"/>
          <w:sz w:val="19"/>
          <w:szCs w:val="19"/>
          <w:color w:val="auto"/>
        </w:rPr>
        <w:t>the number of shares of Common Stock to be issued to the Warrantholder</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ind w:left="840"/>
        <w:spacing w:after="0"/>
        <w:tabs>
          <w:tab w:leader="none" w:pos="1460" w:val="left"/>
        </w:tabs>
        <w:rPr>
          <w:sz w:val="20"/>
          <w:szCs w:val="20"/>
          <w:color w:val="auto"/>
        </w:rPr>
      </w:pPr>
      <w:r>
        <w:rPr>
          <w:rFonts w:ascii="Times New Roman" w:cs="Times New Roman" w:eastAsia="Times New Roman" w:hAnsi="Times New Roman"/>
          <w:sz w:val="20"/>
          <w:szCs w:val="20"/>
          <w:color w:val="auto"/>
        </w:rPr>
        <w:t>Y =</w:t>
      </w:r>
      <w:r>
        <w:rPr>
          <w:sz w:val="20"/>
          <w:szCs w:val="20"/>
          <w:color w:val="auto"/>
        </w:rPr>
        <w:tab/>
      </w:r>
      <w:r>
        <w:rPr>
          <w:rFonts w:ascii="Times New Roman" w:cs="Times New Roman" w:eastAsia="Times New Roman" w:hAnsi="Times New Roman"/>
          <w:sz w:val="19"/>
          <w:szCs w:val="19"/>
          <w:color w:val="auto"/>
        </w:rPr>
        <w:t>the number of shares of Common Stock requested to be exercised under this Agreement.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18" w:right="999" w:bottom="1440" w:gutter="0" w:footer="0" w:header="0"/>
        </w:sectPr>
      </w:pPr>
    </w:p>
    <w:bookmarkStart w:id="245" w:name="page246"/>
    <w:bookmarkEnd w:id="245"/>
    <w:p>
      <w:pPr>
        <w:ind w:left="840" w:right="620"/>
        <w:spacing w:after="0" w:line="269" w:lineRule="auto"/>
        <w:rPr>
          <w:sz w:val="20"/>
          <w:szCs w:val="20"/>
          <w:color w:val="auto"/>
        </w:rPr>
      </w:pPr>
      <w:r>
        <w:rPr>
          <w:rFonts w:ascii="Times New Roman" w:cs="Times New Roman" w:eastAsia="Times New Roman" w:hAnsi="Times New Roman"/>
          <w:sz w:val="20"/>
          <w:szCs w:val="20"/>
          <w:color w:val="auto"/>
        </w:rPr>
        <w:t>A = the then-current fair market value of one (1) share of Common Stock at the time of exercise of this Warrant.</w:t>
      </w:r>
    </w:p>
    <w:p>
      <w:pPr>
        <w:spacing w:after="0" w:line="51" w:lineRule="exact"/>
        <w:rPr>
          <w:sz w:val="20"/>
          <w:szCs w:val="20"/>
          <w:color w:val="auto"/>
        </w:rPr>
      </w:pPr>
    </w:p>
    <w:p>
      <w:pPr>
        <w:ind w:left="840"/>
        <w:spacing w:after="0"/>
        <w:tabs>
          <w:tab w:leader="none" w:pos="1460" w:val="left"/>
        </w:tabs>
        <w:rPr>
          <w:sz w:val="20"/>
          <w:szCs w:val="20"/>
          <w:color w:val="auto"/>
        </w:rPr>
      </w:pPr>
      <w:r>
        <w:rPr>
          <w:rFonts w:ascii="Times New Roman" w:cs="Times New Roman" w:eastAsia="Times New Roman" w:hAnsi="Times New Roman"/>
          <w:sz w:val="20"/>
          <w:szCs w:val="20"/>
          <w:color w:val="auto"/>
        </w:rPr>
        <w:t>B =</w:t>
      </w:r>
      <w:r>
        <w:rPr>
          <w:sz w:val="20"/>
          <w:szCs w:val="20"/>
          <w:color w:val="auto"/>
        </w:rPr>
        <w:tab/>
      </w:r>
      <w:r>
        <w:rPr>
          <w:rFonts w:ascii="Times New Roman" w:cs="Times New Roman" w:eastAsia="Times New Roman" w:hAnsi="Times New Roman"/>
          <w:sz w:val="19"/>
          <w:szCs w:val="19"/>
          <w:color w:val="auto"/>
        </w:rPr>
        <w:t>the then-effective Exercise Price.</w:t>
      </w:r>
    </w:p>
    <w:p>
      <w:pPr>
        <w:spacing w:after="0" w:line="216" w:lineRule="exact"/>
        <w:rPr>
          <w:sz w:val="20"/>
          <w:szCs w:val="20"/>
          <w:color w:val="auto"/>
        </w:rPr>
      </w:pPr>
    </w:p>
    <w:p>
      <w:pPr>
        <w:ind w:right="360" w:firstLine="648"/>
        <w:spacing w:after="0" w:line="269" w:lineRule="auto"/>
        <w:rPr>
          <w:sz w:val="20"/>
          <w:szCs w:val="20"/>
          <w:color w:val="auto"/>
        </w:rPr>
      </w:pPr>
      <w:r>
        <w:rPr>
          <w:rFonts w:ascii="Times New Roman" w:cs="Times New Roman" w:eastAsia="Times New Roman" w:hAnsi="Times New Roman"/>
          <w:sz w:val="20"/>
          <w:szCs w:val="20"/>
          <w:color w:val="auto"/>
        </w:rPr>
        <w:t>For purposes of the above calculation, the current fair market value of shares of Common Stock shall mean with respect to each share of Common Stock:</w:t>
      </w:r>
    </w:p>
    <w:p>
      <w:pPr>
        <w:spacing w:after="0" w:line="159" w:lineRule="exact"/>
        <w:rPr>
          <w:sz w:val="20"/>
          <w:szCs w:val="20"/>
          <w:color w:val="auto"/>
        </w:rPr>
      </w:pPr>
    </w:p>
    <w:p>
      <w:pPr>
        <w:ind w:right="240" w:firstLine="656"/>
        <w:spacing w:after="0" w:line="254" w:lineRule="auto"/>
        <w:tabs>
          <w:tab w:leader="none" w:pos="1296"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when the Common Stock is traded on a national securities exchange, inter-dealer quotation system or over-the-counter bulletin board service, the average of the closing prices over a five (5) day period ending three days before the day the current fair market value of the securities is being determined;</w:t>
      </w:r>
    </w:p>
    <w:p>
      <w:pPr>
        <w:spacing w:after="0" w:line="174" w:lineRule="exact"/>
        <w:rPr>
          <w:rFonts w:ascii="Times New Roman" w:cs="Times New Roman" w:eastAsia="Times New Roman" w:hAnsi="Times New Roman"/>
          <w:sz w:val="20"/>
          <w:szCs w:val="20"/>
          <w:color w:val="auto"/>
        </w:rPr>
      </w:pPr>
    </w:p>
    <w:p>
      <w:pPr>
        <w:ind w:right="20" w:firstLine="656"/>
        <w:spacing w:after="0" w:line="249" w:lineRule="auto"/>
        <w:tabs>
          <w:tab w:leader="none" w:pos="1296"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exercise is in connection with a Merger Event, the fair market value of a share of Common Stock shall be deemed to be the per share value received by the holders of the outstanding shares of Common Stock pursuant to such Merger Event as determined in accordance with the definitive transaction documents executed among the parties in connection therewith; or</w:t>
      </w:r>
    </w:p>
    <w:p>
      <w:pPr>
        <w:spacing w:after="0" w:line="179" w:lineRule="exact"/>
        <w:rPr>
          <w:rFonts w:ascii="Times New Roman" w:cs="Times New Roman" w:eastAsia="Times New Roman" w:hAnsi="Times New Roman"/>
          <w:sz w:val="20"/>
          <w:szCs w:val="20"/>
          <w:color w:val="auto"/>
        </w:rPr>
      </w:pPr>
    </w:p>
    <w:p>
      <w:pPr>
        <w:ind w:right="140" w:firstLine="656"/>
        <w:spacing w:after="0" w:line="269" w:lineRule="auto"/>
        <w:tabs>
          <w:tab w:leader="none" w:pos="1296"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cases other than as described in the foregoing clauses (i) and (ii), the current fair market value of a share of Common Stock shall be determined in good faith by the Company’s Board of Directors.</w:t>
      </w:r>
    </w:p>
    <w:p>
      <w:pPr>
        <w:spacing w:after="0" w:line="159" w:lineRule="exact"/>
        <w:rPr>
          <w:sz w:val="20"/>
          <w:szCs w:val="20"/>
          <w:color w:val="auto"/>
        </w:rPr>
      </w:pPr>
    </w:p>
    <w:p>
      <w:pPr>
        <w:ind w:right="100" w:firstLine="648"/>
        <w:spacing w:after="0" w:line="249" w:lineRule="auto"/>
        <w:rPr>
          <w:sz w:val="20"/>
          <w:szCs w:val="20"/>
          <w:color w:val="auto"/>
        </w:rPr>
      </w:pPr>
      <w:r>
        <w:rPr>
          <w:rFonts w:ascii="Times New Roman" w:cs="Times New Roman" w:eastAsia="Times New Roman" w:hAnsi="Times New Roman"/>
          <w:sz w:val="20"/>
          <w:szCs w:val="20"/>
          <w:color w:val="auto"/>
        </w:rPr>
        <w:t>Upon partial exercise by either cash or Net Issuance, prior to the expiration or earlier termination hereof, the Company shall promptly issue an amended Agreement representing the remaining number of shares purchasable hereunder. All other terms and conditions of such amended Agreement shall be identical to those contained herein, including, but not limited to the Effective Date hereof.</w:t>
      </w:r>
    </w:p>
    <w:p>
      <w:pPr>
        <w:spacing w:after="0" w:line="180" w:lineRule="exact"/>
        <w:rPr>
          <w:sz w:val="20"/>
          <w:szCs w:val="20"/>
          <w:color w:val="auto"/>
        </w:rPr>
      </w:pPr>
    </w:p>
    <w:p>
      <w:pPr>
        <w:ind w:right="40" w:firstLine="656"/>
        <w:spacing w:after="0" w:line="242" w:lineRule="auto"/>
        <w:tabs>
          <w:tab w:leader="none" w:pos="1296"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Prior to Expiration</w:t>
      </w:r>
      <w:r>
        <w:rPr>
          <w:rFonts w:ascii="Times New Roman" w:cs="Times New Roman" w:eastAsia="Times New Roman" w:hAnsi="Times New Roman"/>
          <w:sz w:val="20"/>
          <w:szCs w:val="20"/>
          <w:color w:val="auto"/>
        </w:rPr>
        <w:t>. To the extent this Warrant is not previously exercised as to all shares of Common Stock subject hereto, and if the then-current fair market value of one share of Common Stock is greater than the Exercise Price then in effect, or, in the case of a Liquid Sale, where the value per share of Common Stock (as determined as of the closing of such Liquid Sale in accordance with the definitive agreements executed by the parties in connection with such Merger Event) to be paid to the holders thereof is greater than the Exercise Price then in effect, this Agreement shall be deemed automatically exercised on a Net Issuance basis pursuant to Section 3(a) (even if not surrendered) as of immediately before its expiration determined in accordance with Section 2. For purposes of such automatic exercise, the fair market value of one share of Common Stock upon such expiration shall be determined pursuant to Section 3(a). To the extent this Warrant or any portion hereof is deemed automatically exercised pursuant to this Section 3(b), the Company agrees to promptly notify the Warrantholder of the number of shares of Common Stock if any, the Warrantholder is to receive by reason of such automatic exercise, and to issue or cause its transfer agent to issue a certificate or a book-entry credit to the Warrantholder evidencing such shares.</w:t>
      </w:r>
    </w:p>
    <w:p>
      <w:pPr>
        <w:spacing w:after="0" w:line="183"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19"/>
          <w:szCs w:val="19"/>
          <w:color w:val="auto"/>
        </w:rPr>
        <w:t>RESERVATION OF SHARES.</w:t>
      </w:r>
    </w:p>
    <w:p>
      <w:pPr>
        <w:spacing w:after="0" w:line="220"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During the term of this Agreement, the Company will at all times have authorized and reserved a sufficient number of shares of its Common Stock to provide for the exercise of the rights to purchase Common Stock as provided for herein. If at any time during the term hereof the number of authorized but unissued shares of Common Stock shall not be sufficient to permit exercise of this Warrant in full, the Company will take such corporate action as may, in the opinion of its counsel, be necessary to increase its authorized but unissued shares of Common Stock to such number of shares as shall be sufficient for such purposes.</w:t>
      </w:r>
    </w:p>
    <w:p>
      <w:pPr>
        <w:spacing w:after="0" w:line="18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19"/>
          <w:szCs w:val="19"/>
          <w:color w:val="auto"/>
        </w:rPr>
        <w:t>NO FRACTIONAL SHARES OR SCRIP.</w:t>
      </w:r>
    </w:p>
    <w:p>
      <w:pPr>
        <w:spacing w:after="0" w:line="220"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20"/>
          <w:szCs w:val="20"/>
          <w:color w:val="auto"/>
        </w:rPr>
        <w:t>No fractional shares or scrip representing fractional shares shall be issued upon the exercise of this Agreement, but in lieu of such fractional shares the Company shall make a cash payment therefor in an amount equal to the product of (a) the Exercise Price then in effect multiplied by (b) the fraction of a share.</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3" w:right="1019" w:bottom="1440" w:gutter="0" w:footer="0" w:header="0"/>
        </w:sectPr>
      </w:pPr>
    </w:p>
    <w:bookmarkStart w:id="246" w:name="page247"/>
    <w:bookmarkEnd w:id="246"/>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6.</w:t>
      </w:r>
      <w:r>
        <w:rPr>
          <w:sz w:val="20"/>
          <w:szCs w:val="20"/>
          <w:color w:val="auto"/>
        </w:rPr>
        <w:tab/>
      </w:r>
      <w:r>
        <w:rPr>
          <w:rFonts w:ascii="Times New Roman" w:cs="Times New Roman" w:eastAsia="Times New Roman" w:hAnsi="Times New Roman"/>
          <w:sz w:val="19"/>
          <w:szCs w:val="19"/>
          <w:color w:val="auto"/>
        </w:rPr>
        <w:t>NO RIGHTS AS SHAREHOLDER/STOCKHOLDER.</w:t>
      </w:r>
    </w:p>
    <w:p>
      <w:pPr>
        <w:spacing w:after="0" w:line="220"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20"/>
          <w:szCs w:val="20"/>
          <w:color w:val="auto"/>
        </w:rPr>
        <w:t>Without limitation of any provision hereof, the Warrantholder agrees that this Agreement does not entitle the Warrantholder to any voting rights or other rights as a shareholder/stockholder of the Company prior to the exercise of any of the purchase rights set forth in this Agreement.</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7.</w:t>
      </w:r>
      <w:r>
        <w:rPr>
          <w:sz w:val="20"/>
          <w:szCs w:val="20"/>
          <w:color w:val="auto"/>
        </w:rPr>
        <w:tab/>
      </w:r>
      <w:r>
        <w:rPr>
          <w:rFonts w:ascii="Times New Roman" w:cs="Times New Roman" w:eastAsia="Times New Roman" w:hAnsi="Times New Roman"/>
          <w:sz w:val="19"/>
          <w:szCs w:val="19"/>
          <w:color w:val="auto"/>
        </w:rPr>
        <w:t>WARRANTHOLDER REGISTRY.</w:t>
      </w:r>
    </w:p>
    <w:p>
      <w:pPr>
        <w:spacing w:after="0" w:line="220" w:lineRule="exact"/>
        <w:rPr>
          <w:sz w:val="20"/>
          <w:szCs w:val="20"/>
          <w:color w:val="auto"/>
        </w:rPr>
      </w:pPr>
    </w:p>
    <w:p>
      <w:pPr>
        <w:jc w:val="both"/>
        <w:ind w:right="240" w:firstLine="648"/>
        <w:spacing w:after="0" w:line="254" w:lineRule="auto"/>
        <w:rPr>
          <w:sz w:val="20"/>
          <w:szCs w:val="20"/>
          <w:color w:val="auto"/>
        </w:rPr>
      </w:pPr>
      <w:r>
        <w:rPr>
          <w:rFonts w:ascii="Times New Roman" w:cs="Times New Roman" w:eastAsia="Times New Roman" w:hAnsi="Times New Roman"/>
          <w:sz w:val="20"/>
          <w:szCs w:val="20"/>
          <w:color w:val="auto"/>
        </w:rPr>
        <w:t>The Company shall maintain a registry showing the name and address of the registered holder of this Agreement. The Warrantholder’s initial address, for purposes of such registry, is set forth in Section 12(g) below. The Warrantholder may change such address by giving written notice of such changed address to the Company.</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8.</w:t>
      </w:r>
      <w:r>
        <w:rPr>
          <w:sz w:val="20"/>
          <w:szCs w:val="20"/>
          <w:color w:val="auto"/>
        </w:rPr>
        <w:tab/>
      </w:r>
      <w:r>
        <w:rPr>
          <w:rFonts w:ascii="Times New Roman" w:cs="Times New Roman" w:eastAsia="Times New Roman" w:hAnsi="Times New Roman"/>
          <w:sz w:val="19"/>
          <w:szCs w:val="19"/>
          <w:color w:val="auto"/>
        </w:rPr>
        <w:t>ADJUSTMENT RIGHTS.</w:t>
      </w:r>
    </w:p>
    <w:p>
      <w:pPr>
        <w:spacing w:after="0" w:line="220" w:lineRule="exact"/>
        <w:rPr>
          <w:sz w:val="20"/>
          <w:szCs w:val="20"/>
          <w:color w:val="auto"/>
        </w:rPr>
      </w:pPr>
    </w:p>
    <w:p>
      <w:pPr>
        <w:ind w:right="320" w:firstLine="648"/>
        <w:spacing w:after="0" w:line="269" w:lineRule="auto"/>
        <w:rPr>
          <w:sz w:val="20"/>
          <w:szCs w:val="20"/>
          <w:color w:val="auto"/>
        </w:rPr>
      </w:pPr>
      <w:r>
        <w:rPr>
          <w:rFonts w:ascii="Times New Roman" w:cs="Times New Roman" w:eastAsia="Times New Roman" w:hAnsi="Times New Roman"/>
          <w:sz w:val="20"/>
          <w:szCs w:val="20"/>
          <w:color w:val="auto"/>
        </w:rPr>
        <w:t>The Exercise Price and the number of shares of Common Stock purchasable hereunder are subject to adjustment from time to time, as follows:</w:t>
      </w:r>
    </w:p>
    <w:p>
      <w:pPr>
        <w:spacing w:after="0" w:line="159" w:lineRule="exact"/>
        <w:rPr>
          <w:sz w:val="20"/>
          <w:szCs w:val="20"/>
          <w:color w:val="auto"/>
        </w:rPr>
      </w:pPr>
    </w:p>
    <w:p>
      <w:pPr>
        <w:ind w:right="40" w:firstLine="656"/>
        <w:spacing w:after="0" w:line="255" w:lineRule="auto"/>
        <w:tabs>
          <w:tab w:leader="none" w:pos="972"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Merger Event</w:t>
      </w:r>
      <w:r>
        <w:rPr>
          <w:rFonts w:ascii="Times New Roman" w:cs="Times New Roman" w:eastAsia="Times New Roman" w:hAnsi="Times New Roman"/>
          <w:sz w:val="19"/>
          <w:szCs w:val="19"/>
          <w:color w:val="auto"/>
        </w:rPr>
        <w:t>. In connection with a Merger Event that is a Liquid Sale, this Warrant shall, on and after the closing thereof, automatically and without further action on the part of any party or other person, represent the right to receive the consideration payable on or in respect of all shares of Common Stock that are issuable hereunder as of immediately prior to the closing of such Merger Event less the Purchase Price for all such shares of Common Stock (such consideration to include both the consideration payable at the closing of such Merger Event and all deferred consideration payable thereafter, if any, including, but not limited to, payments of amounts deposited at such closing into escrow and payments in the nature of earn-outs, milestone payments or other performance-based payments), and such Merger Event consideration shall be paid to the Warrantholder as and when it is paid to the holders of the outstanding shares of Common Stock. In connection with a Merger Event that is not a Liquid Sale, the Company shall cause the successor or surviving entity to assume this Warrant and the obligations of the Company hereunder on the closing thereof, and thereafter this Warrant shall be exercisable for the same number and type of securities or other property as the Warrantholder would have received in consideration for the shares of Common Stock issuable hereunder had it exercised this Warrant in full as of immediately prior to such closing, at an aggregate Exercise Price no greater than the aggregate Exercise Price in effect as of immediately prior to such closing, and subject to further adjustment from time to time in accordance with the provisions of this Warrant. The provisions of this Section 8(a) shall similarly apply to successive Merger Events.</w:t>
      </w:r>
    </w:p>
    <w:p>
      <w:pPr>
        <w:spacing w:after="0" w:line="176" w:lineRule="exact"/>
        <w:rPr>
          <w:rFonts w:ascii="Times New Roman" w:cs="Times New Roman" w:eastAsia="Times New Roman" w:hAnsi="Times New Roman"/>
          <w:sz w:val="19"/>
          <w:szCs w:val="19"/>
          <w:color w:val="auto"/>
        </w:rPr>
      </w:pPr>
    </w:p>
    <w:p>
      <w:pPr>
        <w:ind w:firstLine="656"/>
        <w:spacing w:after="0" w:line="259" w:lineRule="auto"/>
        <w:tabs>
          <w:tab w:leader="none" w:pos="972"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Reclassification of Shares</w:t>
      </w:r>
      <w:r>
        <w:rPr>
          <w:rFonts w:ascii="Times New Roman" w:cs="Times New Roman" w:eastAsia="Times New Roman" w:hAnsi="Times New Roman"/>
          <w:sz w:val="19"/>
          <w:szCs w:val="19"/>
          <w:color w:val="auto"/>
        </w:rPr>
        <w:t>. Except for Merger Events subject to Section 8(a), if the Company at any time shall, by combination, reclassification, exchange or subdivision of securities or otherwise, change any of the securities as to which purchase rights under this Agreement exist into the same or a different number of securities of any other class or classes of securities, this Agreement shall thereafter represent the right to acquire such number and kind of securities as would have been issuable as the result of such change with respect to the securities which were subject to the purchase rights under this Agreement immediately prior to such combination, reclassification, exchange, subdivision or other change. The provisions of this Section 8(b) shall similarly apply to successive combination, reclassification, exchange, subdivision or other change.</w:t>
      </w:r>
    </w:p>
    <w:p>
      <w:pPr>
        <w:spacing w:after="0" w:line="172" w:lineRule="exact"/>
        <w:rPr>
          <w:rFonts w:ascii="Times New Roman" w:cs="Times New Roman" w:eastAsia="Times New Roman" w:hAnsi="Times New Roman"/>
          <w:sz w:val="19"/>
          <w:szCs w:val="19"/>
          <w:color w:val="auto"/>
        </w:rPr>
      </w:pPr>
    </w:p>
    <w:p>
      <w:pPr>
        <w:ind w:right="140" w:firstLine="656"/>
        <w:spacing w:after="0" w:line="246" w:lineRule="auto"/>
        <w:tabs>
          <w:tab w:leader="none" w:pos="972"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Subdivision or Combination of Shares</w:t>
      </w:r>
      <w:r>
        <w:rPr>
          <w:rFonts w:ascii="Times New Roman" w:cs="Times New Roman" w:eastAsia="Times New Roman" w:hAnsi="Times New Roman"/>
          <w:sz w:val="20"/>
          <w:szCs w:val="20"/>
          <w:color w:val="auto"/>
        </w:rPr>
        <w:t>. If the Company at any time shall combine or subdivide its Common Stock, (i) in the case of a subdivision, the Exercise Price shall be proportionately decreased and the number of shares for which this Warrant is exercisable shall be proportionately increased, or (ii) in the case of a combination, the Exercise Price shall be proportionately increased and the number of shares for which this Warrant is exercisable shall be proportionately decreased.</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869" w:right="1059" w:bottom="1440" w:gutter="0" w:footer="0" w:header="0"/>
        </w:sectPr>
      </w:pPr>
    </w:p>
    <w:bookmarkStart w:id="247" w:name="page248"/>
    <w:bookmarkEnd w:id="247"/>
    <w:p>
      <w:pPr>
        <w:ind w:left="980" w:hanging="324"/>
        <w:spacing w:after="0"/>
        <w:tabs>
          <w:tab w:leader="none" w:pos="98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 If the Company at any time while this Agreement is outstanding and unexpired shall:</w:t>
      </w:r>
    </w:p>
    <w:p>
      <w:pPr>
        <w:spacing w:after="0" w:line="215" w:lineRule="exact"/>
        <w:rPr>
          <w:rFonts w:ascii="Times New Roman" w:cs="Times New Roman" w:eastAsia="Times New Roman" w:hAnsi="Times New Roman"/>
          <w:sz w:val="20"/>
          <w:szCs w:val="20"/>
          <w:color w:val="auto"/>
        </w:rPr>
      </w:pPr>
    </w:p>
    <w:p>
      <w:pPr>
        <w:ind w:firstLine="980"/>
        <w:spacing w:after="0" w:line="244" w:lineRule="auto"/>
        <w:tabs>
          <w:tab w:leader="none" w:pos="1296"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a dividend with respect to the Common Stock payable in additional shares of Common Stock, then the Exercise Price shall be adjusted, from and after the date of determination of stockholders entitled to receive such dividend, to that price determined by multiplying the Exercise Price in effect immediately prior to such date of determination by a fraction (A) the numerator of which shall be the total number of shares of Common Stock outstanding immediately prior to such dividend or distribution, and (B) the denominator of which shall be the total number of shares of Common Stock outstanding immediately after such dividend or distribution, and the number of shares of Common Stock for which this Warrant is exercisable shall be proportionately increased; or</w:t>
      </w:r>
    </w:p>
    <w:p>
      <w:pPr>
        <w:spacing w:after="0" w:line="185" w:lineRule="exact"/>
        <w:rPr>
          <w:rFonts w:ascii="Times New Roman" w:cs="Times New Roman" w:eastAsia="Times New Roman" w:hAnsi="Times New Roman"/>
          <w:sz w:val="20"/>
          <w:szCs w:val="20"/>
          <w:color w:val="auto"/>
        </w:rPr>
      </w:pPr>
    </w:p>
    <w:p>
      <w:pPr>
        <w:ind w:right="100" w:firstLine="980"/>
        <w:spacing w:after="0" w:line="245" w:lineRule="auto"/>
        <w:tabs>
          <w:tab w:leader="none" w:pos="1296"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other dividend or distribution on or with respect to Common Stock, except any dividend or distribution specifically provided for in any other clause of this Section 8, then, in each such case, provision shall be made by the Company such that the Warrantholder shall receive upon exercise or conversion of this Warrant a proportionate share of any such dividend or distribution as though it were the holder of the Common Stock (or other stock for which the Common Stock is convertible) as of the record date fixed for the determination of the stockholders of the Company entitled to receive such dividend or distribution.</w:t>
      </w:r>
    </w:p>
    <w:p>
      <w:pPr>
        <w:spacing w:after="0" w:line="184" w:lineRule="exact"/>
        <w:rPr>
          <w:rFonts w:ascii="Times New Roman" w:cs="Times New Roman" w:eastAsia="Times New Roman" w:hAnsi="Times New Roman"/>
          <w:sz w:val="20"/>
          <w:szCs w:val="20"/>
          <w:color w:val="auto"/>
        </w:rPr>
      </w:pPr>
    </w:p>
    <w:p>
      <w:pPr>
        <w:ind w:right="20" w:firstLine="656"/>
        <w:spacing w:after="0" w:line="242" w:lineRule="auto"/>
        <w:tabs>
          <w:tab w:leader="none" w:pos="972"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Certain Events</w:t>
      </w:r>
      <w:r>
        <w:rPr>
          <w:rFonts w:ascii="Times New Roman" w:cs="Times New Roman" w:eastAsia="Times New Roman" w:hAnsi="Times New Roman"/>
          <w:sz w:val="20"/>
          <w:szCs w:val="20"/>
          <w:color w:val="auto"/>
        </w:rPr>
        <w:t>. If: (i) the Company shall declare any dividend or distribution upon its outstanding Common Stock, payable in stock, cash, property or other securities (provided that the Warrantholder in its capacity as lender under the Loan Agreement consents to such dividend); (ii) the Company shall offer for subscription pro rata to the holders of its Common Stock any additional shares of stock of any class or other rights; (iii) there shall be any Merger Event; or (iv) there shall be any voluntary dissolution, liquidation or winding up of the Company; then, in connection with each such event, the Company shall give the Warrantholder notice thereof at the same time and in the same manner as it gives notice thereof to the holders of outstanding Common Stock. In addition, if at any time the number of shares of Common Stock (or other securities of any other class or classes of securities of the Company for which this Warrant is then exercisable) outstanding is reduced such that the number of shares of Common Stock or other securities issuable upon exercise of this Warrant shall exceed five percent (5%) of the then outstanding class of such securities, then, within three (3) business days of such event, the Company shall give the Warrantholder written notice thereof.</w:t>
      </w:r>
    </w:p>
    <w:p>
      <w:pPr>
        <w:spacing w:after="0" w:line="18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9.</w:t>
      </w:r>
      <w:r>
        <w:rPr>
          <w:sz w:val="20"/>
          <w:szCs w:val="20"/>
          <w:color w:val="auto"/>
        </w:rPr>
        <w:tab/>
      </w:r>
      <w:r>
        <w:rPr>
          <w:rFonts w:ascii="Times New Roman" w:cs="Times New Roman" w:eastAsia="Times New Roman" w:hAnsi="Times New Roman"/>
          <w:sz w:val="19"/>
          <w:szCs w:val="19"/>
          <w:color w:val="auto"/>
        </w:rPr>
        <w:t>REPRESENTATIONS, WARRANTIES AND COVENANTS OF THE COMPANY.</w:t>
      </w:r>
    </w:p>
    <w:p>
      <w:pPr>
        <w:spacing w:after="0" w:line="233" w:lineRule="exact"/>
        <w:rPr>
          <w:sz w:val="20"/>
          <w:szCs w:val="20"/>
          <w:color w:val="auto"/>
        </w:rPr>
      </w:pPr>
    </w:p>
    <w:p>
      <w:pPr>
        <w:ind w:right="60" w:firstLine="656"/>
        <w:spacing w:after="0" w:line="242" w:lineRule="auto"/>
        <w:tabs>
          <w:tab w:leader="none" w:pos="972"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Reservation of Common Stock</w:t>
      </w:r>
      <w:r>
        <w:rPr>
          <w:rFonts w:ascii="Times New Roman" w:cs="Times New Roman" w:eastAsia="Times New Roman" w:hAnsi="Times New Roman"/>
          <w:sz w:val="20"/>
          <w:szCs w:val="20"/>
          <w:color w:val="auto"/>
        </w:rPr>
        <w:t>. The Company covenants and agrees that all shares of Common Stock that may be issued upon the exercise of the rights represented by this Warrant will, upon issuance, be validly issued and outstanding, fully paid and non-assessable, and will be free of any taxes, liens, charges or encumbrances of any nature whatsoever; provided, that the Common Stock issuable pursuant to this Agreement may be subject to restrictions on transfer under state and/or federal securities laws. The Company has made available to the Warrantholder true, correct and complete copies of its Charter and bylaws currently in effect. The issuance of certificates or book-entry credit for shares of Common Stock upon exercise of this Warrant shall be made without charge to the Warrantholder for any issuance tax in respect thereof, or other cost incurred by the Company in connection with such exercise and related issuance of shares of Common Stock. The Company further covenants and agrees that the Company will, at all times during the term hereof, have authorized and reserved, free from preemptive rights, a sufficient number of shares of Common Stock to provide for the exercise of the rights represented by this Warrant.</w:t>
      </w:r>
    </w:p>
    <w:p>
      <w:pPr>
        <w:spacing w:after="0" w:line="189" w:lineRule="exact"/>
        <w:rPr>
          <w:rFonts w:ascii="Times New Roman" w:cs="Times New Roman" w:eastAsia="Times New Roman" w:hAnsi="Times New Roman"/>
          <w:sz w:val="20"/>
          <w:szCs w:val="20"/>
          <w:color w:val="auto"/>
        </w:rPr>
      </w:pPr>
    </w:p>
    <w:p>
      <w:pPr>
        <w:jc w:val="both"/>
        <w:ind w:right="160" w:firstLine="656"/>
        <w:spacing w:after="0" w:line="260" w:lineRule="auto"/>
        <w:tabs>
          <w:tab w:leader="none" w:pos="972" w:val="left"/>
        </w:tabs>
        <w:numPr>
          <w:ilvl w:val="1"/>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Due Authority</w:t>
      </w:r>
      <w:r>
        <w:rPr>
          <w:rFonts w:ascii="Times New Roman" w:cs="Times New Roman" w:eastAsia="Times New Roman" w:hAnsi="Times New Roman"/>
          <w:sz w:val="19"/>
          <w:szCs w:val="19"/>
          <w:color w:val="auto"/>
        </w:rPr>
        <w:t>. The execution and delivery by the Company of this Agreement and the performance of all obligations of the Company hereunder, including the issuance to the Warrantholder of the right to acquire the shares of Common Stock, have been duly authorized by all necessary corporate action on the part of the Company. This Agreement:</w:t>
      </w:r>
    </w:p>
    <w:p>
      <w:pPr>
        <w:ind w:right="20" w:firstLine="8"/>
        <w:spacing w:after="0"/>
        <w:tabs>
          <w:tab w:leader="none" w:pos="236"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violate the Charter or the Company’s current bylaws; (ii) does not contravene any law or governmental rule, regulation or order applicable to the Company; and (iii) except as could not reasonably be expected to have a Material Adverse Effect (as defined in the Loan Agreement), does not and will not contravene any provision of, or constitute a default under, any indenture, mortgage, contract or other instrument to which the Company is a party or by which it is bound. This Agreement constitutes a legal, valid and binding agreement of the Company, enforceable in accordance with its terms, except as may be limited by bankruptcy, insolvency, reorganization, moratorium or similar</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48" w:name="page249"/>
    <w:bookmarkEnd w:id="248"/>
    <w:p>
      <w:pPr>
        <w:ind w:right="300"/>
        <w:spacing w:after="0" w:line="269" w:lineRule="auto"/>
        <w:rPr>
          <w:sz w:val="20"/>
          <w:szCs w:val="20"/>
          <w:color w:val="auto"/>
        </w:rPr>
      </w:pPr>
      <w:r>
        <w:rPr>
          <w:rFonts w:ascii="Times New Roman" w:cs="Times New Roman" w:eastAsia="Times New Roman" w:hAnsi="Times New Roman"/>
          <w:sz w:val="20"/>
          <w:szCs w:val="20"/>
          <w:color w:val="auto"/>
        </w:rPr>
        <w:t>laws relating to or affecting creditors’ rights generally (including, without limitation, fraudulent conveyance laws) and by general principles of equity, regardless of whether considered in a proceeding in equity or at law.</w:t>
      </w:r>
    </w:p>
    <w:p>
      <w:pPr>
        <w:spacing w:after="0" w:line="159" w:lineRule="exact"/>
        <w:rPr>
          <w:sz w:val="20"/>
          <w:szCs w:val="20"/>
          <w:color w:val="auto"/>
        </w:rPr>
      </w:pPr>
    </w:p>
    <w:p>
      <w:pPr>
        <w:ind w:right="20" w:firstLine="656"/>
        <w:spacing w:after="0" w:line="246" w:lineRule="auto"/>
        <w:tabs>
          <w:tab w:leader="none" w:pos="972"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Consents and Approvals</w:t>
      </w:r>
      <w:r>
        <w:rPr>
          <w:rFonts w:ascii="Times New Roman" w:cs="Times New Roman" w:eastAsia="Times New Roman" w:hAnsi="Times New Roman"/>
          <w:sz w:val="20"/>
          <w:szCs w:val="20"/>
          <w:color w:val="auto"/>
        </w:rPr>
        <w:t>. No consent or approval of, giving of notice to, registration with, or taking of any other action in respect of any state, federal or other governmental authority or agency is required with respect to the execution, delivery and performance by the Company of its obligations under this Agreement, except for the filing of notices pursuant to Regulation D under the Act and any filing required by applicable state securities law, which filings will be effective by the time required thereby.</w:t>
      </w:r>
    </w:p>
    <w:p>
      <w:pPr>
        <w:spacing w:after="0" w:line="184" w:lineRule="exact"/>
        <w:rPr>
          <w:rFonts w:ascii="Times New Roman" w:cs="Times New Roman" w:eastAsia="Times New Roman" w:hAnsi="Times New Roman"/>
          <w:sz w:val="20"/>
          <w:szCs w:val="20"/>
          <w:color w:val="auto"/>
        </w:rPr>
      </w:pPr>
    </w:p>
    <w:p>
      <w:pPr>
        <w:ind w:right="120" w:firstLine="656"/>
        <w:spacing w:after="0" w:line="249" w:lineRule="auto"/>
        <w:tabs>
          <w:tab w:leader="none" w:pos="972"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Exempt Transaction</w:t>
      </w:r>
      <w:r>
        <w:rPr>
          <w:rFonts w:ascii="Times New Roman" w:cs="Times New Roman" w:eastAsia="Times New Roman" w:hAnsi="Times New Roman"/>
          <w:sz w:val="20"/>
          <w:szCs w:val="20"/>
          <w:color w:val="auto"/>
        </w:rPr>
        <w:t>. Subject to the accuracy of the Warrantholder’s representations in Section 10, the issuance of the Common Stock upon exercise of this Agreement will constitute a transaction exempt from (i) the registration requirements of Section 5 of the Act, in reliance upon Section 4(a)(2) thereof, and (ii) the qualification requirements of the applicable state securities laws.</w:t>
      </w:r>
    </w:p>
    <w:p>
      <w:pPr>
        <w:spacing w:after="0" w:line="179" w:lineRule="exact"/>
        <w:rPr>
          <w:rFonts w:ascii="Times New Roman" w:cs="Times New Roman" w:eastAsia="Times New Roman" w:hAnsi="Times New Roman"/>
          <w:sz w:val="20"/>
          <w:szCs w:val="20"/>
          <w:color w:val="auto"/>
        </w:rPr>
      </w:pPr>
    </w:p>
    <w:p>
      <w:pPr>
        <w:ind w:right="20" w:firstLine="656"/>
        <w:spacing w:after="0" w:line="258" w:lineRule="auto"/>
        <w:tabs>
          <w:tab w:leader="none" w:pos="972" w:val="left"/>
        </w:tabs>
        <w:numPr>
          <w:ilvl w:val="1"/>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Information Rights</w:t>
      </w:r>
      <w:r>
        <w:rPr>
          <w:rFonts w:ascii="Times New Roman" w:cs="Times New Roman" w:eastAsia="Times New Roman" w:hAnsi="Times New Roman"/>
          <w:sz w:val="19"/>
          <w:szCs w:val="19"/>
          <w:color w:val="auto"/>
        </w:rPr>
        <w:t>. At all times (if any) prior to the earlier to occur of (x) the date on which all shares of Common Stock issued on exercise of this Warrant have been sold, or (y) the expiration or earlier termination of this Warrant, when the Company shall not be required to file reports pursuant to Section 13 or 15(d) of the Exchange Act or shall not have timely filed all such required reports, the Warrantholder shall be entitled to the information rights contained in Section 7.1(b)</w:t>
      </w:r>
    </w:p>
    <w:p>
      <w:pPr>
        <w:ind w:right="100"/>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(f) of the Loan Agreement, and in any such event Section 7.1(b) – (f) of the Loan Agreement is hereby incorporated into this Agreement by this reference as though fully set forth herein, provided, however, that the Company shall not be required to deliver a Compliance Certificate once all Indebtedness (as defined in the Loan Agreement) owed by the Company and its Subsidiaries to Warrantholder has been repaid.</w:t>
      </w:r>
    </w:p>
    <w:p>
      <w:pPr>
        <w:spacing w:after="0" w:line="188" w:lineRule="exact"/>
        <w:rPr>
          <w:rFonts w:ascii="Times New Roman" w:cs="Times New Roman" w:eastAsia="Times New Roman" w:hAnsi="Times New Roman"/>
          <w:sz w:val="19"/>
          <w:szCs w:val="19"/>
          <w:color w:val="auto"/>
        </w:rPr>
      </w:pPr>
    </w:p>
    <w:p>
      <w:pPr>
        <w:ind w:right="100" w:firstLine="656"/>
        <w:spacing w:after="0" w:line="242" w:lineRule="auto"/>
        <w:tabs>
          <w:tab w:leader="none" w:pos="972"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of Shares</w:t>
      </w:r>
      <w:r>
        <w:rPr>
          <w:rFonts w:ascii="Times New Roman" w:cs="Times New Roman" w:eastAsia="Times New Roman" w:hAnsi="Times New Roman"/>
          <w:sz w:val="20"/>
          <w:szCs w:val="20"/>
          <w:color w:val="auto"/>
        </w:rPr>
        <w:t xml:space="preserve">. If the Company proposes to register (including, for this purpose, a registration effected by the Company for the sale by the Company of its securities and/or the resale of securities of the Company by security holders other than the Warrantholder) the sale or resale of any of its Common Shares or other securities under the Act in connection with the public offering of such securities (other than in an Excluded Registration), the Company shall cause to be registered all of the Registrable Securities in such registration. The Company shall have the right to terminate or withdraw any registration initiated by it under this Section 9(f) before the effective date of such registration,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Company’s obligations to register the Registrable Securities under this Section 9(f) in any subsequent registration (other than in an Excluded Registration) shall continue following any such termination or withdrawal. All fees and expenses incident to the Company’s performance of or compliance with its obligations under this Section 9(f) (excluding any underwriting discounts and selling commissions) shall be borne by the Company.</w:t>
      </w:r>
    </w:p>
    <w:p>
      <w:pPr>
        <w:spacing w:after="0" w:line="192" w:lineRule="exact"/>
        <w:rPr>
          <w:rFonts w:ascii="Times New Roman" w:cs="Times New Roman" w:eastAsia="Times New Roman" w:hAnsi="Times New Roman"/>
          <w:sz w:val="20"/>
          <w:szCs w:val="20"/>
          <w:color w:val="auto"/>
        </w:rPr>
      </w:pPr>
    </w:p>
    <w:p>
      <w:pPr>
        <w:ind w:firstLine="656"/>
        <w:spacing w:after="0" w:line="242" w:lineRule="auto"/>
        <w:tabs>
          <w:tab w:leader="none" w:pos="972"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Rule 144 Compliance</w:t>
      </w:r>
      <w:r>
        <w:rPr>
          <w:rFonts w:ascii="Times New Roman" w:cs="Times New Roman" w:eastAsia="Times New Roman" w:hAnsi="Times New Roman"/>
          <w:sz w:val="20"/>
          <w:szCs w:val="20"/>
          <w:color w:val="auto"/>
        </w:rPr>
        <w:t>. The Company shall, at all times prior to the earlier to occur of (i) the date of sale or other disposition by Warrantholder of this Warrant or all shares of Common Stock issued on exercise of this Warrant, (ii) the registration pursuant to subsection (f) above of the shares issued on exercise of this Warrant, or (iii) the expiration or earlier termination of this Warrant if the Warrant has not been exercised in full or in part on such date, use all commercially reasonable efforts to timely file all reports required under the Exchange Act and otherwise timely take all actions necessary to permit the Warrantholder to sell or otherwise dispose of this Warrant and the shares of Common Stock issued on exercise hereof pursuant to Rule 144 promulgated under the Act (“Rule 144”), provided that the foregoing shall not apply in the event of a Merger Event following which the successor or surviving entity is not subject to the reporting requirements of the Exchange Act. If the Warrantholder proposes to sell Common Stock issuable upon the exercise of this Agreement in compliance with Rule 144, then, upon the Warrantholder’s written request to the Company, the Company shall furnish to the Warrantholder, within five (5) business days after receipt of such request, a written statement confirming the Company’s compliance with the filing and other requirements of such Rule 144.</w:t>
      </w:r>
    </w:p>
    <w:p>
      <w:pPr>
        <w:spacing w:after="0" w:line="183" w:lineRule="exact"/>
        <w:rPr>
          <w:sz w:val="20"/>
          <w:szCs w:val="20"/>
          <w:color w:val="auto"/>
        </w:rPr>
      </w:pPr>
    </w:p>
    <w:p>
      <w:pPr>
        <w:jc w:val="center"/>
        <w:ind w:right="40"/>
        <w:spacing w:after="0"/>
        <w:tabs>
          <w:tab w:leader="none" w:pos="240" w:val="left"/>
        </w:tabs>
        <w:rPr>
          <w:sz w:val="20"/>
          <w:szCs w:val="20"/>
          <w:color w:val="auto"/>
        </w:rPr>
      </w:pPr>
      <w:r>
        <w:rPr>
          <w:rFonts w:ascii="Times New Roman" w:cs="Times New Roman" w:eastAsia="Times New Roman" w:hAnsi="Times New Roman"/>
          <w:sz w:val="20"/>
          <w:szCs w:val="20"/>
          <w:b w:val="1"/>
          <w:bCs w:val="1"/>
          <w:color w:val="auto"/>
        </w:rPr>
        <w:t>SECTION 10.</w:t>
      </w:r>
      <w:r>
        <w:rPr>
          <w:sz w:val="20"/>
          <w:szCs w:val="20"/>
          <w:color w:val="auto"/>
        </w:rPr>
        <w:tab/>
      </w:r>
      <w:r>
        <w:rPr>
          <w:rFonts w:ascii="Times New Roman" w:cs="Times New Roman" w:eastAsia="Times New Roman" w:hAnsi="Times New Roman"/>
          <w:sz w:val="19"/>
          <w:szCs w:val="19"/>
          <w:color w:val="auto"/>
        </w:rPr>
        <w:t>REPRESENTATIONS AND COVENANTS OF THE WARRANTHOLDER.</w:t>
      </w:r>
    </w:p>
    <w:p>
      <w:pPr>
        <w:spacing w:after="0" w:line="220"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This Agreement has been entered into by the Company in reliance upon the following representations and covenants of the Warrantholder:</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49" w:name="page250"/>
    <w:bookmarkEnd w:id="249"/>
    <w:p>
      <w:pPr>
        <w:jc w:val="both"/>
        <w:ind w:right="120" w:firstLine="656"/>
        <w:spacing w:after="0" w:line="249" w:lineRule="auto"/>
        <w:tabs>
          <w:tab w:leader="none" w:pos="972"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Investment Purpose</w:t>
      </w:r>
      <w:r>
        <w:rPr>
          <w:rFonts w:ascii="Times New Roman" w:cs="Times New Roman" w:eastAsia="Times New Roman" w:hAnsi="Times New Roman"/>
          <w:sz w:val="20"/>
          <w:szCs w:val="20"/>
          <w:color w:val="auto"/>
        </w:rPr>
        <w:t>. This Warrant and the shares issued on exercise hereof will be acquired for investment and not with a view to the sale or distribution of any part thereof in violation of applicable federal and state securities laws, and the Warrantholder has no present intention of selling or engaging in any public distribution of the same except pursuant to a registration or exemption.</w:t>
      </w:r>
    </w:p>
    <w:p>
      <w:pPr>
        <w:spacing w:after="0" w:line="179" w:lineRule="exact"/>
        <w:rPr>
          <w:rFonts w:ascii="Times New Roman" w:cs="Times New Roman" w:eastAsia="Times New Roman" w:hAnsi="Times New Roman"/>
          <w:sz w:val="20"/>
          <w:szCs w:val="20"/>
          <w:color w:val="auto"/>
        </w:rPr>
      </w:pPr>
    </w:p>
    <w:p>
      <w:pPr>
        <w:ind w:right="240" w:firstLine="656"/>
        <w:spacing w:after="0" w:line="264" w:lineRule="auto"/>
        <w:tabs>
          <w:tab w:leader="none" w:pos="972" w:val="left"/>
        </w:tabs>
        <w:numPr>
          <w:ilvl w:val="1"/>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Private Issue</w:t>
      </w:r>
      <w:r>
        <w:rPr>
          <w:rFonts w:ascii="Times New Roman" w:cs="Times New Roman" w:eastAsia="Times New Roman" w:hAnsi="Times New Roman"/>
          <w:sz w:val="19"/>
          <w:szCs w:val="19"/>
          <w:color w:val="auto"/>
        </w:rPr>
        <w:t>. The Warrantholder understands that (i) the Common Stock issuable upon exercise of this Agreement is not, as of the Effective Date, registered under the Act or qualified under applicable state securities laws, and</w:t>
      </w:r>
    </w:p>
    <w:p>
      <w:pPr>
        <w:ind w:left="300" w:hanging="292"/>
        <w:spacing w:after="0"/>
        <w:tabs>
          <w:tab w:leader="none" w:pos="300"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reliance on exemption from such registration is predicated on the representations set forth in this Section</w:t>
      </w:r>
    </w:p>
    <w:p>
      <w:pPr>
        <w:spacing w:after="0" w:line="1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10.</w:t>
      </w:r>
    </w:p>
    <w:p>
      <w:pPr>
        <w:spacing w:after="0" w:line="193" w:lineRule="exact"/>
        <w:rPr>
          <w:rFonts w:ascii="Times New Roman" w:cs="Times New Roman" w:eastAsia="Times New Roman" w:hAnsi="Times New Roman"/>
          <w:sz w:val="19"/>
          <w:szCs w:val="19"/>
          <w:color w:val="auto"/>
        </w:rPr>
      </w:pPr>
    </w:p>
    <w:p>
      <w:pPr>
        <w:ind w:right="220" w:firstLine="656"/>
        <w:spacing w:after="0" w:line="254" w:lineRule="auto"/>
        <w:tabs>
          <w:tab w:leader="none" w:pos="972"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Risk</w:t>
      </w:r>
      <w:r>
        <w:rPr>
          <w:rFonts w:ascii="Times New Roman" w:cs="Times New Roman" w:eastAsia="Times New Roman" w:hAnsi="Times New Roman"/>
          <w:sz w:val="20"/>
          <w:szCs w:val="20"/>
          <w:color w:val="auto"/>
        </w:rPr>
        <w:t>. The Warrantholder has such knowledge and experience­ in financial and business matters as to be capable of evaluating the merits and risks of its investment, and has the ability to bear the economic risks of its investment.</w:t>
      </w:r>
    </w:p>
    <w:p>
      <w:pPr>
        <w:spacing w:after="0" w:line="174" w:lineRule="exact"/>
        <w:rPr>
          <w:rFonts w:ascii="Times New Roman" w:cs="Times New Roman" w:eastAsia="Times New Roman" w:hAnsi="Times New Roman"/>
          <w:sz w:val="20"/>
          <w:szCs w:val="20"/>
          <w:color w:val="auto"/>
        </w:rPr>
      </w:pPr>
    </w:p>
    <w:p>
      <w:pPr>
        <w:ind w:right="480" w:firstLine="656"/>
        <w:spacing w:after="0" w:line="269" w:lineRule="auto"/>
        <w:tabs>
          <w:tab w:leader="none" w:pos="1296"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Accredited Investor</w:t>
      </w:r>
      <w:r>
        <w:rPr>
          <w:rFonts w:ascii="Times New Roman" w:cs="Times New Roman" w:eastAsia="Times New Roman" w:hAnsi="Times New Roman"/>
          <w:sz w:val="20"/>
          <w:szCs w:val="20"/>
          <w:color w:val="auto"/>
        </w:rPr>
        <w:t>. The Warrantholder is an “accredited investor” within the meaning of Rule 501 of Regulation D promulgated under the Act, as presently in effect (“Regulation D”).</w:t>
      </w:r>
    </w:p>
    <w:p>
      <w:pPr>
        <w:spacing w:after="0" w:line="172" w:lineRule="exact"/>
        <w:rPr>
          <w:rFonts w:ascii="Times New Roman" w:cs="Times New Roman" w:eastAsia="Times New Roman" w:hAnsi="Times New Roman"/>
          <w:sz w:val="20"/>
          <w:szCs w:val="20"/>
          <w:color w:val="auto"/>
        </w:rPr>
      </w:pPr>
    </w:p>
    <w:p>
      <w:pPr>
        <w:jc w:val="both"/>
        <w:ind w:right="40" w:firstLine="656"/>
        <w:spacing w:after="0" w:line="249" w:lineRule="auto"/>
        <w:tabs>
          <w:tab w:leader="none" w:pos="972"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Short Sales</w:t>
      </w:r>
      <w:r>
        <w:rPr>
          <w:rFonts w:ascii="Times New Roman" w:cs="Times New Roman" w:eastAsia="Times New Roman" w:hAnsi="Times New Roman"/>
          <w:sz w:val="20"/>
          <w:szCs w:val="20"/>
          <w:color w:val="auto"/>
        </w:rPr>
        <w:t>. The Warrantholder has not at any time on or prior to the Effective Date engaged in any short sales or equivalent transactions in the Common Stock. Warrantholder agrees that at all times from and after the Effective Date and on or before the expiration or earlier termination of this Warrant, it shall not engage in any short sales or equivalent transactions in the Common Stock.</w:t>
      </w:r>
    </w:p>
    <w:p>
      <w:pPr>
        <w:spacing w:after="0" w:line="1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 xml:space="preserve">SECTION 11. </w:t>
      </w:r>
      <w:r>
        <w:rPr>
          <w:rFonts w:ascii="Times New Roman" w:cs="Times New Roman" w:eastAsia="Times New Roman" w:hAnsi="Times New Roman"/>
          <w:sz w:val="20"/>
          <w:szCs w:val="20"/>
          <w:color w:val="auto"/>
        </w:rPr>
        <w:t>TRANSFERS.</w:t>
      </w:r>
    </w:p>
    <w:p>
      <w:pPr>
        <w:spacing w:after="0" w:line="22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9"/>
          <w:szCs w:val="19"/>
          <w:color w:val="auto"/>
        </w:rPr>
        <w:t>Subject to compliance with applicable federal and state securities laws, this Agreement and all rights hereunder are transferable, in whole or in part, without charge to the holder hereof (except for transfer taxes) upon surrender of this Agreement properly endorsed. Each taker and holder of this Agreement, by taking or holding the same, consents and agrees that this Agreement, when endorsed in blank, shall be deemed negotiable, and that the holder hereof, when this Agreement shall have been so endorsed and its transfer recorded on the Company’s books, shall be treated by the Company and all other persons dealing with this Agreement as the absolute owner hereof for any purpose and as the person entitled to exercise the rights represented by this Agreement. The transfer of this Agreement shall be recorded on the books of the Company upon receipt by the Company of a notice of transfer in the form attached hereto as Exhibit III (the “</w:t>
      </w:r>
      <w:r>
        <w:rPr>
          <w:rFonts w:ascii="Times New Roman" w:cs="Times New Roman" w:eastAsia="Times New Roman" w:hAnsi="Times New Roman"/>
          <w:sz w:val="19"/>
          <w:szCs w:val="19"/>
          <w:u w:val="single" w:color="auto"/>
          <w:color w:val="auto"/>
        </w:rPr>
        <w:t>Transfer Notice</w:t>
      </w:r>
      <w:r>
        <w:rPr>
          <w:rFonts w:ascii="Times New Roman" w:cs="Times New Roman" w:eastAsia="Times New Roman" w:hAnsi="Times New Roman"/>
          <w:sz w:val="19"/>
          <w:szCs w:val="19"/>
          <w:color w:val="auto"/>
        </w:rPr>
        <w:t>”), at its principal offices and the payment to the Company of all transfer taxes and other governmental charges imposed on such transfer. Until the Company receives such Transfer Notice, the Company may treat the registered owner hereof as the owner for all purposes. Notwithstanding anything herein or in any legend to the contrary, the Company shall not require an opinion of counsel in connection with any sale, assignment or other transfer by the Warrantholder of this Warrant (or any portion hereof or any interest herein) or of any shares of Common Stock issued upon any exercise hereof to an affiliate (as defined in Regulation D) of the Warrantholder, provided that such affiliate is an “accredited investor” as defined in Regulation D.</w:t>
      </w:r>
    </w:p>
    <w:p>
      <w:pPr>
        <w:spacing w:after="0" w:line="1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 xml:space="preserve">SECTION 12. </w:t>
      </w:r>
      <w:r>
        <w:rPr>
          <w:rFonts w:ascii="Times New Roman" w:cs="Times New Roman" w:eastAsia="Times New Roman" w:hAnsi="Times New Roman"/>
          <w:sz w:val="20"/>
          <w:szCs w:val="20"/>
          <w:color w:val="auto"/>
        </w:rPr>
        <w:t>MISCELLANEOUS.</w:t>
      </w:r>
    </w:p>
    <w:p>
      <w:pPr>
        <w:spacing w:after="0" w:line="220" w:lineRule="exact"/>
        <w:rPr>
          <w:sz w:val="20"/>
          <w:szCs w:val="20"/>
          <w:color w:val="auto"/>
        </w:rPr>
      </w:pPr>
    </w:p>
    <w:p>
      <w:pPr>
        <w:ind w:firstLine="656"/>
        <w:spacing w:after="0" w:line="254" w:lineRule="auto"/>
        <w:tabs>
          <w:tab w:leader="none" w:pos="972"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The provisions of this Agreement shall be construed and shall be given effect in all respects as if it had been executed and delivered by the Company on the date hereof. This Agreement shall be binding upon any successors or assigns of the Company.</w:t>
      </w:r>
    </w:p>
    <w:p>
      <w:pPr>
        <w:spacing w:after="0" w:line="174" w:lineRule="exact"/>
        <w:rPr>
          <w:rFonts w:ascii="Times New Roman" w:cs="Times New Roman" w:eastAsia="Times New Roman" w:hAnsi="Times New Roman"/>
          <w:sz w:val="20"/>
          <w:szCs w:val="20"/>
          <w:color w:val="auto"/>
        </w:rPr>
      </w:pPr>
    </w:p>
    <w:p>
      <w:pPr>
        <w:ind w:firstLine="656"/>
        <w:spacing w:after="0" w:line="249" w:lineRule="auto"/>
        <w:tabs>
          <w:tab w:leader="none" w:pos="972"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In the event of any default hereunder, the non-defaulting party may proceed to protect and enforce its rights either by suit in equity and/or by action at law, including but not limited to an action for damages as a result of any such default, and/or an action for specific performance for any default where the Warrantholder will not have an adequate remedy at law and where damages will not be readily ascertainable.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50" w:name="page251"/>
    <w:bookmarkEnd w:id="250"/>
    <w:p>
      <w:pPr>
        <w:jc w:val="both"/>
        <w:ind w:left="-8" w:right="280" w:firstLine="656"/>
        <w:spacing w:after="0" w:line="249" w:lineRule="auto"/>
        <w:tabs>
          <w:tab w:leader="none" w:pos="964"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Impairment of Rights</w:t>
      </w:r>
      <w:r>
        <w:rPr>
          <w:rFonts w:ascii="Times New Roman" w:cs="Times New Roman" w:eastAsia="Times New Roman" w:hAnsi="Times New Roman"/>
          <w:sz w:val="20"/>
          <w:szCs w:val="20"/>
          <w:color w:val="auto"/>
        </w:rPr>
        <w:t>. The Company will not, by amendment of its Charter or through any other means, avoid or seek to avoid the observance or performance of any of the terms of this Agreement, but will at all times in good faith assist in the carrying out of all such terms and in the taking of all such actions as may be necessary or appropriate in order to protect the rights of the Warrantholder against impairment.</w:t>
      </w:r>
    </w:p>
    <w:p>
      <w:pPr>
        <w:spacing w:after="0" w:line="179" w:lineRule="exact"/>
        <w:rPr>
          <w:rFonts w:ascii="Times New Roman" w:cs="Times New Roman" w:eastAsia="Times New Roman" w:hAnsi="Times New Roman"/>
          <w:sz w:val="20"/>
          <w:szCs w:val="20"/>
          <w:color w:val="auto"/>
        </w:rPr>
      </w:pPr>
    </w:p>
    <w:p>
      <w:pPr>
        <w:ind w:left="-8" w:right="200" w:firstLine="656"/>
        <w:spacing w:after="0" w:line="269" w:lineRule="auto"/>
        <w:tabs>
          <w:tab w:leader="none" w:pos="964"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Documents</w:t>
      </w:r>
      <w:r>
        <w:rPr>
          <w:rFonts w:ascii="Times New Roman" w:cs="Times New Roman" w:eastAsia="Times New Roman" w:hAnsi="Times New Roman"/>
          <w:sz w:val="20"/>
          <w:szCs w:val="20"/>
          <w:color w:val="auto"/>
        </w:rPr>
        <w:t>. The Company agrees to supply such other documents as the Warrantholder may from time to time reasonably request.</w:t>
      </w:r>
    </w:p>
    <w:p>
      <w:pPr>
        <w:spacing w:after="0" w:line="159" w:lineRule="exact"/>
        <w:rPr>
          <w:rFonts w:ascii="Times New Roman" w:cs="Times New Roman" w:eastAsia="Times New Roman" w:hAnsi="Times New Roman"/>
          <w:sz w:val="20"/>
          <w:szCs w:val="20"/>
          <w:color w:val="auto"/>
        </w:rPr>
      </w:pPr>
    </w:p>
    <w:p>
      <w:pPr>
        <w:ind w:left="-8" w:firstLine="656"/>
        <w:spacing w:after="0" w:line="244" w:lineRule="auto"/>
        <w:tabs>
          <w:tab w:leader="none" w:pos="964"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Attorneys’ Fees</w:t>
      </w:r>
      <w:r>
        <w:rPr>
          <w:rFonts w:ascii="Times New Roman" w:cs="Times New Roman" w:eastAsia="Times New Roman" w:hAnsi="Times New Roman"/>
          <w:sz w:val="20"/>
          <w:szCs w:val="20"/>
          <w:color w:val="auto"/>
        </w:rPr>
        <w:t>. In any litigation, arbitration or court proceeding between the Company and the Warrantholder relating hereto, the prevailing party shall be entitled to attorneys’ fees and expenses and all costs of proceedings incurred in enforcing this Agreement. For the purposes of this Section 12(e), attorneys’ fees shall include without limitation fees incurred in connection with the following: (i) contempt proceedings; (ii) discovery; (iii) any motion, proceeding or other activity of any kind in connection with an insolvency proceeding; (iv) garnishment, levy, and debtor and third party examinations; and (v) post-judgment motions and proceedings of any kind, including without limitation any activity taken to collect or enforce any judgment.</w:t>
      </w:r>
    </w:p>
    <w:p>
      <w:pPr>
        <w:spacing w:after="0" w:line="185" w:lineRule="exact"/>
        <w:rPr>
          <w:rFonts w:ascii="Times New Roman" w:cs="Times New Roman" w:eastAsia="Times New Roman" w:hAnsi="Times New Roman"/>
          <w:sz w:val="20"/>
          <w:szCs w:val="20"/>
          <w:color w:val="auto"/>
        </w:rPr>
      </w:pPr>
    </w:p>
    <w:p>
      <w:pPr>
        <w:ind w:left="-8" w:right="100" w:firstLine="656"/>
        <w:spacing w:after="0" w:line="249" w:lineRule="auto"/>
        <w:tabs>
          <w:tab w:leader="none" w:pos="964"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any one or more of the provisions of this Agreement shall for any reason be held invalid, illegal or unenforceable, the remaining provisions of this Agreement shall be unimpaired, and the invalid, illegal or unenforceable provision shall be replaced by a mutually acceptable valid, legal and enforceable provision, which comes closest to the intention of the parties underlying the invalid, illegal or unenforceable provision.</w:t>
      </w:r>
    </w:p>
    <w:p>
      <w:pPr>
        <w:spacing w:after="0" w:line="179" w:lineRule="exact"/>
        <w:rPr>
          <w:rFonts w:ascii="Times New Roman" w:cs="Times New Roman" w:eastAsia="Times New Roman" w:hAnsi="Times New Roman"/>
          <w:sz w:val="20"/>
          <w:szCs w:val="20"/>
          <w:color w:val="auto"/>
        </w:rPr>
      </w:pPr>
    </w:p>
    <w:p>
      <w:pPr>
        <w:ind w:left="-8" w:right="20" w:firstLine="656"/>
        <w:spacing w:after="0" w:line="256" w:lineRule="auto"/>
        <w:tabs>
          <w:tab w:leader="none" w:pos="964" w:val="left"/>
        </w:tabs>
        <w:numPr>
          <w:ilvl w:val="1"/>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Except as otherwise provided herein, any notice, demand, request, consent, approval, declaration, service of process or other communication that is required, contemplated, or permitted under this Agreement or with respect to the subject matter hereof shall be in writing, and shall be deemed to have been validly served, given, delivered, and received upon the earlier of: (i) personal delivery to the party to be notified, (ii) when sent by confirmed telex, electronic transmission or facsimile if sent during normal business hours of the recipient, if not, then on the next business day, (iii) five</w:t>
      </w:r>
    </w:p>
    <w:p>
      <w:pPr>
        <w:spacing w:after="0" w:line="4" w:lineRule="exact"/>
        <w:rPr>
          <w:rFonts w:ascii="Times New Roman" w:cs="Times New Roman" w:eastAsia="Times New Roman" w:hAnsi="Times New Roman"/>
          <w:sz w:val="19"/>
          <w:szCs w:val="19"/>
          <w:color w:val="auto"/>
        </w:rPr>
      </w:pPr>
    </w:p>
    <w:p>
      <w:pPr>
        <w:jc w:val="both"/>
        <w:ind w:left="-8" w:right="40" w:firstLine="8"/>
        <w:spacing w:after="0" w:line="242" w:lineRule="auto"/>
        <w:tabs>
          <w:tab w:leader="none" w:pos="272"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having been sent by registered or certified mail, return receipt requested, postage prepaid, or (iv) one day after deposit with a nationally recognized overnight courier, specifying next day delivery, with written verification of receipt, and shall be addressed to the party to be notified as follows:</w:t>
      </w:r>
    </w:p>
    <w:p>
      <w:pPr>
        <w:spacing w:after="0" w:line="18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0"/>
          <w:szCs w:val="20"/>
          <w:color w:val="auto"/>
        </w:rPr>
        <w:t>If to the Warrantholder:</w:t>
      </w:r>
    </w:p>
    <w:p>
      <w:pPr>
        <w:spacing w:after="0" w:line="216"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20"/>
          <w:szCs w:val="20"/>
          <w:color w:val="auto"/>
        </w:rPr>
        <w:t>HERCULES PRIVATE CREDIT FUND 1 L.P.</w:t>
      </w:r>
    </w:p>
    <w:p>
      <w:pPr>
        <w:spacing w:after="0" w:line="21"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20"/>
          <w:szCs w:val="20"/>
          <w:color w:val="auto"/>
        </w:rPr>
        <w:t>Legal Department</w:t>
      </w:r>
    </w:p>
    <w:p>
      <w:pPr>
        <w:ind w:left="2592"/>
        <w:spacing w:after="0"/>
        <w:rPr>
          <w:sz w:val="20"/>
          <w:szCs w:val="20"/>
          <w:color w:val="auto"/>
        </w:rPr>
      </w:pPr>
      <w:r>
        <w:rPr>
          <w:rFonts w:ascii="Times New Roman" w:cs="Times New Roman" w:eastAsia="Times New Roman" w:hAnsi="Times New Roman"/>
          <w:sz w:val="20"/>
          <w:szCs w:val="20"/>
          <w:color w:val="auto"/>
        </w:rPr>
        <w:t>Attention: Chief Legal Officer and Michael Dutra and John Miotti</w:t>
      </w:r>
    </w:p>
    <w:p>
      <w:pPr>
        <w:ind w:left="2592"/>
        <w:spacing w:after="0"/>
        <w:rPr>
          <w:sz w:val="20"/>
          <w:szCs w:val="20"/>
          <w:color w:val="auto"/>
        </w:rPr>
      </w:pPr>
      <w:r>
        <w:rPr>
          <w:rFonts w:ascii="Times New Roman" w:cs="Times New Roman" w:eastAsia="Times New Roman" w:hAnsi="Times New Roman"/>
          <w:sz w:val="20"/>
          <w:szCs w:val="20"/>
          <w:color w:val="auto"/>
        </w:rPr>
        <w:t>400 Hamilton Avenue, Suite 310</w:t>
      </w:r>
    </w:p>
    <w:p>
      <w:pPr>
        <w:ind w:left="2592"/>
        <w:spacing w:after="0"/>
        <w:rPr>
          <w:sz w:val="20"/>
          <w:szCs w:val="20"/>
          <w:color w:val="auto"/>
        </w:rPr>
      </w:pPr>
      <w:r>
        <w:rPr>
          <w:rFonts w:ascii="Times New Roman" w:cs="Times New Roman" w:eastAsia="Times New Roman" w:hAnsi="Times New Roman"/>
          <w:sz w:val="20"/>
          <w:szCs w:val="20"/>
          <w:color w:val="auto"/>
        </w:rPr>
        <w:t>Palo Alto, CA 94301</w:t>
      </w:r>
    </w:p>
    <w:p>
      <w:pPr>
        <w:ind w:left="2592"/>
        <w:spacing w:after="0"/>
        <w:rPr>
          <w:sz w:val="20"/>
          <w:szCs w:val="20"/>
          <w:color w:val="auto"/>
        </w:rPr>
      </w:pPr>
      <w:r>
        <w:rPr>
          <w:rFonts w:ascii="Times New Roman" w:cs="Times New Roman" w:eastAsia="Times New Roman" w:hAnsi="Times New Roman"/>
          <w:sz w:val="20"/>
          <w:szCs w:val="20"/>
          <w:color w:val="auto"/>
        </w:rPr>
        <w:t>Facsimile: 650-473-9194</w:t>
      </w:r>
    </w:p>
    <w:p>
      <w:pPr>
        <w:ind w:left="2592"/>
        <w:spacing w:after="0"/>
        <w:rPr>
          <w:sz w:val="20"/>
          <w:szCs w:val="20"/>
          <w:color w:val="auto"/>
        </w:rPr>
      </w:pPr>
      <w:r>
        <w:rPr>
          <w:rFonts w:ascii="Times New Roman" w:cs="Times New Roman" w:eastAsia="Times New Roman" w:hAnsi="Times New Roman"/>
          <w:sz w:val="20"/>
          <w:szCs w:val="20"/>
          <w:color w:val="auto"/>
        </w:rPr>
        <w:t>Telephone: 650-289-3060</w:t>
      </w:r>
    </w:p>
    <w:p>
      <w:pPr>
        <w:ind w:left="2592"/>
        <w:spacing w:after="0"/>
        <w:rPr>
          <w:sz w:val="20"/>
          <w:szCs w:val="20"/>
          <w:color w:val="auto"/>
        </w:rPr>
      </w:pPr>
      <w:r>
        <w:rPr>
          <w:rFonts w:ascii="Times New Roman" w:cs="Times New Roman" w:eastAsia="Times New Roman" w:hAnsi="Times New Roman"/>
          <w:sz w:val="20"/>
          <w:szCs w:val="20"/>
          <w:color w:val="auto"/>
        </w:rPr>
        <w:t>Email : legal@herculestech.com; mdutra@htgc.com; jmiotti@htgc.com</w:t>
      </w:r>
    </w:p>
    <w:p>
      <w:pPr>
        <w:spacing w:after="0" w:line="20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 xml:space="preserve">With </w:t>
      </w:r>
      <w:r>
        <w:rPr>
          <w:rFonts w:ascii="Times New Roman" w:cs="Times New Roman" w:eastAsia="Times New Roman" w:hAnsi="Times New Roman"/>
          <w:sz w:val="19"/>
          <w:szCs w:val="19"/>
          <w:color w:val="auto"/>
        </w:rPr>
        <w:t>a copy to:</w:t>
      </w:r>
    </w:p>
    <w:p>
      <w:pPr>
        <w:spacing w:after="0" w:line="227"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20"/>
          <w:szCs w:val="20"/>
          <w:color w:val="auto"/>
        </w:rPr>
        <w:t>LATHAM &amp; WATKINS</w:t>
      </w:r>
    </w:p>
    <w:p>
      <w:pPr>
        <w:spacing w:after="0" w:line="21"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20"/>
          <w:szCs w:val="20"/>
          <w:color w:val="auto"/>
        </w:rPr>
        <w:t>Attn: Haim Zaltzman</w:t>
      </w:r>
    </w:p>
    <w:p>
      <w:pPr>
        <w:ind w:left="2592"/>
        <w:spacing w:after="0"/>
        <w:rPr>
          <w:sz w:val="20"/>
          <w:szCs w:val="20"/>
          <w:color w:val="auto"/>
        </w:rPr>
      </w:pPr>
      <w:r>
        <w:rPr>
          <w:rFonts w:ascii="Times New Roman" w:cs="Times New Roman" w:eastAsia="Times New Roman" w:hAnsi="Times New Roman"/>
          <w:sz w:val="20"/>
          <w:szCs w:val="20"/>
          <w:color w:val="auto"/>
        </w:rPr>
        <w:t>505 Montgomery Street, Suite 2000</w:t>
      </w:r>
    </w:p>
    <w:p>
      <w:pPr>
        <w:ind w:left="2592"/>
        <w:spacing w:after="0"/>
        <w:rPr>
          <w:sz w:val="20"/>
          <w:szCs w:val="20"/>
          <w:color w:val="auto"/>
        </w:rPr>
      </w:pPr>
      <w:r>
        <w:rPr>
          <w:rFonts w:ascii="Times New Roman" w:cs="Times New Roman" w:eastAsia="Times New Roman" w:hAnsi="Times New Roman"/>
          <w:sz w:val="20"/>
          <w:szCs w:val="20"/>
          <w:color w:val="auto"/>
        </w:rPr>
        <w:t>San Francisco, CA 94111</w:t>
      </w:r>
    </w:p>
    <w:p>
      <w:pPr>
        <w:ind w:left="2592"/>
        <w:spacing w:after="0"/>
        <w:rPr>
          <w:sz w:val="20"/>
          <w:szCs w:val="20"/>
          <w:color w:val="auto"/>
        </w:rPr>
      </w:pPr>
      <w:r>
        <w:rPr>
          <w:rFonts w:ascii="Times New Roman" w:cs="Times New Roman" w:eastAsia="Times New Roman" w:hAnsi="Times New Roman"/>
          <w:sz w:val="20"/>
          <w:szCs w:val="20"/>
          <w:color w:val="auto"/>
        </w:rPr>
        <w:t>Facsimile: (415) 395-8095</w:t>
      </w:r>
    </w:p>
    <w:p>
      <w:pPr>
        <w:ind w:left="2592"/>
        <w:spacing w:after="0"/>
        <w:rPr>
          <w:sz w:val="20"/>
          <w:szCs w:val="20"/>
          <w:color w:val="auto"/>
        </w:rPr>
      </w:pPr>
      <w:r>
        <w:rPr>
          <w:rFonts w:ascii="Times New Roman" w:cs="Times New Roman" w:eastAsia="Times New Roman" w:hAnsi="Times New Roman"/>
          <w:sz w:val="20"/>
          <w:szCs w:val="20"/>
          <w:color w:val="auto"/>
        </w:rPr>
        <w:t>Telephone: (415) 395-8870</w:t>
      </w:r>
    </w:p>
    <w:p>
      <w:pPr>
        <w:ind w:left="2592"/>
        <w:spacing w:after="0"/>
        <w:rPr>
          <w:sz w:val="20"/>
          <w:szCs w:val="20"/>
          <w:color w:val="auto"/>
        </w:rPr>
      </w:pPr>
      <w:r>
        <w:rPr>
          <w:rFonts w:ascii="Times New Roman" w:cs="Times New Roman" w:eastAsia="Times New Roman" w:hAnsi="Times New Roman"/>
          <w:sz w:val="20"/>
          <w:szCs w:val="20"/>
          <w:color w:val="auto"/>
        </w:rPr>
        <w:t>Email: haim.zaltzman@lw.com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72"/>
          </w:cols>
          <w:pgMar w:left="988" w:top="873" w:right="1039" w:bottom="1440" w:gutter="0" w:footer="0" w:header="0"/>
        </w:sectPr>
      </w:pPr>
    </w:p>
    <w:bookmarkStart w:id="251" w:name="page252"/>
    <w:bookmarkEnd w:id="251"/>
    <w:p>
      <w:pPr>
        <w:ind w:left="1300"/>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2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TG THERAPEUTICS, INC.</w:t>
      </w:r>
    </w:p>
    <w:p>
      <w:pPr>
        <w:spacing w:after="0" w:line="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Attention: Sean Power, Chief Financial Officer</w:t>
      </w:r>
    </w:p>
    <w:p>
      <w:pPr>
        <w:ind w:left="2600"/>
        <w:spacing w:after="0" w:line="184" w:lineRule="auto"/>
        <w:rPr>
          <w:sz w:val="20"/>
          <w:szCs w:val="20"/>
          <w:color w:val="auto"/>
        </w:rPr>
      </w:pPr>
      <w:r>
        <w:rPr>
          <w:rFonts w:ascii="Times New Roman" w:cs="Times New Roman" w:eastAsia="Times New Roman" w:hAnsi="Times New Roman"/>
          <w:sz w:val="18"/>
          <w:szCs w:val="18"/>
          <w:color w:val="auto"/>
        </w:rPr>
        <w:t>2 Gansevoort St., 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ind w:left="2600"/>
        <w:spacing w:after="0"/>
        <w:rPr>
          <w:sz w:val="20"/>
          <w:szCs w:val="20"/>
          <w:color w:val="auto"/>
        </w:rPr>
      </w:pPr>
      <w:r>
        <w:rPr>
          <w:rFonts w:ascii="Times New Roman" w:cs="Times New Roman" w:eastAsia="Times New Roman" w:hAnsi="Times New Roman"/>
          <w:sz w:val="20"/>
          <w:szCs w:val="20"/>
          <w:color w:val="auto"/>
        </w:rPr>
        <w:t>New York, NY 10014</w:t>
      </w:r>
    </w:p>
    <w:p>
      <w:pPr>
        <w:ind w:left="2600"/>
        <w:spacing w:after="0"/>
        <w:rPr>
          <w:sz w:val="20"/>
          <w:szCs w:val="20"/>
          <w:color w:val="auto"/>
        </w:rPr>
      </w:pPr>
      <w:r>
        <w:rPr>
          <w:rFonts w:ascii="Times New Roman" w:cs="Times New Roman" w:eastAsia="Times New Roman" w:hAnsi="Times New Roman"/>
          <w:sz w:val="20"/>
          <w:szCs w:val="20"/>
          <w:color w:val="auto"/>
        </w:rPr>
        <w:t>Telephone: (212)-554-4484</w:t>
      </w:r>
    </w:p>
    <w:p>
      <w:pPr>
        <w:ind w:left="2600"/>
        <w:spacing w:after="0"/>
        <w:rPr>
          <w:sz w:val="20"/>
          <w:szCs w:val="20"/>
          <w:color w:val="auto"/>
        </w:rPr>
      </w:pPr>
      <w:r>
        <w:rPr>
          <w:rFonts w:ascii="Times New Roman" w:cs="Times New Roman" w:eastAsia="Times New Roman" w:hAnsi="Times New Roman"/>
          <w:sz w:val="20"/>
          <w:szCs w:val="20"/>
          <w:color w:val="auto"/>
        </w:rPr>
        <w:t>Email: sp@tgtxinc.com</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or to such other address as each party may designate for itself by like notice.</w:t>
      </w:r>
    </w:p>
    <w:p>
      <w:pPr>
        <w:spacing w:after="0" w:line="216" w:lineRule="exact"/>
        <w:rPr>
          <w:sz w:val="20"/>
          <w:szCs w:val="20"/>
          <w:color w:val="auto"/>
        </w:rPr>
      </w:pPr>
    </w:p>
    <w:p>
      <w:pPr>
        <w:ind w:right="180" w:firstLine="656"/>
        <w:spacing w:after="0" w:line="246" w:lineRule="auto"/>
        <w:tabs>
          <w:tab w:leader="none" w:pos="972"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 Amendments</w:t>
      </w:r>
      <w:r>
        <w:rPr>
          <w:rFonts w:ascii="Times New Roman" w:cs="Times New Roman" w:eastAsia="Times New Roman" w:hAnsi="Times New Roman"/>
          <w:sz w:val="20"/>
          <w:szCs w:val="20"/>
          <w:color w:val="auto"/>
        </w:rPr>
        <w:t>. This Agreement constitutes the entire agreement and understanding of the parties hereto in respect of the subject matter hereof, and supersedes and replaces in their entirety any prior proposals, term sheets, letters, negotiations or other documents or agreements, whether written or oral, with respect to the subject matter hereof. None of the terms of this Agreement may be amended except by an instrument executed by each of the parties hereto.</w:t>
      </w:r>
    </w:p>
    <w:p>
      <w:pPr>
        <w:spacing w:after="0" w:line="184" w:lineRule="exact"/>
        <w:rPr>
          <w:rFonts w:ascii="Times New Roman" w:cs="Times New Roman" w:eastAsia="Times New Roman" w:hAnsi="Times New Roman"/>
          <w:sz w:val="20"/>
          <w:szCs w:val="20"/>
          <w:color w:val="auto"/>
        </w:rPr>
      </w:pPr>
    </w:p>
    <w:p>
      <w:pPr>
        <w:ind w:right="360" w:firstLine="656"/>
        <w:spacing w:after="0" w:line="269" w:lineRule="auto"/>
        <w:tabs>
          <w:tab w:leader="none" w:pos="972"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various headings in this Agreement are inserted for convenience only and shall not affect the meaning or interpretation of this Agreement or any provisions hereof.</w:t>
      </w:r>
    </w:p>
    <w:p>
      <w:pPr>
        <w:spacing w:after="0" w:line="159" w:lineRule="exact"/>
        <w:rPr>
          <w:rFonts w:ascii="Times New Roman" w:cs="Times New Roman" w:eastAsia="Times New Roman" w:hAnsi="Times New Roman"/>
          <w:sz w:val="20"/>
          <w:szCs w:val="20"/>
          <w:color w:val="auto"/>
        </w:rPr>
      </w:pPr>
    </w:p>
    <w:p>
      <w:pPr>
        <w:ind w:firstLine="656"/>
        <w:spacing w:after="0" w:line="254" w:lineRule="auto"/>
        <w:tabs>
          <w:tab w:leader="none" w:pos="972"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Advice of Counsel</w:t>
      </w:r>
      <w:r>
        <w:rPr>
          <w:rFonts w:ascii="Times New Roman" w:cs="Times New Roman" w:eastAsia="Times New Roman" w:hAnsi="Times New Roman"/>
          <w:sz w:val="20"/>
          <w:szCs w:val="20"/>
          <w:color w:val="auto"/>
        </w:rPr>
        <w:t>. Each of the parties represents to each other party hereto that it has discussed (or had an opportunity to discuss) with its counsel this Agreement and, specifically, the provisions of Sections 12(n), 12(o), 12(p), 12(q) and 12(r).</w:t>
      </w:r>
    </w:p>
    <w:p>
      <w:pPr>
        <w:spacing w:after="0" w:line="174" w:lineRule="exact"/>
        <w:rPr>
          <w:rFonts w:ascii="Times New Roman" w:cs="Times New Roman" w:eastAsia="Times New Roman" w:hAnsi="Times New Roman"/>
          <w:sz w:val="20"/>
          <w:szCs w:val="20"/>
          <w:color w:val="auto"/>
        </w:rPr>
      </w:pPr>
    </w:p>
    <w:p>
      <w:pPr>
        <w:ind w:right="200" w:firstLine="656"/>
        <w:spacing w:after="0" w:line="249" w:lineRule="auto"/>
        <w:tabs>
          <w:tab w:leader="none" w:pos="972"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Strict Construction</w:t>
      </w:r>
      <w:r>
        <w:rPr>
          <w:rFonts w:ascii="Times New Roman" w:cs="Times New Roman" w:eastAsia="Times New Roman" w:hAnsi="Times New Roman"/>
          <w:sz w:val="20"/>
          <w:szCs w:val="20"/>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79" w:lineRule="exact"/>
        <w:rPr>
          <w:rFonts w:ascii="Times New Roman" w:cs="Times New Roman" w:eastAsia="Times New Roman" w:hAnsi="Times New Roman"/>
          <w:sz w:val="20"/>
          <w:szCs w:val="20"/>
          <w:color w:val="auto"/>
        </w:rPr>
      </w:pPr>
    </w:p>
    <w:p>
      <w:pPr>
        <w:ind w:firstLine="656"/>
        <w:spacing w:after="0" w:line="249" w:lineRule="auto"/>
        <w:tabs>
          <w:tab w:leader="none" w:pos="972"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Waiver</w:t>
      </w:r>
      <w:r>
        <w:rPr>
          <w:rFonts w:ascii="Times New Roman" w:cs="Times New Roman" w:eastAsia="Times New Roman" w:hAnsi="Times New Roman"/>
          <w:sz w:val="20"/>
          <w:szCs w:val="20"/>
          <w:color w:val="auto"/>
        </w:rPr>
        <w:t>. No omission or delay by the Warrantholder at any time to enforce any right or remedy reserved to it, or to require performance of any of the terms, covenants or provisions hereof by the Company at any time designated, shall be a waiver of any such right or remedy to which the Warrantholder is entitled, nor shall it in any way affect the right of the Warrantholder to enforce such provisions thereafter during the term of this Agreement.</w:t>
      </w:r>
    </w:p>
    <w:p>
      <w:pPr>
        <w:spacing w:after="0" w:line="179" w:lineRule="exact"/>
        <w:rPr>
          <w:rFonts w:ascii="Times New Roman" w:cs="Times New Roman" w:eastAsia="Times New Roman" w:hAnsi="Times New Roman"/>
          <w:sz w:val="20"/>
          <w:szCs w:val="20"/>
          <w:color w:val="auto"/>
        </w:rPr>
      </w:pPr>
    </w:p>
    <w:p>
      <w:pPr>
        <w:ind w:right="300" w:firstLine="656"/>
        <w:spacing w:after="0" w:line="254" w:lineRule="auto"/>
        <w:tabs>
          <w:tab w:leader="none" w:pos="972"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All agreements, representations and warranties contained in this Agreement or in any document delivered pursuant hereto shall be for the benefit of the Warrantholder and shall survive the execution and delivery of this Agreement and the expiration or other termination of this Agreement.</w:t>
      </w:r>
    </w:p>
    <w:p>
      <w:pPr>
        <w:spacing w:after="0" w:line="174" w:lineRule="exact"/>
        <w:rPr>
          <w:rFonts w:ascii="Times New Roman" w:cs="Times New Roman" w:eastAsia="Times New Roman" w:hAnsi="Times New Roman"/>
          <w:sz w:val="20"/>
          <w:szCs w:val="20"/>
          <w:color w:val="auto"/>
        </w:rPr>
      </w:pPr>
    </w:p>
    <w:p>
      <w:pPr>
        <w:ind w:right="40" w:firstLine="656"/>
        <w:spacing w:after="0" w:line="246" w:lineRule="auto"/>
        <w:tabs>
          <w:tab w:leader="none" w:pos="972"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has been negotiated and delivered to the Warrantholder in the State of California, and shall be deemed to have been accepted by the Warrantholder in the State of California. Delivery of Common Stock to the Warrantholder by the Company under this Agreement is due in the State of California. This Agreement shall be governed by, and construed and enforced in accordance with, the laws of the State of California, excluding conflict of laws principles that would cause the application of laws of any other jurisdiction.</w:t>
      </w:r>
    </w:p>
    <w:p>
      <w:pPr>
        <w:spacing w:after="0" w:line="184" w:lineRule="exact"/>
        <w:rPr>
          <w:rFonts w:ascii="Times New Roman" w:cs="Times New Roman" w:eastAsia="Times New Roman" w:hAnsi="Times New Roman"/>
          <w:sz w:val="20"/>
          <w:szCs w:val="20"/>
          <w:color w:val="auto"/>
        </w:rPr>
      </w:pPr>
    </w:p>
    <w:p>
      <w:pPr>
        <w:ind w:right="20" w:firstLine="656"/>
        <w:spacing w:after="0" w:line="243" w:lineRule="auto"/>
        <w:tabs>
          <w:tab w:leader="none" w:pos="972"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 to Jurisdiction and Venue</w:t>
      </w:r>
      <w:r>
        <w:rPr>
          <w:rFonts w:ascii="Times New Roman" w:cs="Times New Roman" w:eastAsia="Times New Roman" w:hAnsi="Times New Roman"/>
          <w:sz w:val="20"/>
          <w:szCs w:val="20"/>
          <w:color w:val="auto"/>
        </w:rPr>
        <w:t>. All judicial proceedings arising in or under or related to this Agreement may be brought in any state or federal court of competent jurisdiction located in the State of California. By execution and delivery of this Agreement, each party hereto generally and unconditionally: (i) consents to personal jurisdiction in Santa Clara County, State of California; (ii) waives any objection as to jurisdiction or venue in Santa Clara County, State of California; (iii) agrees not to assert any defense based on lack of jurisdiction or venue in the aforesaid courts; and (iv) irrevocably agrees to be bound by any judgment rendered thereby in connection with this Agreement. Service of process on any party hereto in any action arising out of or relating to this Agreement shall be effective if given in accordance with the requirements for notice set forth in Section 12(g), and shall be deemed effective and received as set forth in Section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52" w:name="page253"/>
    <w:bookmarkEnd w:id="252"/>
    <w:p>
      <w:pPr>
        <w:ind w:right="100"/>
        <w:spacing w:after="0" w:line="269" w:lineRule="auto"/>
        <w:rPr>
          <w:sz w:val="20"/>
          <w:szCs w:val="20"/>
          <w:color w:val="auto"/>
        </w:rPr>
      </w:pPr>
      <w:r>
        <w:rPr>
          <w:rFonts w:ascii="Times New Roman" w:cs="Times New Roman" w:eastAsia="Times New Roman" w:hAnsi="Times New Roman"/>
          <w:sz w:val="20"/>
          <w:szCs w:val="20"/>
          <w:color w:val="auto"/>
        </w:rPr>
        <w:t>12(g). Nothing herein shall affect the right to serve process in any other manner permitted by law or shall limit the right of either party to bring proceedings in the courts of any other jurisdiction.</w:t>
      </w:r>
    </w:p>
    <w:p>
      <w:pPr>
        <w:spacing w:after="0" w:line="159" w:lineRule="exact"/>
        <w:rPr>
          <w:sz w:val="20"/>
          <w:szCs w:val="20"/>
          <w:color w:val="auto"/>
        </w:rPr>
      </w:pPr>
    </w:p>
    <w:p>
      <w:pPr>
        <w:ind w:right="60" w:firstLine="656"/>
        <w:spacing w:after="0" w:line="242" w:lineRule="auto"/>
        <w:tabs>
          <w:tab w:leader="none" w:pos="972"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Mutual Waiver of Jury Trial</w:t>
      </w:r>
      <w:r>
        <w:rPr>
          <w:rFonts w:ascii="Times New Roman" w:cs="Times New Roman" w:eastAsia="Times New Roman" w:hAnsi="Times New Roman"/>
          <w:sz w:val="20"/>
          <w:szCs w:val="20"/>
          <w:color w:val="auto"/>
        </w:rPr>
        <w:t>. 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arising under or in connection with this Warrant be resolved by a judge applying such applicable laws. EACH OF THE COMPANY AND THE WARRANTHOLDER SPECIFICALLY WAIVES ANY RIGHT IT MAY HAVE TO TRIAL BY JURY OF ANY CAUSE OF ACTION, CLAIM, CROSS-CLAIM, COUNTERCLAIM, THIRD PARTY CLAIM OR ANY OTHER CLAIM (COLLECTIVELY, “CLAIMS”) ASSERTED BY THE COMPANY AGAINST THE WARRANTHOLDER OR ITS ASSIGNEE OR BY THE WARRANTHOLDER OR ITS ASSIGNEE AGAINST THE COMPANY RELATING TO THIS WARRANT. This waiver extends to all such Claims, including Claims that involve persons or entities other the Company and the Warrantholder; Claims that arise out of or are in any way connected to the relationship between the Company and the Warrantholder; and any Claims for damages, breach of contract, specific performance, or any equitable or legal relief of any kind, arising out of this Agreement.</w:t>
      </w:r>
    </w:p>
    <w:p>
      <w:pPr>
        <w:spacing w:after="0" w:line="187" w:lineRule="exact"/>
        <w:rPr>
          <w:rFonts w:ascii="Times New Roman" w:cs="Times New Roman" w:eastAsia="Times New Roman" w:hAnsi="Times New Roman"/>
          <w:sz w:val="20"/>
          <w:szCs w:val="20"/>
          <w:color w:val="auto"/>
        </w:rPr>
      </w:pPr>
    </w:p>
    <w:p>
      <w:pPr>
        <w:ind w:right="40" w:firstLine="656"/>
        <w:spacing w:after="0" w:line="243" w:lineRule="auto"/>
        <w:tabs>
          <w:tab w:leader="none" w:pos="972"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If the Mutual Waiver of Jury Trial set forth in Section 12(p) is ineffective or unenforceable, the parties agree that all Claims shall be submitted to binding arbitration in accordance with the commercial arbitration rules of JAMS (the “Rules”), such arbitration to occur before one arbitrator, which arbitrator shall be a retired California state judge or a retired Federal court judge. Such proceeding shall be conducted in Santa Clara County, State of California, with California rules of evidence and discovery applicable to such arbitration. The decision of the arbitrator shall be binding on the parties, and shall be final and nonappealable to the maximum extent permitted by law. Any judgment rendered by the arbitrator may be entered in a court of competent jurisdiction and enforced by the prevailing party as a final judgment of such court.</w:t>
      </w:r>
    </w:p>
    <w:p>
      <w:pPr>
        <w:spacing w:after="0" w:line="189" w:lineRule="exact"/>
        <w:rPr>
          <w:rFonts w:ascii="Times New Roman" w:cs="Times New Roman" w:eastAsia="Times New Roman" w:hAnsi="Times New Roman"/>
          <w:sz w:val="20"/>
          <w:szCs w:val="20"/>
          <w:color w:val="auto"/>
        </w:rPr>
      </w:pPr>
    </w:p>
    <w:p>
      <w:pPr>
        <w:jc w:val="both"/>
        <w:ind w:right="40" w:firstLine="656"/>
        <w:spacing w:after="0" w:line="249" w:lineRule="auto"/>
        <w:tabs>
          <w:tab w:leader="none" w:pos="972"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Pre-arbitration Relief</w:t>
      </w:r>
      <w:r>
        <w:rPr>
          <w:rFonts w:ascii="Times New Roman" w:cs="Times New Roman" w:eastAsia="Times New Roman" w:hAnsi="Times New Roman"/>
          <w:sz w:val="20"/>
          <w:szCs w:val="20"/>
          <w:color w:val="auto"/>
        </w:rPr>
        <w:t>. In the event Claims are to be resolved by arbitration, either party may seek from a court of competent jurisdiction identified in Section 12(o), any prejudgment order, writ or other relief and have such prejudgment order, writ or other relief enforced to the fullest extent permitted by law notwithstanding that all Claims are otherwise subject to resolution by binding arbitration.</w:t>
      </w:r>
    </w:p>
    <w:p>
      <w:pPr>
        <w:spacing w:after="0" w:line="179" w:lineRule="exact"/>
        <w:rPr>
          <w:rFonts w:ascii="Times New Roman" w:cs="Times New Roman" w:eastAsia="Times New Roman" w:hAnsi="Times New Roman"/>
          <w:sz w:val="20"/>
          <w:szCs w:val="20"/>
          <w:color w:val="auto"/>
        </w:rPr>
      </w:pPr>
    </w:p>
    <w:p>
      <w:pPr>
        <w:ind w:right="20" w:firstLine="656"/>
        <w:spacing w:after="0" w:line="249" w:lineRule="auto"/>
        <w:tabs>
          <w:tab w:leader="none" w:pos="972"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and any amendments, waivers, consents or supplements hereto may be executed in any number of counterparts (including by facsimile or electronic delivery (PDF)), and by different parties hereto in separate counterparts, each of which when so delivered shall be deemed an original, but all of which counterparts shall constitute but one and the same instrument.</w:t>
      </w:r>
    </w:p>
    <w:p>
      <w:pPr>
        <w:spacing w:after="0" w:line="179" w:lineRule="exact"/>
        <w:rPr>
          <w:rFonts w:ascii="Times New Roman" w:cs="Times New Roman" w:eastAsia="Times New Roman" w:hAnsi="Times New Roman"/>
          <w:sz w:val="20"/>
          <w:szCs w:val="20"/>
          <w:color w:val="auto"/>
        </w:rPr>
      </w:pPr>
    </w:p>
    <w:p>
      <w:pPr>
        <w:ind w:firstLine="656"/>
        <w:spacing w:after="0" w:line="244" w:lineRule="auto"/>
        <w:tabs>
          <w:tab w:leader="none" w:pos="972"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The parties hereto hereby declare that it is impossible to measure in money the damages which will accrue to the Warrantholder by reason of the Company’s failure to perform any of the obligations under this Agreement and agree that the terms of this Agreement shall be specifically enforceable by the Warrantholder. If the Warrantholder institutes any action or proceeding to specifically enforce the provisions hereof, any person against whom such action or proceeding is brought hereby waives the claim or defense therein that the Warrantholder has an adequate remedy at law, and such person shall not offer in any such action or proceeding the claim or defense that such remedy at law exists.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873" w:right="1079" w:bottom="1440" w:gutter="0" w:footer="0" w:header="0"/>
        </w:sectPr>
      </w:pPr>
    </w:p>
    <w:bookmarkStart w:id="253" w:name="page254"/>
    <w:bookmarkEnd w:id="253"/>
    <w:p>
      <w:pPr>
        <w:ind w:right="20" w:firstLine="656"/>
        <w:spacing w:after="0" w:line="263" w:lineRule="auto"/>
        <w:tabs>
          <w:tab w:leader="none" w:pos="972"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Lost, Stolen, Mutilated or Destroyed Warrant</w:t>
      </w:r>
      <w:r>
        <w:rPr>
          <w:rFonts w:ascii="Times New Roman" w:cs="Times New Roman" w:eastAsia="Times New Roman" w:hAnsi="Times New Roman"/>
          <w:sz w:val="19"/>
          <w:szCs w:val="19"/>
          <w:color w:val="auto"/>
        </w:rPr>
        <w:t>. If this Warrant is lost, stolen, mutilated or destroyed, the Company may, on such terms as to indemnity or otherwise as it may reasonably impose (which shall, in the case of a mutilated Warrant, include the surrender thereof), issue a new Warrant of like denomination and tenor as this Warrant so lost, stolen, mutilated or destroyed. Any such new Warrant shall constitute an original contractual obligation of the Company, whether or not the allegedly lost, stolen, mutilated or destroyed Warrant shall be at any time enforceable by anyone.</w:t>
      </w:r>
    </w:p>
    <w:p>
      <w:pPr>
        <w:spacing w:after="0" w:line="166" w:lineRule="exact"/>
        <w:rPr>
          <w:rFonts w:ascii="Times New Roman" w:cs="Times New Roman" w:eastAsia="Times New Roman" w:hAnsi="Times New Roman"/>
          <w:sz w:val="19"/>
          <w:szCs w:val="19"/>
          <w:color w:val="auto"/>
        </w:rPr>
      </w:pPr>
    </w:p>
    <w:p>
      <w:pPr>
        <w:ind w:right="140" w:firstLine="656"/>
        <w:spacing w:after="0" w:line="254" w:lineRule="auto"/>
        <w:tabs>
          <w:tab w:leader="none" w:pos="972"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Legends</w:t>
      </w:r>
      <w:r>
        <w:rPr>
          <w:rFonts w:ascii="Times New Roman" w:cs="Times New Roman" w:eastAsia="Times New Roman" w:hAnsi="Times New Roman"/>
          <w:sz w:val="20"/>
          <w:szCs w:val="20"/>
          <w:color w:val="auto"/>
        </w:rPr>
        <w:t>. To the extent required by applicable laws, this Warrant and the shares of Common Stock issuable hereunder (and the securities issuable, directly or indirectly, upon conversion of such shares of Common Stock, if any) may be imprinted with a restricted securities legend in substantially the following form:</w:t>
      </w:r>
    </w:p>
    <w:p>
      <w:pPr>
        <w:spacing w:after="0" w:line="174"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9"/>
          <w:szCs w:val="19"/>
          <w:color w:val="auto"/>
        </w:rPr>
        <w:t>THIS SECURITY HAS NOT BEEN REGISTERED UNDER THE SECURITIES ACT OF 1933, AS AMENDED (THE “ACT”), OR ANY APPLICABLE STATE SECURITIES LAWS, AND MAY NOT BE SOLD, OFFERED FOR SALE, PLEDGED OR HYPOTHECATED IN THE ABSENCE OF AN EFFECTIVE REGISTRATION RELATED THERETO OR, SUBJECT TO SECTION 11 OF THE WARRANT AGREEMENT DATED MARCH 31, 2023, BETWEEN THE COMPANY AND HERCULES PRIVATE CREDIT FUND 1 L.P., AN OPINION OF COUNSEL (WHICH MAY BE COMPANY COUNSEL) REASONABLY SATISFACTORY TO THE COMPANY THAT SUCH REGISTRATION IS NOT REQUIRED UNDER THE ACTOR ANY STATE SECURITIES LAWS.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54" w:name="page255"/>
    <w:bookmarkEnd w:id="254"/>
    <w:p>
      <w:pPr>
        <w:ind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Warrant Agreement to be executed by its officers thereunto duly authorized as of the Effective Date.</w:t>
      </w:r>
    </w:p>
    <w:p>
      <w:pPr>
        <w:spacing w:after="0" w:line="389" w:lineRule="exact"/>
        <w:rPr>
          <w:sz w:val="20"/>
          <w:szCs w:val="20"/>
          <w:color w:val="auto"/>
        </w:rPr>
      </w:pPr>
    </w:p>
    <w:p>
      <w:pPr>
        <w:ind w:left="660"/>
        <w:spacing w:after="0"/>
        <w:tabs>
          <w:tab w:leader="none" w:pos="4960" w:val="left"/>
        </w:tabs>
        <w:rPr>
          <w:sz w:val="20"/>
          <w:szCs w:val="20"/>
          <w:color w:val="auto"/>
        </w:rPr>
      </w:pPr>
      <w:r>
        <w:rPr>
          <w:rFonts w:ascii="Times New Roman" w:cs="Times New Roman" w:eastAsia="Times New Roman" w:hAnsi="Times New Roman"/>
          <w:sz w:val="20"/>
          <w:szCs w:val="20"/>
          <w:color w:val="auto"/>
        </w:rPr>
        <w:t>COMPANY:</w:t>
      </w:r>
      <w:r>
        <w:rPr>
          <w:sz w:val="20"/>
          <w:szCs w:val="20"/>
          <w:color w:val="auto"/>
        </w:rPr>
        <w:tab/>
      </w:r>
      <w:r>
        <w:rPr>
          <w:rFonts w:ascii="Times New Roman" w:cs="Times New Roman" w:eastAsia="Times New Roman" w:hAnsi="Times New Roman"/>
          <w:sz w:val="20"/>
          <w:szCs w:val="20"/>
          <w:color w:val="auto"/>
        </w:rPr>
        <w:t>TG THERAPEUTICS, INC.</w:t>
      </w:r>
    </w:p>
    <w:p>
      <w:pPr>
        <w:spacing w:after="0" w:line="200" w:lineRule="exact"/>
        <w:rPr>
          <w:sz w:val="20"/>
          <w:szCs w:val="20"/>
          <w:color w:val="auto"/>
        </w:rPr>
      </w:pPr>
    </w:p>
    <w:p>
      <w:pPr>
        <w:spacing w:after="0" w:line="25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-144780</wp:posOffset>
            </wp:positionV>
            <wp:extent cx="276034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13335</wp:posOffset>
            </wp:positionV>
            <wp:extent cx="276034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760345" cy="825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-140335</wp:posOffset>
            </wp:positionV>
            <wp:extent cx="276034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1"/>
          <w:szCs w:val="21"/>
          <w:i w:val="1"/>
          <w:iCs w:val="1"/>
          <w:color w:val="auto"/>
        </w:rPr>
        <w:t>[Signature Page to Warrant (TG Therapeutics/Hercules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00"/>
          </w:cols>
          <w:pgMar w:left="980" w:top="873" w:right="1419" w:bottom="1440" w:gutter="0" w:footer="0" w:header="0"/>
        </w:sectPr>
      </w:pPr>
    </w:p>
    <w:bookmarkStart w:id="255" w:name="page256"/>
    <w:bookmarkEnd w:id="255"/>
    <w:p>
      <w:pPr>
        <w:ind w:left="200"/>
        <w:spacing w:after="0"/>
        <w:tabs>
          <w:tab w:leader="none" w:pos="4500" w:val="left"/>
        </w:tabs>
        <w:rPr>
          <w:sz w:val="20"/>
          <w:szCs w:val="20"/>
          <w:color w:val="auto"/>
        </w:rPr>
      </w:pPr>
      <w:r>
        <w:rPr>
          <w:rFonts w:ascii="Times New Roman" w:cs="Times New Roman" w:eastAsia="Times New Roman" w:hAnsi="Times New Roman"/>
          <w:sz w:val="20"/>
          <w:szCs w:val="20"/>
          <w:color w:val="auto"/>
        </w:rPr>
        <w:t>WARRANTHOLDER:</w:t>
      </w:r>
      <w:r>
        <w:rPr>
          <w:sz w:val="20"/>
          <w:szCs w:val="20"/>
          <w:color w:val="auto"/>
        </w:rPr>
        <w:tab/>
      </w:r>
      <w:r>
        <w:rPr>
          <w:rFonts w:ascii="Times New Roman" w:cs="Times New Roman" w:eastAsia="Times New Roman" w:hAnsi="Times New Roman"/>
          <w:sz w:val="20"/>
          <w:szCs w:val="20"/>
          <w:color w:val="auto"/>
        </w:rPr>
        <w:t>Hercules Private Credit Fund 1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9"/>
          <w:szCs w:val="19"/>
          <w:color w:val="auto"/>
        </w:rPr>
        <w:t>By: Hercules Private Global Venture Growth</w:t>
      </w:r>
    </w:p>
    <w:p>
      <w:pPr>
        <w:spacing w:after="0" w:line="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Fund GP I LLC, its general partner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 Hercules Adviser LLC, its sole member</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Name: Jennifer Choe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-144780</wp:posOffset>
            </wp:positionV>
            <wp:extent cx="276034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ind w:left="4520"/>
        <w:spacing w:after="0"/>
        <w:tabs>
          <w:tab w:leader="none" w:pos="51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to Warrant (TG Therapeutics/Hercules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256" w:name="page257"/>
    <w:bookmarkEnd w:id="256"/>
    <w:p>
      <w:pPr>
        <w:ind w:left="4020"/>
        <w:spacing w:after="0"/>
        <w:rPr>
          <w:sz w:val="20"/>
          <w:szCs w:val="20"/>
          <w:color w:val="auto"/>
        </w:rPr>
      </w:pPr>
      <w:r>
        <w:rPr>
          <w:rFonts w:ascii="Times New Roman" w:cs="Times New Roman" w:eastAsia="Times New Roman" w:hAnsi="Times New Roman"/>
          <w:sz w:val="20"/>
          <w:szCs w:val="20"/>
          <w:color w:val="auto"/>
        </w:rPr>
        <w:t>EXHIBIT I</w:t>
      </w:r>
    </w:p>
    <w:p>
      <w:pPr>
        <w:spacing w:after="0" w:line="21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EXHIBIT II</w:t>
      </w:r>
    </w:p>
    <w:p>
      <w:pPr>
        <w:spacing w:after="0" w:line="21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9"/>
          <w:szCs w:val="19"/>
          <w:color w:val="auto"/>
        </w:rPr>
        <w:t>EXHIBIT III</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57" w:name="page258"/>
    <w:bookmarkEnd w:id="257"/>
    <w:p>
      <w:pPr>
        <w:ind w:left="8900"/>
        <w:spacing w:after="0"/>
        <w:rPr>
          <w:sz w:val="20"/>
          <w:szCs w:val="20"/>
          <w:color w:val="auto"/>
        </w:rPr>
      </w:pPr>
      <w:r>
        <w:rPr>
          <w:rFonts w:ascii="Times New Roman" w:cs="Times New Roman" w:eastAsia="Times New Roman" w:hAnsi="Times New Roman"/>
          <w:sz w:val="19"/>
          <w:szCs w:val="19"/>
          <w:b w:val="1"/>
          <w:bCs w:val="1"/>
          <w:color w:val="auto"/>
        </w:rPr>
        <w:t>Exhibit 10.8</w:t>
      </w:r>
    </w:p>
    <w:p>
      <w:pPr>
        <w:spacing w:after="0" w:line="2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WARRANT AND THE SHARES ISSUABLE UPON EXERCISE HEREOF HAVE NOT BEEN REGISTERED UNDER THE SECURITIES ACT OF 1933, AS AMENDED (THE “ACT”), OR ANY STATE SECURITIES LAWS, AND MAY NOT BE SOLD, OFFERED FOR SALE, PLEDGED, OR HYPOTHECATED IN THE ABSENCE OF AN EFFECTIVE REGISTRATION STATEMENT RELATED THERETO OR, SUBJECT TO SECTION 11 HEREOF, AN OPINION OF COUNSEL (WHICH MAY BE COMPANY COUNSEL) REASONABLY SATISFACTORY TO THE COMPANY THAT SUCH REGISTRATION IS NOT REQUIRED UNDER THE ACT, OR ANY APPLICABLE STATE SECURITIES LAWS.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WARRANT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To Purchase Shares of the Common Stock of</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TG THERAPEUTICS,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as of March 31, 2023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20"/>
          <w:szCs w:val="20"/>
          <w:color w:val="auto"/>
        </w:rPr>
        <w:t>WHEREAS, TG Therapeutics,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entered into an Amended and Restated Loan and Security Agreement dated as of December 30, 2021 (as amended by that certain First Amendment to Amended and Restated Loan and Security Agreement dated as of March 31, 2023, and as otherwise amended and in effect from time to time, the “</w:t>
      </w:r>
      <w:r>
        <w:rPr>
          <w:rFonts w:ascii="Times New Roman" w:cs="Times New Roman" w:eastAsia="Times New Roman" w:hAnsi="Times New Roman"/>
          <w:sz w:val="20"/>
          <w:szCs w:val="20"/>
          <w:u w:val="single" w:color="auto"/>
          <w:color w:val="auto"/>
        </w:rPr>
        <w:t>Loan Agreement</w:t>
      </w:r>
      <w:r>
        <w:rPr>
          <w:rFonts w:ascii="Times New Roman" w:cs="Times New Roman" w:eastAsia="Times New Roman" w:hAnsi="Times New Roman"/>
          <w:sz w:val="20"/>
          <w:szCs w:val="20"/>
          <w:color w:val="auto"/>
        </w:rPr>
        <w:t>”) with Hercules Capital, Inc., a Maryland corporation, in its capacity as administrative and collateral agent, Hercules Private Global Venture Growth Fund 1 L.P., as a lender (the “</w:t>
      </w:r>
      <w:r>
        <w:rPr>
          <w:rFonts w:ascii="Times New Roman" w:cs="Times New Roman" w:eastAsia="Times New Roman" w:hAnsi="Times New Roman"/>
          <w:sz w:val="20"/>
          <w:szCs w:val="20"/>
          <w:u w:val="single" w:color="auto"/>
          <w:color w:val="auto"/>
        </w:rPr>
        <w:t>Warrantholder</w:t>
      </w:r>
      <w:r>
        <w:rPr>
          <w:rFonts w:ascii="Times New Roman" w:cs="Times New Roman" w:eastAsia="Times New Roman" w:hAnsi="Times New Roman"/>
          <w:sz w:val="20"/>
          <w:szCs w:val="20"/>
          <w:color w:val="auto"/>
        </w:rPr>
        <w:t>”), and the other lenders from time to time party thereto;</w:t>
      </w:r>
    </w:p>
    <w:p>
      <w:pPr>
        <w:spacing w:after="0" w:line="184" w:lineRule="exact"/>
        <w:rPr>
          <w:sz w:val="20"/>
          <w:szCs w:val="20"/>
          <w:color w:val="auto"/>
        </w:rPr>
      </w:pPr>
    </w:p>
    <w:p>
      <w:pPr>
        <w:ind w:right="100" w:firstLine="648"/>
        <w:spacing w:after="0" w:line="249" w:lineRule="auto"/>
        <w:rPr>
          <w:sz w:val="20"/>
          <w:szCs w:val="20"/>
          <w:color w:val="auto"/>
        </w:rPr>
      </w:pPr>
      <w:r>
        <w:rPr>
          <w:rFonts w:ascii="Times New Roman" w:cs="Times New Roman" w:eastAsia="Times New Roman" w:hAnsi="Times New Roman"/>
          <w:sz w:val="20"/>
          <w:szCs w:val="20"/>
          <w:color w:val="auto"/>
        </w:rPr>
        <w:t>WHEREAS, pursuant to the Loan Agreement and as additional consideration to the Warrantholder for, among other things, its agreements in the Loan Agreement, the Company has agreed to issue to the Warrantholder this Warrant Agreement, evidencing the right to purchase shares of the Company’s Common Stock (this “</w:t>
      </w:r>
      <w:r>
        <w:rPr>
          <w:rFonts w:ascii="Times New Roman" w:cs="Times New Roman" w:eastAsia="Times New Roman" w:hAnsi="Times New Roman"/>
          <w:sz w:val="20"/>
          <w:szCs w:val="20"/>
          <w:u w:val="single" w:color="auto"/>
          <w:color w:val="auto"/>
        </w:rPr>
        <w:t>Warrant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Warrant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or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Warrantholder having executed and delivered the Loan Agreement and provided the financial accommodations contemplated therein, and in consideration of the mutual covenants and agreements contained herein, the Company and Warrantholder agree as follows:</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color w:val="auto"/>
        </w:rPr>
        <w:t>GRANT OF THE RIGHT TO PURCHASE COMMON STOCK.</w:t>
      </w:r>
    </w:p>
    <w:p>
      <w:pPr>
        <w:spacing w:after="0" w:line="220" w:lineRule="exact"/>
        <w:rPr>
          <w:sz w:val="20"/>
          <w:szCs w:val="20"/>
          <w:color w:val="auto"/>
        </w:rPr>
      </w:pPr>
    </w:p>
    <w:p>
      <w:pPr>
        <w:ind w:firstLine="656"/>
        <w:spacing w:after="0" w:line="245" w:lineRule="auto"/>
        <w:tabs>
          <w:tab w:leader="none" w:pos="1296"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value received, the Company hereby grants to the Warrantholder, and the Warrantholder is entitled, upon the terms and subject to the conditions hereinafter set forth, to subscribe for and purchase, from the Company, up to the aggregate number of fully paid and non-assessable shares of Common Stock (as defined below) as determined pursuant to Section 1(b) below, at a purchase price per share equal to the Exercise Price (as defined below). The number and Exercise Price of such shares are subject to adjustment as provided in Section 8. As used herein, the following terms shall have the following meanings:</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means the Securities Act of 1933, as amended.</w:t>
      </w:r>
    </w:p>
    <w:p>
      <w:pPr>
        <w:spacing w:after="0" w:line="216" w:lineRule="exact"/>
        <w:rPr>
          <w:sz w:val="20"/>
          <w:szCs w:val="20"/>
          <w:color w:val="auto"/>
        </w:rPr>
      </w:pPr>
    </w:p>
    <w:p>
      <w:pPr>
        <w:ind w:left="660" w:right="3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Charter</w:t>
      </w:r>
      <w:r>
        <w:rPr>
          <w:rFonts w:ascii="Times New Roman" w:cs="Times New Roman" w:eastAsia="Times New Roman" w:hAnsi="Times New Roman"/>
          <w:sz w:val="20"/>
          <w:szCs w:val="20"/>
          <w:color w:val="auto"/>
        </w:rPr>
        <w:t>” means the Company’s Certificate of Incorporation or other constitutional document, as may be amended and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878840</wp:posOffset>
            </wp:positionV>
            <wp:extent cx="629221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9" w:right="999" w:bottom="1440" w:gutter="0" w:footer="0" w:header="0"/>
        </w:sectPr>
      </w:pPr>
    </w:p>
    <w:bookmarkStart w:id="258" w:name="page259"/>
    <w:bookmarkEnd w:id="258"/>
    <w:p>
      <w:pPr>
        <w:ind w:left="200" w:right="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means the Company’s common stock, $0.001 par value per share, as presently constituted under the Charter, and any class and/or series of Company capital stock for or into which such common stock may be converted or exchanged in a reorganization, recapitalization or similar transaction.</w:t>
      </w:r>
    </w:p>
    <w:p>
      <w:pPr>
        <w:spacing w:after="0" w:line="174" w:lineRule="exact"/>
        <w:rPr>
          <w:sz w:val="20"/>
          <w:szCs w:val="20"/>
          <w:color w:val="auto"/>
        </w:rPr>
      </w:pPr>
    </w:p>
    <w:p>
      <w:pPr>
        <w:ind w:left="200" w:right="100"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Registration</w:t>
      </w:r>
      <w:r>
        <w:rPr>
          <w:rFonts w:ascii="Times New Roman" w:cs="Times New Roman" w:eastAsia="Times New Roman" w:hAnsi="Times New Roman"/>
          <w:sz w:val="20"/>
          <w:szCs w:val="20"/>
          <w:color w:val="auto"/>
        </w:rPr>
        <w:t xml:space="preserve">” means (i) a registration relating to the sale of securities to employees of the Company or a subsidiary pursuant to an equity option, equity purchase, or similar plan; (ii) a registration relating to an SEC Rule 145 transaction; or (iii) a registration on any form that does not include substantially the same information as would be required to be included in a registration statement covering the sale of the Registrable Securities,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the inclusion of information regarding this Warrant and the plan of distribution of and selling securityholder information related to the Common Shares issuable upon exercise of this Warrant, shall not constitute a basis for excluding the Registrable Securities from a registration pursuant to this clause (iii).</w:t>
      </w:r>
    </w:p>
    <w:p>
      <w:pPr>
        <w:spacing w:after="0" w:line="189" w:lineRule="exact"/>
        <w:rPr>
          <w:sz w:val="20"/>
          <w:szCs w:val="20"/>
          <w:color w:val="auto"/>
        </w:rPr>
      </w:pPr>
    </w:p>
    <w:p>
      <w:pPr>
        <w:ind w:left="200" w:right="1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means $14.70, subject to adjustment from time to time in accordance with the provisions of this Warrant.</w:t>
      </w:r>
    </w:p>
    <w:p>
      <w:pPr>
        <w:spacing w:after="0" w:line="159" w:lineRule="exact"/>
        <w:rPr>
          <w:sz w:val="20"/>
          <w:szCs w:val="20"/>
          <w:color w:val="auto"/>
        </w:rPr>
      </w:pPr>
    </w:p>
    <w:p>
      <w:pPr>
        <w:ind w:left="200" w:right="3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 Sale</w:t>
      </w:r>
      <w:r>
        <w:rPr>
          <w:rFonts w:ascii="Times New Roman" w:cs="Times New Roman" w:eastAsia="Times New Roman" w:hAnsi="Times New Roman"/>
          <w:sz w:val="20"/>
          <w:szCs w:val="20"/>
          <w:color w:val="auto"/>
        </w:rPr>
        <w:t>” means the closing of a Merger Event in which the consideration received by the Company and/or its stockholders, as applicable, consists solely of cash and/or Marketable Securities.</w:t>
      </w:r>
    </w:p>
    <w:p>
      <w:pPr>
        <w:spacing w:after="0" w:line="159" w:lineRule="exact"/>
        <w:rPr>
          <w:sz w:val="20"/>
          <w:szCs w:val="20"/>
          <w:color w:val="auto"/>
        </w:rPr>
      </w:pPr>
    </w:p>
    <w:p>
      <w:pPr>
        <w:ind w:left="200"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Marketable Securities</w:t>
      </w:r>
      <w:r>
        <w:rPr>
          <w:rFonts w:ascii="Times New Roman" w:cs="Times New Roman" w:eastAsia="Times New Roman" w:hAnsi="Times New Roman"/>
          <w:sz w:val="20"/>
          <w:szCs w:val="20"/>
          <w:color w:val="auto"/>
        </w:rPr>
        <w:t>” in connection with a Merger Event means securities meeting all of the following requirements: (i) the issuer thereof is then subject to the reporting requirements of Section 13 or Section 15(d)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is then current in its filing of all required reports and other information under the Act and the Exchange Act; (ii) the class and series of shares or other security of the issuer that would be received by the Warrantholder in connection with the Merger Event were the Warrantholder to exercise this Warrant on or prior to the closing thereof is then traded on a national securities exchange or over-the-counter market, and (iii) following the closing of such Merger Event, the Warrantholder would not be restricted from publicly re-selling all of the issuer’s shares and/or other securities that would be received by the Warrantholder in such Merger Event were the Warrantholder to exercise this Warrant in full on or prior to the closing of such Merger Event, except to the extent that any such restriction (x) arises solely under federal or state securities laws, rules or regulations, and (y) does not extend beyond six (6) months from the closing of such Merger Event.</w:t>
      </w:r>
    </w:p>
    <w:p>
      <w:pPr>
        <w:spacing w:after="0" w:line="187" w:lineRule="exact"/>
        <w:rPr>
          <w:sz w:val="20"/>
          <w:szCs w:val="20"/>
          <w:color w:val="auto"/>
        </w:rPr>
      </w:pPr>
    </w:p>
    <w:p>
      <w:pPr>
        <w:ind w:left="200"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Merger Event</w:t>
      </w:r>
      <w:r>
        <w:rPr>
          <w:rFonts w:ascii="Times New Roman" w:cs="Times New Roman" w:eastAsia="Times New Roman" w:hAnsi="Times New Roman"/>
          <w:sz w:val="20"/>
          <w:szCs w:val="20"/>
          <w:color w:val="auto"/>
        </w:rPr>
        <w:t>” means any of the following: (i) a sale, lease or other transfer of all or substantially all assets of the Company, (ii) any merger or consolidation involving the Company in which the Company is not the surviving entity or in which the outstanding shares of the Company’s capital stock are otherwise converted into or exchanged for shares of capital stock or other securities or property of another entity, or (iii) any sale by holders of the outstanding voting equity securities of the Company in a single transaction or series of related transactions of shares constituting a majority of the outstanding combined voting power of the Company.</w:t>
      </w:r>
    </w:p>
    <w:p>
      <w:pPr>
        <w:spacing w:after="0" w:line="184" w:lineRule="exact"/>
        <w:rPr>
          <w:sz w:val="20"/>
          <w:szCs w:val="20"/>
          <w:color w:val="auto"/>
        </w:rPr>
      </w:pPr>
    </w:p>
    <w:p>
      <w:pPr>
        <w:ind w:left="200" w:right="120"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Purchase Price</w:t>
      </w:r>
      <w:r>
        <w:rPr>
          <w:rFonts w:ascii="Times New Roman" w:cs="Times New Roman" w:eastAsia="Times New Roman" w:hAnsi="Times New Roman"/>
          <w:sz w:val="19"/>
          <w:szCs w:val="19"/>
          <w:color w:val="auto"/>
        </w:rPr>
        <w:t>” means, with respect to any exercise of this Warrant, an amount equal to the then-effective Exercise Price multiplied by the number of shares of Common Stock as to which this Warrant is then exercised.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40"/>
          </w:cols>
          <w:pgMar w:left="1440" w:top="1318" w:right="1019" w:bottom="1440" w:gutter="0" w:footer="0" w:header="0"/>
        </w:sectPr>
      </w:pPr>
    </w:p>
    <w:bookmarkStart w:id="259" w:name="page260"/>
    <w:bookmarkEnd w:id="259"/>
    <w:p>
      <w:pPr>
        <w:ind w:left="660" w:right="80"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Registrable Securities</w:t>
      </w:r>
      <w:r>
        <w:rPr>
          <w:rFonts w:ascii="Times New Roman" w:cs="Times New Roman" w:eastAsia="Times New Roman" w:hAnsi="Times New Roman"/>
          <w:sz w:val="20"/>
          <w:szCs w:val="20"/>
          <w:color w:val="auto"/>
        </w:rPr>
        <w:t xml:space="preserve">” means (i) the shares issuable upon exercise of this Warrant and (ii) any other Common Shares issued as a dividend or other distribution with respect to, in exchange for or in replacement of such shares;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securities referred to in (i)-(ii) above shall cease to be Registrable Securities (A) upon the sale of such securities pursuant to a registration statement or (B) upon the sale of such securities pursuant to Rule 144.</w:t>
      </w:r>
    </w:p>
    <w:p>
      <w:pPr>
        <w:spacing w:after="0" w:line="185" w:lineRule="exact"/>
        <w:rPr>
          <w:sz w:val="20"/>
          <w:szCs w:val="20"/>
          <w:color w:val="auto"/>
        </w:rPr>
      </w:pPr>
    </w:p>
    <w:p>
      <w:pPr>
        <w:ind w:left="6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Warrant Coverage</w:t>
      </w:r>
      <w:r>
        <w:rPr>
          <w:rFonts w:ascii="Times New Roman" w:cs="Times New Roman" w:eastAsia="Times New Roman" w:hAnsi="Times New Roman"/>
          <w:sz w:val="20"/>
          <w:szCs w:val="20"/>
          <w:color w:val="auto"/>
        </w:rPr>
        <w:t xml:space="preserve">” means 2.95%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aggregate principal amount of Term Loan Advances (as defined in the Loan Agreement) made and funded under the Loan Agreement on the Effective Date.</w:t>
      </w:r>
    </w:p>
    <w:p>
      <w:pPr>
        <w:spacing w:after="0" w:line="159" w:lineRule="exact"/>
        <w:rPr>
          <w:sz w:val="20"/>
          <w:szCs w:val="20"/>
          <w:color w:val="auto"/>
        </w:rPr>
      </w:pPr>
    </w:p>
    <w:p>
      <w:pPr>
        <w:ind w:right="20" w:firstLine="656"/>
        <w:spacing w:after="0" w:line="254" w:lineRule="auto"/>
        <w:tabs>
          <w:tab w:leader="none" w:pos="1296"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color w:val="auto"/>
        </w:rPr>
        <w:t>. This Warrant shall be exercisable for a number of shares of Common Stock equal to the quotient derived by dividing (i) the Warrant Coverage by (ii) the Exercise Price, subject to adjustment from time to time in accordance with the provisions of this Warrant.</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color w:val="auto"/>
        </w:rPr>
        <w:t>TERM OF THE AGREEMENT.</w:t>
      </w:r>
    </w:p>
    <w:p>
      <w:pPr>
        <w:spacing w:after="0" w:line="220" w:lineRule="exact"/>
        <w:rPr>
          <w:sz w:val="20"/>
          <w:szCs w:val="20"/>
          <w:color w:val="auto"/>
        </w:rPr>
      </w:pPr>
    </w:p>
    <w:p>
      <w:pPr>
        <w:ind w:right="320" w:firstLine="648"/>
        <w:spacing w:after="0" w:line="254" w:lineRule="auto"/>
        <w:rPr>
          <w:sz w:val="20"/>
          <w:szCs w:val="20"/>
          <w:color w:val="auto"/>
        </w:rPr>
      </w:pPr>
      <w:r>
        <w:rPr>
          <w:rFonts w:ascii="Times New Roman" w:cs="Times New Roman" w:eastAsia="Times New Roman" w:hAnsi="Times New Roman"/>
          <w:sz w:val="20"/>
          <w:szCs w:val="20"/>
          <w:color w:val="auto"/>
        </w:rPr>
        <w:t>The term of this Agreement and the right to purchase Common Stock as granted herein shall commence on the Effective Date and, subject to Section 8(a) below, shall be exercisable until 5:00 p.m. (Eastern Time) on the seventh (7th) anniversary of the Effective Date.</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19"/>
          <w:szCs w:val="19"/>
          <w:color w:val="auto"/>
        </w:rPr>
        <w:t>EXERCISE OF THE PURCHASE RIGHTS.</w:t>
      </w:r>
    </w:p>
    <w:p>
      <w:pPr>
        <w:spacing w:after="0" w:line="220" w:lineRule="exact"/>
        <w:rPr>
          <w:sz w:val="20"/>
          <w:szCs w:val="20"/>
          <w:color w:val="auto"/>
        </w:rPr>
      </w:pPr>
    </w:p>
    <w:p>
      <w:pPr>
        <w:ind w:right="20" w:firstLine="656"/>
        <w:spacing w:after="0" w:line="256" w:lineRule="auto"/>
        <w:tabs>
          <w:tab w:leader="none" w:pos="1296" w:val="left"/>
        </w:tabs>
        <w:numPr>
          <w:ilvl w:val="1"/>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Exercise</w:t>
      </w:r>
      <w:r>
        <w:rPr>
          <w:rFonts w:ascii="Times New Roman" w:cs="Times New Roman" w:eastAsia="Times New Roman" w:hAnsi="Times New Roman"/>
          <w:sz w:val="19"/>
          <w:szCs w:val="19"/>
          <w:color w:val="auto"/>
        </w:rPr>
        <w:t xml:space="preserve">. The purchase rights set forth in this Agreement are exercisable by the Warrantholder, in whole or in part, at any time, or from time to time, prior to the expiration of the term set forth in Section 2, by tendering to the Company at its principal office a notice of exercise in the form attached hereto as </w:t>
      </w:r>
      <w:r>
        <w:rPr>
          <w:rFonts w:ascii="Times New Roman" w:cs="Times New Roman" w:eastAsia="Times New Roman" w:hAnsi="Times New Roman"/>
          <w:sz w:val="19"/>
          <w:szCs w:val="19"/>
          <w:u w:val="single" w:color="auto"/>
          <w:color w:val="auto"/>
        </w:rPr>
        <w:t>Exhibit I</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Notice of Exercise</w:t>
      </w:r>
      <w:r>
        <w:rPr>
          <w:rFonts w:ascii="Times New Roman" w:cs="Times New Roman" w:eastAsia="Times New Roman" w:hAnsi="Times New Roman"/>
          <w:sz w:val="19"/>
          <w:szCs w:val="19"/>
          <w:color w:val="auto"/>
        </w:rPr>
        <w:t>”), duly completed and executed. Promptly upon receipt of the Notice of Exercise and the payment of the Purchase Price in accordance with the terms set forth below, and in no event later than three (3) business days thereafter, the Company or its transfer agent shall either (i) issue to the Warrantholder a certificate for the number of shares of Common Stock purchased or</w:t>
      </w:r>
    </w:p>
    <w:p>
      <w:pPr>
        <w:ind w:right="180" w:firstLine="8"/>
        <w:spacing w:after="0" w:line="242" w:lineRule="auto"/>
        <w:tabs>
          <w:tab w:leader="none" w:pos="291"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credit the same via book entry to the Warrantholder, and the Company shall execute the acknowledgment of exercise in the form attached hereto as </w:t>
      </w:r>
      <w:r>
        <w:rPr>
          <w:rFonts w:ascii="Times New Roman" w:cs="Times New Roman" w:eastAsia="Times New Roman" w:hAnsi="Times New Roman"/>
          <w:sz w:val="20"/>
          <w:szCs w:val="20"/>
          <w:u w:val="single" w:color="auto"/>
          <w:color w:val="auto"/>
        </w:rPr>
        <w:t>Exhibit II</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Acknowledgment of Exercise</w:t>
      </w:r>
      <w:r>
        <w:rPr>
          <w:rFonts w:ascii="Times New Roman" w:cs="Times New Roman" w:eastAsia="Times New Roman" w:hAnsi="Times New Roman"/>
          <w:sz w:val="20"/>
          <w:szCs w:val="20"/>
          <w:color w:val="auto"/>
        </w:rPr>
        <w:t>”) indicating the number of shares which remain subject to future purchases under this Warrant, if any.</w:t>
      </w:r>
    </w:p>
    <w:p>
      <w:pPr>
        <w:spacing w:after="0" w:line="187"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20"/>
          <w:szCs w:val="20"/>
          <w:color w:val="auto"/>
        </w:rPr>
        <w:t>The Purchase Price may be paid at the Warrantholder’s election either (i) by cash or check, or (ii) by surrender of all or a portion of the Warrant for shares of Common Stock to be exercised under this Agreement and, if applicable, an amended Agreement setting forth the remaining number of shares purchasable hereunder, as determined below (“</w:t>
      </w:r>
      <w:r>
        <w:rPr>
          <w:rFonts w:ascii="Times New Roman" w:cs="Times New Roman" w:eastAsia="Times New Roman" w:hAnsi="Times New Roman"/>
          <w:sz w:val="20"/>
          <w:szCs w:val="20"/>
          <w:u w:val="single" w:color="auto"/>
          <w:color w:val="auto"/>
        </w:rPr>
        <w:t>Net Issuance</w:t>
      </w:r>
      <w:r>
        <w:rPr>
          <w:rFonts w:ascii="Times New Roman" w:cs="Times New Roman" w:eastAsia="Times New Roman" w:hAnsi="Times New Roman"/>
          <w:sz w:val="20"/>
          <w:szCs w:val="20"/>
          <w:color w:val="auto"/>
        </w:rPr>
        <w:t>”). If the Warrantholder elects the Net Issuance method, the Company will issue shares of Common Stock in accordance with the following formula:</w:t>
      </w:r>
    </w:p>
    <w:p>
      <w:pPr>
        <w:spacing w:after="0" w:line="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9"/>
          <w:szCs w:val="39"/>
          <w:color w:val="auto"/>
          <w:vertAlign w:val="subscript"/>
        </w:rPr>
        <w:t>X =</w:t>
      </w:r>
      <w:r>
        <w:rPr>
          <w:rFonts w:ascii="Times New Roman" w:cs="Times New Roman" w:eastAsia="Times New Roman" w:hAnsi="Times New Roman"/>
          <w:sz w:val="20"/>
          <w:szCs w:val="20"/>
          <w:color w:val="auto"/>
        </w:rPr>
        <w:t xml:space="preserve">  Y(A-B)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-7620</wp:posOffset>
            </wp:positionV>
            <wp:extent cx="49720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0"/>
          <w:szCs w:val="20"/>
          <w:color w:val="auto"/>
        </w:rPr>
        <w:t>A</w:t>
      </w:r>
    </w:p>
    <w:p>
      <w:pPr>
        <w:spacing w:after="0" w:line="200" w:lineRule="exact"/>
        <w:rPr>
          <w:sz w:val="20"/>
          <w:szCs w:val="20"/>
          <w:color w:val="auto"/>
        </w:rPr>
      </w:pPr>
    </w:p>
    <w:p>
      <w:pPr>
        <w:spacing w:after="0" w:line="237" w:lineRule="exact"/>
        <w:rPr>
          <w:sz w:val="20"/>
          <w:szCs w:val="20"/>
          <w:color w:val="auto"/>
        </w:rPr>
      </w:pPr>
    </w:p>
    <w:p>
      <w:pPr>
        <w:spacing w:after="0"/>
        <w:tabs>
          <w:tab w:leader="none" w:pos="820" w:val="left"/>
          <w:tab w:leader="none" w:pos="1460" w:val="left"/>
        </w:tabs>
        <w:rPr>
          <w:sz w:val="20"/>
          <w:szCs w:val="20"/>
          <w:color w:val="auto"/>
        </w:rPr>
      </w:pPr>
      <w:r>
        <w:rPr>
          <w:rFonts w:ascii="Times New Roman" w:cs="Times New Roman" w:eastAsia="Times New Roman" w:hAnsi="Times New Roman"/>
          <w:sz w:val="20"/>
          <w:szCs w:val="20"/>
          <w:color w:val="auto"/>
        </w:rPr>
        <w:t>Where:</w:t>
        <w:tab/>
        <w:t>X =</w:t>
      </w:r>
      <w:r>
        <w:rPr>
          <w:sz w:val="20"/>
          <w:szCs w:val="20"/>
          <w:color w:val="auto"/>
        </w:rPr>
        <w:tab/>
      </w:r>
      <w:r>
        <w:rPr>
          <w:rFonts w:ascii="Times New Roman" w:cs="Times New Roman" w:eastAsia="Times New Roman" w:hAnsi="Times New Roman"/>
          <w:sz w:val="19"/>
          <w:szCs w:val="19"/>
          <w:color w:val="auto"/>
        </w:rPr>
        <w:t>the number of shares of Common Stock to be issued to the Warrantholder</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ind w:left="840"/>
        <w:spacing w:after="0"/>
        <w:tabs>
          <w:tab w:leader="none" w:pos="1460" w:val="left"/>
        </w:tabs>
        <w:rPr>
          <w:sz w:val="20"/>
          <w:szCs w:val="20"/>
          <w:color w:val="auto"/>
        </w:rPr>
      </w:pPr>
      <w:r>
        <w:rPr>
          <w:rFonts w:ascii="Times New Roman" w:cs="Times New Roman" w:eastAsia="Times New Roman" w:hAnsi="Times New Roman"/>
          <w:sz w:val="20"/>
          <w:szCs w:val="20"/>
          <w:color w:val="auto"/>
        </w:rPr>
        <w:t>Y =</w:t>
      </w:r>
      <w:r>
        <w:rPr>
          <w:sz w:val="20"/>
          <w:szCs w:val="20"/>
          <w:color w:val="auto"/>
        </w:rPr>
        <w:tab/>
      </w:r>
      <w:r>
        <w:rPr>
          <w:rFonts w:ascii="Times New Roman" w:cs="Times New Roman" w:eastAsia="Times New Roman" w:hAnsi="Times New Roman"/>
          <w:sz w:val="19"/>
          <w:szCs w:val="19"/>
          <w:color w:val="auto"/>
        </w:rPr>
        <w:t>the number of shares of Common Stock requested to be exercised under this Agreement.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18" w:right="999" w:bottom="1440" w:gutter="0" w:footer="0" w:header="0"/>
        </w:sectPr>
      </w:pPr>
    </w:p>
    <w:bookmarkStart w:id="260" w:name="page261"/>
    <w:bookmarkEnd w:id="260"/>
    <w:p>
      <w:pPr>
        <w:ind w:left="840" w:right="620"/>
        <w:spacing w:after="0" w:line="269" w:lineRule="auto"/>
        <w:rPr>
          <w:sz w:val="20"/>
          <w:szCs w:val="20"/>
          <w:color w:val="auto"/>
        </w:rPr>
      </w:pPr>
      <w:r>
        <w:rPr>
          <w:rFonts w:ascii="Times New Roman" w:cs="Times New Roman" w:eastAsia="Times New Roman" w:hAnsi="Times New Roman"/>
          <w:sz w:val="20"/>
          <w:szCs w:val="20"/>
          <w:color w:val="auto"/>
        </w:rPr>
        <w:t>A = the then-current fair market value of one (1) share of Common Stock at the time of exercise of this Warrant.</w:t>
      </w:r>
    </w:p>
    <w:p>
      <w:pPr>
        <w:spacing w:after="0" w:line="51" w:lineRule="exact"/>
        <w:rPr>
          <w:sz w:val="20"/>
          <w:szCs w:val="20"/>
          <w:color w:val="auto"/>
        </w:rPr>
      </w:pPr>
    </w:p>
    <w:p>
      <w:pPr>
        <w:ind w:left="840"/>
        <w:spacing w:after="0"/>
        <w:tabs>
          <w:tab w:leader="none" w:pos="1460" w:val="left"/>
        </w:tabs>
        <w:rPr>
          <w:sz w:val="20"/>
          <w:szCs w:val="20"/>
          <w:color w:val="auto"/>
        </w:rPr>
      </w:pPr>
      <w:r>
        <w:rPr>
          <w:rFonts w:ascii="Times New Roman" w:cs="Times New Roman" w:eastAsia="Times New Roman" w:hAnsi="Times New Roman"/>
          <w:sz w:val="20"/>
          <w:szCs w:val="20"/>
          <w:color w:val="auto"/>
        </w:rPr>
        <w:t>B =</w:t>
      </w:r>
      <w:r>
        <w:rPr>
          <w:sz w:val="20"/>
          <w:szCs w:val="20"/>
          <w:color w:val="auto"/>
        </w:rPr>
        <w:tab/>
      </w:r>
      <w:r>
        <w:rPr>
          <w:rFonts w:ascii="Times New Roman" w:cs="Times New Roman" w:eastAsia="Times New Roman" w:hAnsi="Times New Roman"/>
          <w:sz w:val="19"/>
          <w:szCs w:val="19"/>
          <w:color w:val="auto"/>
        </w:rPr>
        <w:t>the then-effective Exercise Price.</w:t>
      </w:r>
    </w:p>
    <w:p>
      <w:pPr>
        <w:spacing w:after="0" w:line="216" w:lineRule="exact"/>
        <w:rPr>
          <w:sz w:val="20"/>
          <w:szCs w:val="20"/>
          <w:color w:val="auto"/>
        </w:rPr>
      </w:pPr>
    </w:p>
    <w:p>
      <w:pPr>
        <w:ind w:right="360" w:firstLine="648"/>
        <w:spacing w:after="0" w:line="269" w:lineRule="auto"/>
        <w:rPr>
          <w:sz w:val="20"/>
          <w:szCs w:val="20"/>
          <w:color w:val="auto"/>
        </w:rPr>
      </w:pPr>
      <w:r>
        <w:rPr>
          <w:rFonts w:ascii="Times New Roman" w:cs="Times New Roman" w:eastAsia="Times New Roman" w:hAnsi="Times New Roman"/>
          <w:sz w:val="20"/>
          <w:szCs w:val="20"/>
          <w:color w:val="auto"/>
        </w:rPr>
        <w:t>For purposes of the above calculation, the current fair market value of shares of Common Stock shall mean with respect to each share of Common Stock:</w:t>
      </w:r>
    </w:p>
    <w:p>
      <w:pPr>
        <w:spacing w:after="0" w:line="159" w:lineRule="exact"/>
        <w:rPr>
          <w:sz w:val="20"/>
          <w:szCs w:val="20"/>
          <w:color w:val="auto"/>
        </w:rPr>
      </w:pPr>
    </w:p>
    <w:p>
      <w:pPr>
        <w:ind w:right="240" w:firstLine="656"/>
        <w:spacing w:after="0" w:line="254" w:lineRule="auto"/>
        <w:tabs>
          <w:tab w:leader="none" w:pos="1296"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when the Common Stock is traded on a national securities exchange, inter-dealer quotation system or over-the-counter bulletin board service, the average of the closing prices over a five (5) day period ending three days before the day the current fair market value of the securities is being determined;</w:t>
      </w:r>
    </w:p>
    <w:p>
      <w:pPr>
        <w:spacing w:after="0" w:line="174" w:lineRule="exact"/>
        <w:rPr>
          <w:rFonts w:ascii="Times New Roman" w:cs="Times New Roman" w:eastAsia="Times New Roman" w:hAnsi="Times New Roman"/>
          <w:sz w:val="20"/>
          <w:szCs w:val="20"/>
          <w:color w:val="auto"/>
        </w:rPr>
      </w:pPr>
    </w:p>
    <w:p>
      <w:pPr>
        <w:ind w:right="20" w:firstLine="656"/>
        <w:spacing w:after="0" w:line="249" w:lineRule="auto"/>
        <w:tabs>
          <w:tab w:leader="none" w:pos="1296"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exercise is in connection with a Merger Event, the fair market value of a share of Common Stock shall be deemed to be the per share value received by the holders of the outstanding shares of Common Stock pursuant to such Merger Event as determined in accordance with the definitive transaction documents executed among the parties in connection therewith; or</w:t>
      </w:r>
    </w:p>
    <w:p>
      <w:pPr>
        <w:spacing w:after="0" w:line="179" w:lineRule="exact"/>
        <w:rPr>
          <w:rFonts w:ascii="Times New Roman" w:cs="Times New Roman" w:eastAsia="Times New Roman" w:hAnsi="Times New Roman"/>
          <w:sz w:val="20"/>
          <w:szCs w:val="20"/>
          <w:color w:val="auto"/>
        </w:rPr>
      </w:pPr>
    </w:p>
    <w:p>
      <w:pPr>
        <w:ind w:right="140" w:firstLine="656"/>
        <w:spacing w:after="0" w:line="269" w:lineRule="auto"/>
        <w:tabs>
          <w:tab w:leader="none" w:pos="1296"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cases other than as described in the foregoing clauses (i) and (ii), the current fair market value of a share of Common Stock shall be determined in good faith by the Company’s Board of Directors.</w:t>
      </w:r>
    </w:p>
    <w:p>
      <w:pPr>
        <w:spacing w:after="0" w:line="159" w:lineRule="exact"/>
        <w:rPr>
          <w:sz w:val="20"/>
          <w:szCs w:val="20"/>
          <w:color w:val="auto"/>
        </w:rPr>
      </w:pPr>
    </w:p>
    <w:p>
      <w:pPr>
        <w:ind w:right="100" w:firstLine="648"/>
        <w:spacing w:after="0" w:line="249" w:lineRule="auto"/>
        <w:rPr>
          <w:sz w:val="20"/>
          <w:szCs w:val="20"/>
          <w:color w:val="auto"/>
        </w:rPr>
      </w:pPr>
      <w:r>
        <w:rPr>
          <w:rFonts w:ascii="Times New Roman" w:cs="Times New Roman" w:eastAsia="Times New Roman" w:hAnsi="Times New Roman"/>
          <w:sz w:val="20"/>
          <w:szCs w:val="20"/>
          <w:color w:val="auto"/>
        </w:rPr>
        <w:t>Upon partial exercise by either cash or Net Issuance, prior to the expiration or earlier termination hereof, the Company shall promptly issue an amended Agreement representing the remaining number of shares purchasable hereunder. All other terms and conditions of such amended Agreement shall be identical to those contained herein, including, but not limited to the Effective Date hereof.</w:t>
      </w:r>
    </w:p>
    <w:p>
      <w:pPr>
        <w:spacing w:after="0" w:line="180" w:lineRule="exact"/>
        <w:rPr>
          <w:sz w:val="20"/>
          <w:szCs w:val="20"/>
          <w:color w:val="auto"/>
        </w:rPr>
      </w:pPr>
    </w:p>
    <w:p>
      <w:pPr>
        <w:ind w:right="40" w:firstLine="656"/>
        <w:spacing w:after="0" w:line="242" w:lineRule="auto"/>
        <w:tabs>
          <w:tab w:leader="none" w:pos="1296"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Prior to Expiration</w:t>
      </w:r>
      <w:r>
        <w:rPr>
          <w:rFonts w:ascii="Times New Roman" w:cs="Times New Roman" w:eastAsia="Times New Roman" w:hAnsi="Times New Roman"/>
          <w:sz w:val="20"/>
          <w:szCs w:val="20"/>
          <w:color w:val="auto"/>
        </w:rPr>
        <w:t>. To the extent this Warrant is not previously exercised as to all shares of Common Stock subject hereto, and if the then-current fair market value of one share of Common Stock is greater than the Exercise Price then in effect, or, in the case of a Liquid Sale, where the value per share of Common Stock (as determined as of the closing of such Liquid Sale in accordance with the definitive agreements executed by the parties in connection with such Merger Event) to be paid to the holders thereof is greater than the Exercise Price then in effect, this Agreement shall be deemed automatically exercised on a Net Issuance basis pursuant to Section 3(a) (even if not surrendered) as of immediately before its expiration determined in accordance with Section 2. For purposes of such automatic exercise, the fair market value of one share of Common Stock upon such expiration shall be determined pursuant to Section 3(a). To the extent this Warrant or any portion hereof is deemed automatically exercised pursuant to this Section 3(b), the Company agrees to promptly notify the Warrantholder of the number of shares of Common Stock if any, the Warrantholder is to receive by reason of such automatic exercise, and to issue or cause its transfer agent to issue a certificate or a book-entry credit to the Warrantholder evidencing such shares.</w:t>
      </w:r>
    </w:p>
    <w:p>
      <w:pPr>
        <w:spacing w:after="0" w:line="183"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19"/>
          <w:szCs w:val="19"/>
          <w:color w:val="auto"/>
        </w:rPr>
        <w:t>RESERVATION OF SHARES.</w:t>
      </w:r>
    </w:p>
    <w:p>
      <w:pPr>
        <w:spacing w:after="0" w:line="220"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During the term of this Agreement, the Company will at all times have authorized and reserved a sufficient number of shares of its Common Stock to provide for the exercise of the rights to purchase Common Stock as provided for herein. If at any time during the term hereof the number of authorized but unissued shares of Common Stock shall not be sufficient to permit exercise of this Warrant in full, the Company will take such corporate action as may, in the opinion of its counsel, be necessary to increase its authorized but unissued shares of Common Stock to such number of shares as shall be sufficient for such purposes.</w:t>
      </w:r>
    </w:p>
    <w:p>
      <w:pPr>
        <w:spacing w:after="0" w:line="18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19"/>
          <w:szCs w:val="19"/>
          <w:color w:val="auto"/>
        </w:rPr>
        <w:t>NO FRACTIONAL SHARES OR SCRIP.</w:t>
      </w:r>
    </w:p>
    <w:p>
      <w:pPr>
        <w:spacing w:after="0" w:line="220"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20"/>
          <w:szCs w:val="20"/>
          <w:color w:val="auto"/>
        </w:rPr>
        <w:t>No fractional shares or scrip representing fractional shares shall be issued upon the exercise of this Agreement, but in lieu of such fractional shares the Company shall make a cash payment therefor in an amount equal to the product of (a) the Exercise Price then in effect multiplied by (b) the fraction of a share.</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3" w:right="1019" w:bottom="1440" w:gutter="0" w:footer="0" w:header="0"/>
        </w:sectPr>
      </w:pPr>
    </w:p>
    <w:bookmarkStart w:id="261" w:name="page262"/>
    <w:bookmarkEnd w:id="261"/>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6.</w:t>
      </w:r>
      <w:r>
        <w:rPr>
          <w:sz w:val="20"/>
          <w:szCs w:val="20"/>
          <w:color w:val="auto"/>
        </w:rPr>
        <w:tab/>
      </w:r>
      <w:r>
        <w:rPr>
          <w:rFonts w:ascii="Times New Roman" w:cs="Times New Roman" w:eastAsia="Times New Roman" w:hAnsi="Times New Roman"/>
          <w:sz w:val="19"/>
          <w:szCs w:val="19"/>
          <w:color w:val="auto"/>
        </w:rPr>
        <w:t>NO RIGHTS AS SHAREHOLDER/STOCKHOLDER.</w:t>
      </w:r>
    </w:p>
    <w:p>
      <w:pPr>
        <w:spacing w:after="0" w:line="220"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20"/>
          <w:szCs w:val="20"/>
          <w:color w:val="auto"/>
        </w:rPr>
        <w:t>Without limitation of any provision hereof, the Warrantholder agrees that this Agreement does not entitle the Warrantholder to any voting rights or other rights as a shareholder/stockholder of the Company prior to the exercise of any of the purchase rights set forth in this Agreement.</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7.</w:t>
      </w:r>
      <w:r>
        <w:rPr>
          <w:sz w:val="20"/>
          <w:szCs w:val="20"/>
          <w:color w:val="auto"/>
        </w:rPr>
        <w:tab/>
      </w:r>
      <w:r>
        <w:rPr>
          <w:rFonts w:ascii="Times New Roman" w:cs="Times New Roman" w:eastAsia="Times New Roman" w:hAnsi="Times New Roman"/>
          <w:sz w:val="19"/>
          <w:szCs w:val="19"/>
          <w:color w:val="auto"/>
        </w:rPr>
        <w:t>WARRANTHOLDER REGISTRY.</w:t>
      </w:r>
    </w:p>
    <w:p>
      <w:pPr>
        <w:spacing w:after="0" w:line="220" w:lineRule="exact"/>
        <w:rPr>
          <w:sz w:val="20"/>
          <w:szCs w:val="20"/>
          <w:color w:val="auto"/>
        </w:rPr>
      </w:pPr>
    </w:p>
    <w:p>
      <w:pPr>
        <w:jc w:val="both"/>
        <w:ind w:right="240" w:firstLine="648"/>
        <w:spacing w:after="0" w:line="254" w:lineRule="auto"/>
        <w:rPr>
          <w:sz w:val="20"/>
          <w:szCs w:val="20"/>
          <w:color w:val="auto"/>
        </w:rPr>
      </w:pPr>
      <w:r>
        <w:rPr>
          <w:rFonts w:ascii="Times New Roman" w:cs="Times New Roman" w:eastAsia="Times New Roman" w:hAnsi="Times New Roman"/>
          <w:sz w:val="20"/>
          <w:szCs w:val="20"/>
          <w:color w:val="auto"/>
        </w:rPr>
        <w:t>The Company shall maintain a registry showing the name and address of the registered holder of this Agreement. The Warrantholder’s initial address, for purposes of such registry, is set forth in Section 12(g) below. The Warrantholder may change such address by giving written notice of such changed address to the Company.</w:t>
      </w:r>
    </w:p>
    <w:p>
      <w:pPr>
        <w:spacing w:after="0" w:line="17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SECTION 8.</w:t>
      </w:r>
      <w:r>
        <w:rPr>
          <w:sz w:val="20"/>
          <w:szCs w:val="20"/>
          <w:color w:val="auto"/>
        </w:rPr>
        <w:tab/>
      </w:r>
      <w:r>
        <w:rPr>
          <w:rFonts w:ascii="Times New Roman" w:cs="Times New Roman" w:eastAsia="Times New Roman" w:hAnsi="Times New Roman"/>
          <w:sz w:val="19"/>
          <w:szCs w:val="19"/>
          <w:color w:val="auto"/>
        </w:rPr>
        <w:t>ADJUSTMENT RIGHTS.</w:t>
      </w:r>
    </w:p>
    <w:p>
      <w:pPr>
        <w:spacing w:after="0" w:line="220" w:lineRule="exact"/>
        <w:rPr>
          <w:sz w:val="20"/>
          <w:szCs w:val="20"/>
          <w:color w:val="auto"/>
        </w:rPr>
      </w:pPr>
    </w:p>
    <w:p>
      <w:pPr>
        <w:ind w:right="320" w:firstLine="648"/>
        <w:spacing w:after="0" w:line="269" w:lineRule="auto"/>
        <w:rPr>
          <w:sz w:val="20"/>
          <w:szCs w:val="20"/>
          <w:color w:val="auto"/>
        </w:rPr>
      </w:pPr>
      <w:r>
        <w:rPr>
          <w:rFonts w:ascii="Times New Roman" w:cs="Times New Roman" w:eastAsia="Times New Roman" w:hAnsi="Times New Roman"/>
          <w:sz w:val="20"/>
          <w:szCs w:val="20"/>
          <w:color w:val="auto"/>
        </w:rPr>
        <w:t>The Exercise Price and the number of shares of Common Stock purchasable hereunder are subject to adjustment from time to time, as follows:</w:t>
      </w:r>
    </w:p>
    <w:p>
      <w:pPr>
        <w:spacing w:after="0" w:line="159" w:lineRule="exact"/>
        <w:rPr>
          <w:sz w:val="20"/>
          <w:szCs w:val="20"/>
          <w:color w:val="auto"/>
        </w:rPr>
      </w:pPr>
    </w:p>
    <w:p>
      <w:pPr>
        <w:ind w:right="40" w:firstLine="656"/>
        <w:spacing w:after="0" w:line="255" w:lineRule="auto"/>
        <w:tabs>
          <w:tab w:leader="none" w:pos="972"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Merger Event</w:t>
      </w:r>
      <w:r>
        <w:rPr>
          <w:rFonts w:ascii="Times New Roman" w:cs="Times New Roman" w:eastAsia="Times New Roman" w:hAnsi="Times New Roman"/>
          <w:sz w:val="19"/>
          <w:szCs w:val="19"/>
          <w:color w:val="auto"/>
        </w:rPr>
        <w:t>. In connection with a Merger Event that is a Liquid Sale, this Warrant shall, on and after the closing thereof, automatically and without further action on the part of any party or other person, represent the right to receive the consideration payable on or in respect of all shares of Common Stock that are issuable hereunder as of immediately prior to the closing of such Merger Event less the Purchase Price for all such shares of Common Stock (such consideration to include both the consideration payable at the closing of such Merger Event and all deferred consideration payable thereafter, if any, including, but not limited to, payments of amounts deposited at such closing into escrow and payments in the nature of earn-outs, milestone payments or other performance-based payments), and such Merger Event consideration shall be paid to the Warrantholder as and when it is paid to the holders of the outstanding shares of Common Stock. In connection with a Merger Event that is not a Liquid Sale, the Company shall cause the successor or surviving entity to assume this Warrant and the obligations of the Company hereunder on the closing thereof, and thereafter this Warrant shall be exercisable for the same number and type of securities or other property as the Warrantholder would have received in consideration for the shares of Common Stock issuable hereunder had it exercised this Warrant in full as of immediately prior to such closing, at an aggregate Exercise Price no greater than the aggregate Exercise Price in effect as of immediately prior to such closing, and subject to further adjustment from time to time in accordance with the provisions of this Warrant. The provisions of this Section 8(a) shall similarly apply to successive Merger Events.</w:t>
      </w:r>
    </w:p>
    <w:p>
      <w:pPr>
        <w:spacing w:after="0" w:line="176" w:lineRule="exact"/>
        <w:rPr>
          <w:rFonts w:ascii="Times New Roman" w:cs="Times New Roman" w:eastAsia="Times New Roman" w:hAnsi="Times New Roman"/>
          <w:sz w:val="19"/>
          <w:szCs w:val="19"/>
          <w:color w:val="auto"/>
        </w:rPr>
      </w:pPr>
    </w:p>
    <w:p>
      <w:pPr>
        <w:ind w:firstLine="656"/>
        <w:spacing w:after="0" w:line="259" w:lineRule="auto"/>
        <w:tabs>
          <w:tab w:leader="none" w:pos="972"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Reclassification of Shares</w:t>
      </w:r>
      <w:r>
        <w:rPr>
          <w:rFonts w:ascii="Times New Roman" w:cs="Times New Roman" w:eastAsia="Times New Roman" w:hAnsi="Times New Roman"/>
          <w:sz w:val="19"/>
          <w:szCs w:val="19"/>
          <w:color w:val="auto"/>
        </w:rPr>
        <w:t>. Except for Merger Events subject to Section 8(a), if the Company at any time shall, by combination, reclassification, exchange or subdivision of securities or otherwise, change any of the securities as to which purchase rights under this Agreement exist into the same or a different number of securities of any other class or classes of securities, this Agreement shall thereafter represent the right to acquire such number and kind of securities as would have been issuable as the result of such change with respect to the securities which were subject to the purchase rights under this Agreement immediately prior to such combination, reclassification, exchange, subdivision or other change. The provisions of this Section 8(b) shall similarly apply to successive combination, reclassification, exchange, subdivision or other change.</w:t>
      </w:r>
    </w:p>
    <w:p>
      <w:pPr>
        <w:spacing w:after="0" w:line="172" w:lineRule="exact"/>
        <w:rPr>
          <w:rFonts w:ascii="Times New Roman" w:cs="Times New Roman" w:eastAsia="Times New Roman" w:hAnsi="Times New Roman"/>
          <w:sz w:val="19"/>
          <w:szCs w:val="19"/>
          <w:color w:val="auto"/>
        </w:rPr>
      </w:pPr>
    </w:p>
    <w:p>
      <w:pPr>
        <w:ind w:right="140" w:firstLine="656"/>
        <w:spacing w:after="0" w:line="246" w:lineRule="auto"/>
        <w:tabs>
          <w:tab w:leader="none" w:pos="972"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Subdivision or Combination of Shares</w:t>
      </w:r>
      <w:r>
        <w:rPr>
          <w:rFonts w:ascii="Times New Roman" w:cs="Times New Roman" w:eastAsia="Times New Roman" w:hAnsi="Times New Roman"/>
          <w:sz w:val="20"/>
          <w:szCs w:val="20"/>
          <w:color w:val="auto"/>
        </w:rPr>
        <w:t>. If the Company at any time shall combine or subdivide its Common Stock, (i) in the case of a subdivision, the Exercise Price shall be proportionately decreased and the number of shares for which this Warrant is exercisable shall be proportionately increased, or (ii) in the case of a combination, the Exercise Price shall be proportionately increased and the number of shares for which this Warrant is exercisable shall be proportionately decreased.</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869" w:right="1059" w:bottom="1440" w:gutter="0" w:footer="0" w:header="0"/>
        </w:sectPr>
      </w:pPr>
    </w:p>
    <w:bookmarkStart w:id="262" w:name="page263"/>
    <w:bookmarkEnd w:id="262"/>
    <w:p>
      <w:pPr>
        <w:ind w:left="980" w:hanging="324"/>
        <w:spacing w:after="0"/>
        <w:tabs>
          <w:tab w:leader="none" w:pos="98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 If the Company at any time while this Agreement is outstanding and unexpired shall:</w:t>
      </w:r>
    </w:p>
    <w:p>
      <w:pPr>
        <w:spacing w:after="0" w:line="215" w:lineRule="exact"/>
        <w:rPr>
          <w:rFonts w:ascii="Times New Roman" w:cs="Times New Roman" w:eastAsia="Times New Roman" w:hAnsi="Times New Roman"/>
          <w:sz w:val="20"/>
          <w:szCs w:val="20"/>
          <w:color w:val="auto"/>
        </w:rPr>
      </w:pPr>
    </w:p>
    <w:p>
      <w:pPr>
        <w:ind w:firstLine="980"/>
        <w:spacing w:after="0" w:line="244" w:lineRule="auto"/>
        <w:tabs>
          <w:tab w:leader="none" w:pos="1296"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a dividend with respect to the Common Stock payable in additional shares of Common Stock, then the Exercise Price shall be adjusted, from and after the date of determination of stockholders entitled to receive such dividend, to that price determined by multiplying the Exercise Price in effect immediately prior to such date of determination by a fraction (A) the numerator of which shall be the total number of shares of Common Stock outstanding immediately prior to such dividend or distribution, and (B) the denominator of which shall be the total number of shares of Common Stock outstanding immediately after such dividend or distribution, and the number of shares of Common Stock for which this Warrant is exercisable shall be proportionately increased; or</w:t>
      </w:r>
    </w:p>
    <w:p>
      <w:pPr>
        <w:spacing w:after="0" w:line="185" w:lineRule="exact"/>
        <w:rPr>
          <w:rFonts w:ascii="Times New Roman" w:cs="Times New Roman" w:eastAsia="Times New Roman" w:hAnsi="Times New Roman"/>
          <w:sz w:val="20"/>
          <w:szCs w:val="20"/>
          <w:color w:val="auto"/>
        </w:rPr>
      </w:pPr>
    </w:p>
    <w:p>
      <w:pPr>
        <w:ind w:right="100" w:firstLine="980"/>
        <w:spacing w:after="0" w:line="245" w:lineRule="auto"/>
        <w:tabs>
          <w:tab w:leader="none" w:pos="1296"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other dividend or distribution on or with respect to Common Stock, except any dividend or distribution specifically provided for in any other clause of this Section 8, then, in each such case, provision shall be made by the Company such that the Warrantholder shall receive upon exercise or conversion of this Warrant a proportionate share of any such dividend or distribution as though it were the holder of the Common Stock (or other stock for which the Common Stock is convertible) as of the record date fixed for the determination of the stockholders of the Company entitled to receive such dividend or distribution.</w:t>
      </w:r>
    </w:p>
    <w:p>
      <w:pPr>
        <w:spacing w:after="0" w:line="184" w:lineRule="exact"/>
        <w:rPr>
          <w:rFonts w:ascii="Times New Roman" w:cs="Times New Roman" w:eastAsia="Times New Roman" w:hAnsi="Times New Roman"/>
          <w:sz w:val="20"/>
          <w:szCs w:val="20"/>
          <w:color w:val="auto"/>
        </w:rPr>
      </w:pPr>
    </w:p>
    <w:p>
      <w:pPr>
        <w:ind w:right="20" w:firstLine="656"/>
        <w:spacing w:after="0" w:line="242" w:lineRule="auto"/>
        <w:tabs>
          <w:tab w:leader="none" w:pos="972"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Certain Events</w:t>
      </w:r>
      <w:r>
        <w:rPr>
          <w:rFonts w:ascii="Times New Roman" w:cs="Times New Roman" w:eastAsia="Times New Roman" w:hAnsi="Times New Roman"/>
          <w:sz w:val="20"/>
          <w:szCs w:val="20"/>
          <w:color w:val="auto"/>
        </w:rPr>
        <w:t>. If: (i) the Company shall declare any dividend or distribution upon its outstanding Common Stock, payable in stock, cash, property or other securities (provided that the Warrantholder in its capacity as lender under the Loan Agreement consents to such dividend); (ii) the Company shall offer for subscription pro rata to the holders of its Common Stock any additional shares of stock of any class or other rights; (iii) there shall be any Merger Event; or (iv) there shall be any voluntary dissolution, liquidation or winding up of the Company; then, in connection with each such event, the Company shall give the Warrantholder notice thereof at the same time and in the same manner as it gives notice thereof to the holders of outstanding Common Stock. In addition, if at any time the number of shares of Common Stock (or other securities of any other class or classes of securities of the Company for which this Warrant is then exercisable) outstanding is reduced such that the number of shares of Common Stock or other securities issuable upon exercise of this Warrant shall exceed five percent (5%) of the then outstanding class of such securities, then, within three (3) business days of such event, the Company shall give the Warrantholder written notice thereof.</w:t>
      </w:r>
    </w:p>
    <w:p>
      <w:pPr>
        <w:spacing w:after="0" w:line="18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9.</w:t>
      </w:r>
      <w:r>
        <w:rPr>
          <w:sz w:val="20"/>
          <w:szCs w:val="20"/>
          <w:color w:val="auto"/>
        </w:rPr>
        <w:tab/>
      </w:r>
      <w:r>
        <w:rPr>
          <w:rFonts w:ascii="Times New Roman" w:cs="Times New Roman" w:eastAsia="Times New Roman" w:hAnsi="Times New Roman"/>
          <w:sz w:val="19"/>
          <w:szCs w:val="19"/>
          <w:color w:val="auto"/>
        </w:rPr>
        <w:t>REPRESENTATIONS, WARRANTIES AND COVENANTS OF THE COMPANY.</w:t>
      </w:r>
    </w:p>
    <w:p>
      <w:pPr>
        <w:spacing w:after="0" w:line="233" w:lineRule="exact"/>
        <w:rPr>
          <w:sz w:val="20"/>
          <w:szCs w:val="20"/>
          <w:color w:val="auto"/>
        </w:rPr>
      </w:pPr>
    </w:p>
    <w:p>
      <w:pPr>
        <w:ind w:right="60" w:firstLine="656"/>
        <w:spacing w:after="0" w:line="242" w:lineRule="auto"/>
        <w:tabs>
          <w:tab w:leader="none" w:pos="972"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Reservation of Common Stock</w:t>
      </w:r>
      <w:r>
        <w:rPr>
          <w:rFonts w:ascii="Times New Roman" w:cs="Times New Roman" w:eastAsia="Times New Roman" w:hAnsi="Times New Roman"/>
          <w:sz w:val="20"/>
          <w:szCs w:val="20"/>
          <w:color w:val="auto"/>
        </w:rPr>
        <w:t>. The Company covenants and agrees that all shares of Common Stock that may be issued upon the exercise of the rights represented by this Warrant will, upon issuance, be validly issued and outstanding, fully paid and non-assessable, and will be free of any taxes, liens, charges or encumbrances of any nature whatsoever; provided, that the Common Stock issuable pursuant to this Agreement may be subject to restrictions on transfer under state and/or federal securities laws. The Company has made available to the Warrantholder true, correct and complete copies of its Charter and bylaws currently in effect. The issuance of certificates or book-entry credit for shares of Common Stock upon exercise of this Warrant shall be made without charge to the Warrantholder for any issuance tax in respect thereof, or other cost incurred by the Company in connection with such exercise and related issuance of shares of Common Stock. The Company further covenants and agrees that the Company will, at all times during the term hereof, have authorized and reserved, free from preemptive rights, a sufficient number of shares of Common Stock to provide for the exercise of the rights represented by this Warrant.</w:t>
      </w:r>
    </w:p>
    <w:p>
      <w:pPr>
        <w:spacing w:after="0" w:line="189" w:lineRule="exact"/>
        <w:rPr>
          <w:rFonts w:ascii="Times New Roman" w:cs="Times New Roman" w:eastAsia="Times New Roman" w:hAnsi="Times New Roman"/>
          <w:sz w:val="20"/>
          <w:szCs w:val="20"/>
          <w:color w:val="auto"/>
        </w:rPr>
      </w:pPr>
    </w:p>
    <w:p>
      <w:pPr>
        <w:jc w:val="both"/>
        <w:ind w:right="160" w:firstLine="656"/>
        <w:spacing w:after="0" w:line="260" w:lineRule="auto"/>
        <w:tabs>
          <w:tab w:leader="none" w:pos="972" w:val="left"/>
        </w:tabs>
        <w:numPr>
          <w:ilvl w:val="1"/>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Due Authority</w:t>
      </w:r>
      <w:r>
        <w:rPr>
          <w:rFonts w:ascii="Times New Roman" w:cs="Times New Roman" w:eastAsia="Times New Roman" w:hAnsi="Times New Roman"/>
          <w:sz w:val="19"/>
          <w:szCs w:val="19"/>
          <w:color w:val="auto"/>
        </w:rPr>
        <w:t>. The execution and delivery by the Company of this Agreement and the performance of all obligations of the Company hereunder, including the issuance to the Warrantholder of the right to acquire the shares of Common Stock, have been duly authorized by all necessary corporate action on the part of the Company. This Agreement:</w:t>
      </w:r>
    </w:p>
    <w:p>
      <w:pPr>
        <w:ind w:right="20" w:firstLine="8"/>
        <w:spacing w:after="0"/>
        <w:tabs>
          <w:tab w:leader="none" w:pos="236"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violate the Charter or the Company’s current bylaws; (ii) does not contravene any law or governmental rule, regulation or order applicable to the Company; and (iii) except as could not reasonably be expected to have a Material Adverse Effect (as defined in the Loan Agreement), does not and will not contravene any provision of, or constitute a default under, any indenture, mortgage, contract or other instrument to which the Company is a party or by which it is bound. This Agreement constitutes a legal, valid and binding agreement of the Company, enforceable in accordance with its terms, except as may be limited by bankruptcy, insolvency, reorganization, moratorium or similar</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63" w:name="page264"/>
    <w:bookmarkEnd w:id="263"/>
    <w:p>
      <w:pPr>
        <w:ind w:right="300"/>
        <w:spacing w:after="0" w:line="269" w:lineRule="auto"/>
        <w:rPr>
          <w:sz w:val="20"/>
          <w:szCs w:val="20"/>
          <w:color w:val="auto"/>
        </w:rPr>
      </w:pPr>
      <w:r>
        <w:rPr>
          <w:rFonts w:ascii="Times New Roman" w:cs="Times New Roman" w:eastAsia="Times New Roman" w:hAnsi="Times New Roman"/>
          <w:sz w:val="20"/>
          <w:szCs w:val="20"/>
          <w:color w:val="auto"/>
        </w:rPr>
        <w:t>laws relating to or affecting creditors’ rights generally (including, without limitation, fraudulent conveyance laws) and by general principles of equity, regardless of whether considered in a proceeding in equity or at law.</w:t>
      </w:r>
    </w:p>
    <w:p>
      <w:pPr>
        <w:spacing w:after="0" w:line="159" w:lineRule="exact"/>
        <w:rPr>
          <w:sz w:val="20"/>
          <w:szCs w:val="20"/>
          <w:color w:val="auto"/>
        </w:rPr>
      </w:pPr>
    </w:p>
    <w:p>
      <w:pPr>
        <w:ind w:right="20" w:firstLine="656"/>
        <w:spacing w:after="0" w:line="246" w:lineRule="auto"/>
        <w:tabs>
          <w:tab w:leader="none" w:pos="972"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Consents and Approvals</w:t>
      </w:r>
      <w:r>
        <w:rPr>
          <w:rFonts w:ascii="Times New Roman" w:cs="Times New Roman" w:eastAsia="Times New Roman" w:hAnsi="Times New Roman"/>
          <w:sz w:val="20"/>
          <w:szCs w:val="20"/>
          <w:color w:val="auto"/>
        </w:rPr>
        <w:t>. No consent or approval of, giving of notice to, registration with, or taking of any other action in respect of any state, federal or other governmental authority or agency is required with respect to the execution, delivery and performance by the Company of its obligations under this Agreement, except for the filing of notices pursuant to Regulation D under the Act and any filing required by applicable state securities law, which filings will be effective by the time required thereby.</w:t>
      </w:r>
    </w:p>
    <w:p>
      <w:pPr>
        <w:spacing w:after="0" w:line="184" w:lineRule="exact"/>
        <w:rPr>
          <w:rFonts w:ascii="Times New Roman" w:cs="Times New Roman" w:eastAsia="Times New Roman" w:hAnsi="Times New Roman"/>
          <w:sz w:val="20"/>
          <w:szCs w:val="20"/>
          <w:color w:val="auto"/>
        </w:rPr>
      </w:pPr>
    </w:p>
    <w:p>
      <w:pPr>
        <w:ind w:right="120" w:firstLine="656"/>
        <w:spacing w:after="0" w:line="249" w:lineRule="auto"/>
        <w:tabs>
          <w:tab w:leader="none" w:pos="972"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Exempt Transaction</w:t>
      </w:r>
      <w:r>
        <w:rPr>
          <w:rFonts w:ascii="Times New Roman" w:cs="Times New Roman" w:eastAsia="Times New Roman" w:hAnsi="Times New Roman"/>
          <w:sz w:val="20"/>
          <w:szCs w:val="20"/>
          <w:color w:val="auto"/>
        </w:rPr>
        <w:t>. Subject to the accuracy of the Warrantholder’s representations in Section 10, the issuance of the Common Stock upon exercise of this Agreement will constitute a transaction exempt from (i) the registration requirements of Section 5 of the Act, in reliance upon Section 4(a)(2) thereof, and (ii) the qualification requirements of the applicable state securities laws.</w:t>
      </w:r>
    </w:p>
    <w:p>
      <w:pPr>
        <w:spacing w:after="0" w:line="179" w:lineRule="exact"/>
        <w:rPr>
          <w:rFonts w:ascii="Times New Roman" w:cs="Times New Roman" w:eastAsia="Times New Roman" w:hAnsi="Times New Roman"/>
          <w:sz w:val="20"/>
          <w:szCs w:val="20"/>
          <w:color w:val="auto"/>
        </w:rPr>
      </w:pPr>
    </w:p>
    <w:p>
      <w:pPr>
        <w:ind w:right="20" w:firstLine="656"/>
        <w:spacing w:after="0" w:line="258" w:lineRule="auto"/>
        <w:tabs>
          <w:tab w:leader="none" w:pos="972" w:val="left"/>
        </w:tabs>
        <w:numPr>
          <w:ilvl w:val="1"/>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Information Rights</w:t>
      </w:r>
      <w:r>
        <w:rPr>
          <w:rFonts w:ascii="Times New Roman" w:cs="Times New Roman" w:eastAsia="Times New Roman" w:hAnsi="Times New Roman"/>
          <w:sz w:val="19"/>
          <w:szCs w:val="19"/>
          <w:color w:val="auto"/>
        </w:rPr>
        <w:t>. At all times (if any) prior to the earlier to occur of (x) the date on which all shares of Common Stock issued on exercise of this Warrant have been sold, or (y) the expiration or earlier termination of this Warrant, when the Company shall not be required to file reports pursuant to Section 13 or 15(d) of the Exchange Act or shall not have timely filed all such required reports, the Warrantholder shall be entitled to the information rights contained in Section 7.1(b)</w:t>
      </w:r>
    </w:p>
    <w:p>
      <w:pPr>
        <w:ind w:right="100"/>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(f) of the Loan Agreement, and in any such event Section 7.1(b) – (f) of the Loan Agreement is hereby incorporated into this Agreement by this reference as though fully set forth herein, provided, however, that the Company shall not be required to deliver a Compliance Certificate once all Indebtedness (as defined in the Loan Agreement) owed by the Company and its Subsidiaries to Warrantholder has been repaid.</w:t>
      </w:r>
    </w:p>
    <w:p>
      <w:pPr>
        <w:spacing w:after="0" w:line="188" w:lineRule="exact"/>
        <w:rPr>
          <w:rFonts w:ascii="Times New Roman" w:cs="Times New Roman" w:eastAsia="Times New Roman" w:hAnsi="Times New Roman"/>
          <w:sz w:val="19"/>
          <w:szCs w:val="19"/>
          <w:color w:val="auto"/>
        </w:rPr>
      </w:pPr>
    </w:p>
    <w:p>
      <w:pPr>
        <w:ind w:right="100" w:firstLine="656"/>
        <w:spacing w:after="0" w:line="242" w:lineRule="auto"/>
        <w:tabs>
          <w:tab w:leader="none" w:pos="972"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of Shares</w:t>
      </w:r>
      <w:r>
        <w:rPr>
          <w:rFonts w:ascii="Times New Roman" w:cs="Times New Roman" w:eastAsia="Times New Roman" w:hAnsi="Times New Roman"/>
          <w:sz w:val="20"/>
          <w:szCs w:val="20"/>
          <w:color w:val="auto"/>
        </w:rPr>
        <w:t xml:space="preserve">. If the Company proposes to register (including, for this purpose, a registration effected by the Company for the sale by the Company of its securities and/or the resale of securities of the Company by security holders other than the Warrantholder) the sale or resale of any of its Common Shares or other securities under the Act in connection with the public offering of such securities (other than in an Excluded Registration), the Company shall cause to be registered all of the Registrable Securities in such registration. The Company shall have the right to terminate or withdraw any registration initiated by it under this Section 9(f) before the effective date of such registration,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Company’s obligations to register the Registrable Securities under this Section 9(f) in any subsequent registration (other than in an Excluded Registration) shall continue following any such termination or withdrawal. All fees and expenses incident to the Company’s performance of or compliance with its obligations under this Section 9(f) (excluding any underwriting discounts and selling commissions) shall be borne by the Company.</w:t>
      </w:r>
    </w:p>
    <w:p>
      <w:pPr>
        <w:spacing w:after="0" w:line="192" w:lineRule="exact"/>
        <w:rPr>
          <w:rFonts w:ascii="Times New Roman" w:cs="Times New Roman" w:eastAsia="Times New Roman" w:hAnsi="Times New Roman"/>
          <w:sz w:val="20"/>
          <w:szCs w:val="20"/>
          <w:color w:val="auto"/>
        </w:rPr>
      </w:pPr>
    </w:p>
    <w:p>
      <w:pPr>
        <w:ind w:firstLine="656"/>
        <w:spacing w:after="0" w:line="242" w:lineRule="auto"/>
        <w:tabs>
          <w:tab w:leader="none" w:pos="972"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Rule 144 Compliance</w:t>
      </w:r>
      <w:r>
        <w:rPr>
          <w:rFonts w:ascii="Times New Roman" w:cs="Times New Roman" w:eastAsia="Times New Roman" w:hAnsi="Times New Roman"/>
          <w:sz w:val="20"/>
          <w:szCs w:val="20"/>
          <w:color w:val="auto"/>
        </w:rPr>
        <w:t>. The Company shall, at all times prior to the earlier to occur of (i) the date of sale or other disposition by Warrantholder of this Warrant or all shares of Common Stock issued on exercise of this Warrant, (ii) the registration pursuant to subsection (f) above of the shares issued on exercise of this Warrant, or (iii) the expiration or earlier termination of this Warrant if the Warrant has not been exercised in full or in part on such date, use all commercially reasonable efforts to timely file all reports required under the Exchange Act and otherwise timely take all actions necessary to permit the Warrantholder to sell or otherwise dispose of this Warrant and the shares of Common Stock issued on exercise hereof pursuant to Rule 144 promulgated under the Act (“Rule 144”), provided that the foregoing shall not apply in the event of a Merger Event following which the successor or surviving entity is not subject to the reporting requirements of the Exchange Act. If the Warrantholder proposes to sell Common Stock issuable upon the exercise of this Agreement in compliance with Rule 144, then, upon the Warrantholder’s written request to the Company, the Company shall furnish to the Warrantholder, within five (5) business days after receipt of such request, a written statement confirming the Company’s compliance with the filing and other requirements of such Rule 144.</w:t>
      </w:r>
    </w:p>
    <w:p>
      <w:pPr>
        <w:spacing w:after="0" w:line="183" w:lineRule="exact"/>
        <w:rPr>
          <w:sz w:val="20"/>
          <w:szCs w:val="20"/>
          <w:color w:val="auto"/>
        </w:rPr>
      </w:pPr>
    </w:p>
    <w:p>
      <w:pPr>
        <w:jc w:val="center"/>
        <w:ind w:right="40"/>
        <w:spacing w:after="0"/>
        <w:tabs>
          <w:tab w:leader="none" w:pos="240" w:val="left"/>
        </w:tabs>
        <w:rPr>
          <w:sz w:val="20"/>
          <w:szCs w:val="20"/>
          <w:color w:val="auto"/>
        </w:rPr>
      </w:pPr>
      <w:r>
        <w:rPr>
          <w:rFonts w:ascii="Times New Roman" w:cs="Times New Roman" w:eastAsia="Times New Roman" w:hAnsi="Times New Roman"/>
          <w:sz w:val="20"/>
          <w:szCs w:val="20"/>
          <w:b w:val="1"/>
          <w:bCs w:val="1"/>
          <w:color w:val="auto"/>
        </w:rPr>
        <w:t>SECTION 10.</w:t>
      </w:r>
      <w:r>
        <w:rPr>
          <w:sz w:val="20"/>
          <w:szCs w:val="20"/>
          <w:color w:val="auto"/>
        </w:rPr>
        <w:tab/>
      </w:r>
      <w:r>
        <w:rPr>
          <w:rFonts w:ascii="Times New Roman" w:cs="Times New Roman" w:eastAsia="Times New Roman" w:hAnsi="Times New Roman"/>
          <w:sz w:val="19"/>
          <w:szCs w:val="19"/>
          <w:color w:val="auto"/>
        </w:rPr>
        <w:t>REPRESENTATIONS AND COVENANTS OF THE WARRANTHOLDER.</w:t>
      </w:r>
    </w:p>
    <w:p>
      <w:pPr>
        <w:spacing w:after="0" w:line="220"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This Agreement has been entered into by the Company in reliance upon the following representations and covenants of the Warrantholder:</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64" w:name="page265"/>
    <w:bookmarkEnd w:id="264"/>
    <w:p>
      <w:pPr>
        <w:jc w:val="both"/>
        <w:ind w:right="120" w:firstLine="656"/>
        <w:spacing w:after="0" w:line="249" w:lineRule="auto"/>
        <w:tabs>
          <w:tab w:leader="none" w:pos="972"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Investment Purpose</w:t>
      </w:r>
      <w:r>
        <w:rPr>
          <w:rFonts w:ascii="Times New Roman" w:cs="Times New Roman" w:eastAsia="Times New Roman" w:hAnsi="Times New Roman"/>
          <w:sz w:val="20"/>
          <w:szCs w:val="20"/>
          <w:color w:val="auto"/>
        </w:rPr>
        <w:t>. This Warrant and the shares issued on exercise hereof will be acquired for investment and not with a view to the sale or distribution of any part thereof in violation of applicable federal and state securities laws, and the Warrantholder has no present intention of selling or engaging in any public distribution of the same except pursuant to a registration or exemption.</w:t>
      </w:r>
    </w:p>
    <w:p>
      <w:pPr>
        <w:spacing w:after="0" w:line="179" w:lineRule="exact"/>
        <w:rPr>
          <w:rFonts w:ascii="Times New Roman" w:cs="Times New Roman" w:eastAsia="Times New Roman" w:hAnsi="Times New Roman"/>
          <w:sz w:val="20"/>
          <w:szCs w:val="20"/>
          <w:color w:val="auto"/>
        </w:rPr>
      </w:pPr>
    </w:p>
    <w:p>
      <w:pPr>
        <w:ind w:right="240" w:firstLine="656"/>
        <w:spacing w:after="0" w:line="264" w:lineRule="auto"/>
        <w:tabs>
          <w:tab w:leader="none" w:pos="972" w:val="left"/>
        </w:tabs>
        <w:numPr>
          <w:ilvl w:val="1"/>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Private Issue</w:t>
      </w:r>
      <w:r>
        <w:rPr>
          <w:rFonts w:ascii="Times New Roman" w:cs="Times New Roman" w:eastAsia="Times New Roman" w:hAnsi="Times New Roman"/>
          <w:sz w:val="19"/>
          <w:szCs w:val="19"/>
          <w:color w:val="auto"/>
        </w:rPr>
        <w:t>. The Warrantholder understands that (i) the Common Stock issuable upon exercise of this Agreement is not, as of the Effective Date, registered under the Act or qualified under applicable state securities laws, and</w:t>
      </w:r>
    </w:p>
    <w:p>
      <w:pPr>
        <w:ind w:left="300" w:hanging="292"/>
        <w:spacing w:after="0"/>
        <w:tabs>
          <w:tab w:leader="none" w:pos="300"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reliance on exemption from such registration is predicated on the representations set forth in this Section</w:t>
      </w:r>
    </w:p>
    <w:p>
      <w:pPr>
        <w:spacing w:after="0" w:line="1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10.</w:t>
      </w:r>
    </w:p>
    <w:p>
      <w:pPr>
        <w:spacing w:after="0" w:line="193" w:lineRule="exact"/>
        <w:rPr>
          <w:rFonts w:ascii="Times New Roman" w:cs="Times New Roman" w:eastAsia="Times New Roman" w:hAnsi="Times New Roman"/>
          <w:sz w:val="19"/>
          <w:szCs w:val="19"/>
          <w:color w:val="auto"/>
        </w:rPr>
      </w:pPr>
    </w:p>
    <w:p>
      <w:pPr>
        <w:ind w:right="220" w:firstLine="656"/>
        <w:spacing w:after="0" w:line="254" w:lineRule="auto"/>
        <w:tabs>
          <w:tab w:leader="none" w:pos="972"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Risk</w:t>
      </w:r>
      <w:r>
        <w:rPr>
          <w:rFonts w:ascii="Times New Roman" w:cs="Times New Roman" w:eastAsia="Times New Roman" w:hAnsi="Times New Roman"/>
          <w:sz w:val="20"/>
          <w:szCs w:val="20"/>
          <w:color w:val="auto"/>
        </w:rPr>
        <w:t>. The Warrantholder has such knowledge and experience­ in financial and business matters as to be capable of evaluating the merits and risks of its investment, and has the ability to bear the economic risks of its investment.</w:t>
      </w:r>
    </w:p>
    <w:p>
      <w:pPr>
        <w:spacing w:after="0" w:line="174" w:lineRule="exact"/>
        <w:rPr>
          <w:rFonts w:ascii="Times New Roman" w:cs="Times New Roman" w:eastAsia="Times New Roman" w:hAnsi="Times New Roman"/>
          <w:sz w:val="20"/>
          <w:szCs w:val="20"/>
          <w:color w:val="auto"/>
        </w:rPr>
      </w:pPr>
    </w:p>
    <w:p>
      <w:pPr>
        <w:ind w:right="480" w:firstLine="656"/>
        <w:spacing w:after="0" w:line="269" w:lineRule="auto"/>
        <w:tabs>
          <w:tab w:leader="none" w:pos="1296"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Accredited Investor</w:t>
      </w:r>
      <w:r>
        <w:rPr>
          <w:rFonts w:ascii="Times New Roman" w:cs="Times New Roman" w:eastAsia="Times New Roman" w:hAnsi="Times New Roman"/>
          <w:sz w:val="20"/>
          <w:szCs w:val="20"/>
          <w:color w:val="auto"/>
        </w:rPr>
        <w:t>. The Warrantholder is an “accredited investor” within the meaning of Rule 501 of Regulation D promulgated under the Act, as presently in effect (“Regulation D”).</w:t>
      </w:r>
    </w:p>
    <w:p>
      <w:pPr>
        <w:spacing w:after="0" w:line="172" w:lineRule="exact"/>
        <w:rPr>
          <w:rFonts w:ascii="Times New Roman" w:cs="Times New Roman" w:eastAsia="Times New Roman" w:hAnsi="Times New Roman"/>
          <w:sz w:val="20"/>
          <w:szCs w:val="20"/>
          <w:color w:val="auto"/>
        </w:rPr>
      </w:pPr>
    </w:p>
    <w:p>
      <w:pPr>
        <w:jc w:val="both"/>
        <w:ind w:right="40" w:firstLine="656"/>
        <w:spacing w:after="0" w:line="249" w:lineRule="auto"/>
        <w:tabs>
          <w:tab w:leader="none" w:pos="972"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Short Sales</w:t>
      </w:r>
      <w:r>
        <w:rPr>
          <w:rFonts w:ascii="Times New Roman" w:cs="Times New Roman" w:eastAsia="Times New Roman" w:hAnsi="Times New Roman"/>
          <w:sz w:val="20"/>
          <w:szCs w:val="20"/>
          <w:color w:val="auto"/>
        </w:rPr>
        <w:t>. The Warrantholder has not at any time on or prior to the Effective Date engaged in any short sales or equivalent transactions in the Common Stock. Warrantholder agrees that at all times from and after the Effective Date and on or before the expiration or earlier termination of this Warrant, it shall not engage in any short sales or equivalent transactions in the Common Stock.</w:t>
      </w:r>
    </w:p>
    <w:p>
      <w:pPr>
        <w:spacing w:after="0" w:line="1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 xml:space="preserve">SECTION 11. </w:t>
      </w:r>
      <w:r>
        <w:rPr>
          <w:rFonts w:ascii="Times New Roman" w:cs="Times New Roman" w:eastAsia="Times New Roman" w:hAnsi="Times New Roman"/>
          <w:sz w:val="20"/>
          <w:szCs w:val="20"/>
          <w:color w:val="auto"/>
        </w:rPr>
        <w:t>TRANSFERS.</w:t>
      </w:r>
    </w:p>
    <w:p>
      <w:pPr>
        <w:spacing w:after="0" w:line="22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9"/>
          <w:szCs w:val="19"/>
          <w:color w:val="auto"/>
        </w:rPr>
        <w:t>Subject to compliance with applicable federal and state securities laws, this Agreement and all rights hereunder are transferable, in whole or in part, without charge to the holder hereof (except for transfer taxes) upon surrender of this Agreement properly endorsed. Each taker and holder of this Agreement, by taking or holding the same, consents and agrees that this Agreement, when endorsed in blank, shall be deemed negotiable, and that the holder hereof, when this Agreement shall have been so endorsed and its transfer recorded on the Company’s books, shall be treated by the Company and all other persons dealing with this Agreement as the absolute owner hereof for any purpose and as the person entitled to exercise the rights represented by this Agreement. The transfer of this Agreement shall be recorded on the books of the Company upon receipt by the Company of a notice of transfer in the form attached hereto as Exhibit III (the “</w:t>
      </w:r>
      <w:r>
        <w:rPr>
          <w:rFonts w:ascii="Times New Roman" w:cs="Times New Roman" w:eastAsia="Times New Roman" w:hAnsi="Times New Roman"/>
          <w:sz w:val="19"/>
          <w:szCs w:val="19"/>
          <w:u w:val="single" w:color="auto"/>
          <w:color w:val="auto"/>
        </w:rPr>
        <w:t>Transfer Notice</w:t>
      </w:r>
      <w:r>
        <w:rPr>
          <w:rFonts w:ascii="Times New Roman" w:cs="Times New Roman" w:eastAsia="Times New Roman" w:hAnsi="Times New Roman"/>
          <w:sz w:val="19"/>
          <w:szCs w:val="19"/>
          <w:color w:val="auto"/>
        </w:rPr>
        <w:t>”), at its principal offices and the payment to the Company of all transfer taxes and other governmental charges imposed on such transfer. Until the Company receives such Transfer Notice, the Company may treat the registered owner hereof as the owner for all purposes. Notwithstanding anything herein or in any legend to the contrary, the Company shall not require an opinion of counsel in connection with any sale, assignment or other transfer by the Warrantholder of this Warrant (or any portion hereof or any interest herein) or of any shares of Common Stock issued upon any exercise hereof to an affiliate (as defined in Regulation D) of the Warrantholder, provided that such affiliate is an “accredited investor” as defined in Regulation D.</w:t>
      </w:r>
    </w:p>
    <w:p>
      <w:pPr>
        <w:spacing w:after="0" w:line="1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 xml:space="preserve">SECTION 12. </w:t>
      </w:r>
      <w:r>
        <w:rPr>
          <w:rFonts w:ascii="Times New Roman" w:cs="Times New Roman" w:eastAsia="Times New Roman" w:hAnsi="Times New Roman"/>
          <w:sz w:val="20"/>
          <w:szCs w:val="20"/>
          <w:color w:val="auto"/>
        </w:rPr>
        <w:t>MISCELLANEOUS.</w:t>
      </w:r>
    </w:p>
    <w:p>
      <w:pPr>
        <w:spacing w:after="0" w:line="220" w:lineRule="exact"/>
        <w:rPr>
          <w:sz w:val="20"/>
          <w:szCs w:val="20"/>
          <w:color w:val="auto"/>
        </w:rPr>
      </w:pPr>
    </w:p>
    <w:p>
      <w:pPr>
        <w:ind w:firstLine="656"/>
        <w:spacing w:after="0" w:line="254" w:lineRule="auto"/>
        <w:tabs>
          <w:tab w:leader="none" w:pos="972"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The provisions of this Agreement shall be construed and shall be given effect in all respects as if it had been executed and delivered by the Company on the date hereof. This Agreement shall be binding upon any successors or assigns of the Company.</w:t>
      </w:r>
    </w:p>
    <w:p>
      <w:pPr>
        <w:spacing w:after="0" w:line="174" w:lineRule="exact"/>
        <w:rPr>
          <w:rFonts w:ascii="Times New Roman" w:cs="Times New Roman" w:eastAsia="Times New Roman" w:hAnsi="Times New Roman"/>
          <w:sz w:val="20"/>
          <w:szCs w:val="20"/>
          <w:color w:val="auto"/>
        </w:rPr>
      </w:pPr>
    </w:p>
    <w:p>
      <w:pPr>
        <w:ind w:firstLine="656"/>
        <w:spacing w:after="0" w:line="249" w:lineRule="auto"/>
        <w:tabs>
          <w:tab w:leader="none" w:pos="972"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In the event of any default hereunder, the non-defaulting party may proceed to protect and enforce its rights either by suit in equity and/or by action at law, including but not limited to an action for damages as a result of any such default, and/or an action for specific performance for any default where the Warrantholder will not have an adequate remedy at law and where damages will not be readily ascertainable.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65" w:name="page266"/>
    <w:bookmarkEnd w:id="265"/>
    <w:p>
      <w:pPr>
        <w:jc w:val="both"/>
        <w:ind w:left="-8" w:right="280" w:firstLine="656"/>
        <w:spacing w:after="0" w:line="249" w:lineRule="auto"/>
        <w:tabs>
          <w:tab w:leader="none" w:pos="964" w:val="left"/>
        </w:tabs>
        <w:numPr>
          <w:ilvl w:val="1"/>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Impairment of Rights</w:t>
      </w:r>
      <w:r>
        <w:rPr>
          <w:rFonts w:ascii="Times New Roman" w:cs="Times New Roman" w:eastAsia="Times New Roman" w:hAnsi="Times New Roman"/>
          <w:sz w:val="20"/>
          <w:szCs w:val="20"/>
          <w:color w:val="auto"/>
        </w:rPr>
        <w:t>. The Company will not, by amendment of its Charter or through any other means, avoid or seek to avoid the observance or performance of any of the terms of this Agreement, but will at all times in good faith assist in the carrying out of all such terms and in the taking of all such actions as may be necessary or appropriate in order to protect the rights of the Warrantholder against impairment.</w:t>
      </w:r>
    </w:p>
    <w:p>
      <w:pPr>
        <w:spacing w:after="0" w:line="179" w:lineRule="exact"/>
        <w:rPr>
          <w:rFonts w:ascii="Times New Roman" w:cs="Times New Roman" w:eastAsia="Times New Roman" w:hAnsi="Times New Roman"/>
          <w:sz w:val="20"/>
          <w:szCs w:val="20"/>
          <w:color w:val="auto"/>
        </w:rPr>
      </w:pPr>
    </w:p>
    <w:p>
      <w:pPr>
        <w:ind w:left="-8" w:right="200" w:firstLine="656"/>
        <w:spacing w:after="0" w:line="269" w:lineRule="auto"/>
        <w:tabs>
          <w:tab w:leader="none" w:pos="964" w:val="left"/>
        </w:tabs>
        <w:numPr>
          <w:ilvl w:val="1"/>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Documents</w:t>
      </w:r>
      <w:r>
        <w:rPr>
          <w:rFonts w:ascii="Times New Roman" w:cs="Times New Roman" w:eastAsia="Times New Roman" w:hAnsi="Times New Roman"/>
          <w:sz w:val="20"/>
          <w:szCs w:val="20"/>
          <w:color w:val="auto"/>
        </w:rPr>
        <w:t>. The Company agrees to supply such other documents as the Warrantholder may from time to time reasonably request.</w:t>
      </w:r>
    </w:p>
    <w:p>
      <w:pPr>
        <w:spacing w:after="0" w:line="159" w:lineRule="exact"/>
        <w:rPr>
          <w:rFonts w:ascii="Times New Roman" w:cs="Times New Roman" w:eastAsia="Times New Roman" w:hAnsi="Times New Roman"/>
          <w:sz w:val="20"/>
          <w:szCs w:val="20"/>
          <w:color w:val="auto"/>
        </w:rPr>
      </w:pPr>
    </w:p>
    <w:p>
      <w:pPr>
        <w:ind w:left="-8" w:firstLine="656"/>
        <w:spacing w:after="0" w:line="244" w:lineRule="auto"/>
        <w:tabs>
          <w:tab w:leader="none" w:pos="964" w:val="left"/>
        </w:tabs>
        <w:numPr>
          <w:ilvl w:val="1"/>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Attorneys’ Fees</w:t>
      </w:r>
      <w:r>
        <w:rPr>
          <w:rFonts w:ascii="Times New Roman" w:cs="Times New Roman" w:eastAsia="Times New Roman" w:hAnsi="Times New Roman"/>
          <w:sz w:val="20"/>
          <w:szCs w:val="20"/>
          <w:color w:val="auto"/>
        </w:rPr>
        <w:t>. In any litigation, arbitration or court proceeding between the Company and the Warrantholder relating hereto, the prevailing party shall be entitled to attorneys’ fees and expenses and all costs of proceedings incurred in enforcing this Agreement. For the purposes of this Section 12(e), attorneys’ fees shall include without limitation fees incurred in connection with the following: (i) contempt proceedings; (ii) discovery; (iii) any motion, proceeding or other activity of any kind in connection with an insolvency proceeding; (iv) garnishment, levy, and debtor and third party examinations; and (v) post-judgment motions and proceedings of any kind, including without limitation any activity taken to collect or enforce any judgment.</w:t>
      </w:r>
    </w:p>
    <w:p>
      <w:pPr>
        <w:spacing w:after="0" w:line="185" w:lineRule="exact"/>
        <w:rPr>
          <w:rFonts w:ascii="Times New Roman" w:cs="Times New Roman" w:eastAsia="Times New Roman" w:hAnsi="Times New Roman"/>
          <w:sz w:val="20"/>
          <w:szCs w:val="20"/>
          <w:color w:val="auto"/>
        </w:rPr>
      </w:pPr>
    </w:p>
    <w:p>
      <w:pPr>
        <w:ind w:left="-8" w:right="100" w:firstLine="656"/>
        <w:spacing w:after="0" w:line="249" w:lineRule="auto"/>
        <w:tabs>
          <w:tab w:leader="none" w:pos="964" w:val="left"/>
        </w:tabs>
        <w:numPr>
          <w:ilvl w:val="1"/>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any one or more of the provisions of this Agreement shall for any reason be held invalid, illegal or unenforceable, the remaining provisions of this Agreement shall be unimpaired, and the invalid, illegal or unenforceable provision shall be replaced by a mutually acceptable valid, legal and enforceable provision, which comes closest to the intention of the parties underlying the invalid, illegal or unenforceable provision.</w:t>
      </w:r>
    </w:p>
    <w:p>
      <w:pPr>
        <w:spacing w:after="0" w:line="179" w:lineRule="exact"/>
        <w:rPr>
          <w:rFonts w:ascii="Times New Roman" w:cs="Times New Roman" w:eastAsia="Times New Roman" w:hAnsi="Times New Roman"/>
          <w:sz w:val="20"/>
          <w:szCs w:val="20"/>
          <w:color w:val="auto"/>
        </w:rPr>
      </w:pPr>
    </w:p>
    <w:p>
      <w:pPr>
        <w:ind w:left="-8" w:right="20" w:firstLine="656"/>
        <w:spacing w:after="0" w:line="256" w:lineRule="auto"/>
        <w:tabs>
          <w:tab w:leader="none" w:pos="964" w:val="left"/>
        </w:tabs>
        <w:numPr>
          <w:ilvl w:val="1"/>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Except as otherwise provided herein, any notice, demand, request, consent, approval, declaration, service of process or other communication that is required, contemplated, or permitted under this Agreement or with respect to the subject matter hereof shall be in writing, and shall be deemed to have been validly served, given, delivered, and received upon the earlier of: (i) personal delivery to the party to be notified, (ii) when sent by confirmed telex, electronic transmission or facsimile if sent during normal business hours of the recipient, if not, then on the next business day, (iii) five</w:t>
      </w:r>
    </w:p>
    <w:p>
      <w:pPr>
        <w:spacing w:after="0" w:line="4" w:lineRule="exact"/>
        <w:rPr>
          <w:rFonts w:ascii="Times New Roman" w:cs="Times New Roman" w:eastAsia="Times New Roman" w:hAnsi="Times New Roman"/>
          <w:sz w:val="19"/>
          <w:szCs w:val="19"/>
          <w:color w:val="auto"/>
        </w:rPr>
      </w:pPr>
    </w:p>
    <w:p>
      <w:pPr>
        <w:jc w:val="both"/>
        <w:ind w:left="-8" w:right="40" w:firstLine="8"/>
        <w:spacing w:after="0" w:line="242" w:lineRule="auto"/>
        <w:tabs>
          <w:tab w:leader="none" w:pos="272"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having been sent by registered or certified mail, return receipt requested, postage prepaid, or (iv) one day after deposit with a nationally recognized overnight courier, specifying next day delivery, with written verification of receipt, and shall be addressed to the party to be notified as follows:</w:t>
      </w:r>
    </w:p>
    <w:p>
      <w:pPr>
        <w:spacing w:after="0" w:line="18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0"/>
          <w:szCs w:val="20"/>
          <w:color w:val="auto"/>
        </w:rPr>
        <w:t>If to the Warrantholder:</w:t>
      </w:r>
    </w:p>
    <w:p>
      <w:pPr>
        <w:spacing w:after="0" w:line="216"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20"/>
          <w:szCs w:val="20"/>
          <w:color w:val="auto"/>
        </w:rPr>
        <w:t>HERCULES PRIVATE GLOBAL VENTURE GROWTH FUND 1 L.P.</w:t>
      </w:r>
    </w:p>
    <w:p>
      <w:pPr>
        <w:spacing w:after="0" w:line="21"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20"/>
          <w:szCs w:val="20"/>
          <w:color w:val="auto"/>
        </w:rPr>
        <w:t>Legal Department</w:t>
      </w:r>
    </w:p>
    <w:p>
      <w:pPr>
        <w:ind w:left="2592"/>
        <w:spacing w:after="0"/>
        <w:rPr>
          <w:sz w:val="20"/>
          <w:szCs w:val="20"/>
          <w:color w:val="auto"/>
        </w:rPr>
      </w:pPr>
      <w:r>
        <w:rPr>
          <w:rFonts w:ascii="Times New Roman" w:cs="Times New Roman" w:eastAsia="Times New Roman" w:hAnsi="Times New Roman"/>
          <w:sz w:val="20"/>
          <w:szCs w:val="20"/>
          <w:color w:val="auto"/>
        </w:rPr>
        <w:t>Attention: Chief Legal Officer and Michael Dutra and John Miotti</w:t>
      </w:r>
    </w:p>
    <w:p>
      <w:pPr>
        <w:ind w:left="2592"/>
        <w:spacing w:after="0"/>
        <w:rPr>
          <w:sz w:val="20"/>
          <w:szCs w:val="20"/>
          <w:color w:val="auto"/>
        </w:rPr>
      </w:pPr>
      <w:r>
        <w:rPr>
          <w:rFonts w:ascii="Times New Roman" w:cs="Times New Roman" w:eastAsia="Times New Roman" w:hAnsi="Times New Roman"/>
          <w:sz w:val="20"/>
          <w:szCs w:val="20"/>
          <w:color w:val="auto"/>
        </w:rPr>
        <w:t>400 Hamilton Avenue, Suite 310</w:t>
      </w:r>
    </w:p>
    <w:p>
      <w:pPr>
        <w:ind w:left="2592"/>
        <w:spacing w:after="0"/>
        <w:rPr>
          <w:sz w:val="20"/>
          <w:szCs w:val="20"/>
          <w:color w:val="auto"/>
        </w:rPr>
      </w:pPr>
      <w:r>
        <w:rPr>
          <w:rFonts w:ascii="Times New Roman" w:cs="Times New Roman" w:eastAsia="Times New Roman" w:hAnsi="Times New Roman"/>
          <w:sz w:val="20"/>
          <w:szCs w:val="20"/>
          <w:color w:val="auto"/>
        </w:rPr>
        <w:t>Palo Alto, CA 94301</w:t>
      </w:r>
    </w:p>
    <w:p>
      <w:pPr>
        <w:ind w:left="2592"/>
        <w:spacing w:after="0"/>
        <w:rPr>
          <w:sz w:val="20"/>
          <w:szCs w:val="20"/>
          <w:color w:val="auto"/>
        </w:rPr>
      </w:pPr>
      <w:r>
        <w:rPr>
          <w:rFonts w:ascii="Times New Roman" w:cs="Times New Roman" w:eastAsia="Times New Roman" w:hAnsi="Times New Roman"/>
          <w:sz w:val="20"/>
          <w:szCs w:val="20"/>
          <w:color w:val="auto"/>
        </w:rPr>
        <w:t>Facsimile: 650-473-9194</w:t>
      </w:r>
    </w:p>
    <w:p>
      <w:pPr>
        <w:ind w:left="2592"/>
        <w:spacing w:after="0"/>
        <w:rPr>
          <w:sz w:val="20"/>
          <w:szCs w:val="20"/>
          <w:color w:val="auto"/>
        </w:rPr>
      </w:pPr>
      <w:r>
        <w:rPr>
          <w:rFonts w:ascii="Times New Roman" w:cs="Times New Roman" w:eastAsia="Times New Roman" w:hAnsi="Times New Roman"/>
          <w:sz w:val="20"/>
          <w:szCs w:val="20"/>
          <w:color w:val="auto"/>
        </w:rPr>
        <w:t>Telephone: 650-289-3060</w:t>
      </w:r>
    </w:p>
    <w:p>
      <w:pPr>
        <w:ind w:left="2592"/>
        <w:spacing w:after="0"/>
        <w:rPr>
          <w:sz w:val="20"/>
          <w:szCs w:val="20"/>
          <w:color w:val="auto"/>
        </w:rPr>
      </w:pPr>
      <w:r>
        <w:rPr>
          <w:rFonts w:ascii="Times New Roman" w:cs="Times New Roman" w:eastAsia="Times New Roman" w:hAnsi="Times New Roman"/>
          <w:sz w:val="20"/>
          <w:szCs w:val="20"/>
          <w:color w:val="auto"/>
        </w:rPr>
        <w:t>Email : legal@herculestech.com; mdutra@htgc.com; jmiotti@htgc.com</w:t>
      </w:r>
    </w:p>
    <w:p>
      <w:pPr>
        <w:spacing w:after="0" w:line="20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 xml:space="preserve">With </w:t>
      </w:r>
      <w:r>
        <w:rPr>
          <w:rFonts w:ascii="Times New Roman" w:cs="Times New Roman" w:eastAsia="Times New Roman" w:hAnsi="Times New Roman"/>
          <w:sz w:val="19"/>
          <w:szCs w:val="19"/>
          <w:color w:val="auto"/>
        </w:rPr>
        <w:t>a copy to:</w:t>
      </w:r>
    </w:p>
    <w:p>
      <w:pPr>
        <w:spacing w:after="0" w:line="227"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20"/>
          <w:szCs w:val="20"/>
          <w:color w:val="auto"/>
        </w:rPr>
        <w:t>LATHAM &amp; WATKINS</w:t>
      </w:r>
    </w:p>
    <w:p>
      <w:pPr>
        <w:spacing w:after="0" w:line="21"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20"/>
          <w:szCs w:val="20"/>
          <w:color w:val="auto"/>
        </w:rPr>
        <w:t>Attn: Haim Zaltzman</w:t>
      </w:r>
    </w:p>
    <w:p>
      <w:pPr>
        <w:ind w:left="2592"/>
        <w:spacing w:after="0"/>
        <w:rPr>
          <w:sz w:val="20"/>
          <w:szCs w:val="20"/>
          <w:color w:val="auto"/>
        </w:rPr>
      </w:pPr>
      <w:r>
        <w:rPr>
          <w:rFonts w:ascii="Times New Roman" w:cs="Times New Roman" w:eastAsia="Times New Roman" w:hAnsi="Times New Roman"/>
          <w:sz w:val="20"/>
          <w:szCs w:val="20"/>
          <w:color w:val="auto"/>
        </w:rPr>
        <w:t>505 Montgomery Street, Suite 2000</w:t>
      </w:r>
    </w:p>
    <w:p>
      <w:pPr>
        <w:ind w:left="2592"/>
        <w:spacing w:after="0"/>
        <w:rPr>
          <w:sz w:val="20"/>
          <w:szCs w:val="20"/>
          <w:color w:val="auto"/>
        </w:rPr>
      </w:pPr>
      <w:r>
        <w:rPr>
          <w:rFonts w:ascii="Times New Roman" w:cs="Times New Roman" w:eastAsia="Times New Roman" w:hAnsi="Times New Roman"/>
          <w:sz w:val="20"/>
          <w:szCs w:val="20"/>
          <w:color w:val="auto"/>
        </w:rPr>
        <w:t>San Francisco, CA 94111</w:t>
      </w:r>
    </w:p>
    <w:p>
      <w:pPr>
        <w:ind w:left="2592"/>
        <w:spacing w:after="0"/>
        <w:rPr>
          <w:sz w:val="20"/>
          <w:szCs w:val="20"/>
          <w:color w:val="auto"/>
        </w:rPr>
      </w:pPr>
      <w:r>
        <w:rPr>
          <w:rFonts w:ascii="Times New Roman" w:cs="Times New Roman" w:eastAsia="Times New Roman" w:hAnsi="Times New Roman"/>
          <w:sz w:val="20"/>
          <w:szCs w:val="20"/>
          <w:color w:val="auto"/>
        </w:rPr>
        <w:t>Facsimile: (415) 395-8095</w:t>
      </w:r>
    </w:p>
    <w:p>
      <w:pPr>
        <w:ind w:left="2592"/>
        <w:spacing w:after="0"/>
        <w:rPr>
          <w:sz w:val="20"/>
          <w:szCs w:val="20"/>
          <w:color w:val="auto"/>
        </w:rPr>
      </w:pPr>
      <w:r>
        <w:rPr>
          <w:rFonts w:ascii="Times New Roman" w:cs="Times New Roman" w:eastAsia="Times New Roman" w:hAnsi="Times New Roman"/>
          <w:sz w:val="20"/>
          <w:szCs w:val="20"/>
          <w:color w:val="auto"/>
        </w:rPr>
        <w:t>Telephone: (415) 395-8870</w:t>
      </w:r>
    </w:p>
    <w:p>
      <w:pPr>
        <w:ind w:left="2592"/>
        <w:spacing w:after="0"/>
        <w:rPr>
          <w:sz w:val="20"/>
          <w:szCs w:val="20"/>
          <w:color w:val="auto"/>
        </w:rPr>
      </w:pPr>
      <w:r>
        <w:rPr>
          <w:rFonts w:ascii="Times New Roman" w:cs="Times New Roman" w:eastAsia="Times New Roman" w:hAnsi="Times New Roman"/>
          <w:sz w:val="20"/>
          <w:szCs w:val="20"/>
          <w:color w:val="auto"/>
        </w:rPr>
        <w:t>Email: haim.zaltzman@lw.com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72"/>
          </w:cols>
          <w:pgMar w:left="988" w:top="873" w:right="1039" w:bottom="1440" w:gutter="0" w:footer="0" w:header="0"/>
        </w:sectPr>
      </w:pPr>
    </w:p>
    <w:bookmarkStart w:id="266" w:name="page267"/>
    <w:bookmarkEnd w:id="266"/>
    <w:p>
      <w:pPr>
        <w:ind w:left="1300"/>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2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TG THERAPEUTICS, INC.</w:t>
      </w:r>
    </w:p>
    <w:p>
      <w:pPr>
        <w:spacing w:after="0" w:line="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Attention: Sean Power, Chief Financial Officer</w:t>
      </w:r>
    </w:p>
    <w:p>
      <w:pPr>
        <w:ind w:left="2600"/>
        <w:spacing w:after="0" w:line="184" w:lineRule="auto"/>
        <w:rPr>
          <w:sz w:val="20"/>
          <w:szCs w:val="20"/>
          <w:color w:val="auto"/>
        </w:rPr>
      </w:pPr>
      <w:r>
        <w:rPr>
          <w:rFonts w:ascii="Times New Roman" w:cs="Times New Roman" w:eastAsia="Times New Roman" w:hAnsi="Times New Roman"/>
          <w:sz w:val="18"/>
          <w:szCs w:val="18"/>
          <w:color w:val="auto"/>
        </w:rPr>
        <w:t>2 Gansevoort St., 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ind w:left="2600"/>
        <w:spacing w:after="0"/>
        <w:rPr>
          <w:sz w:val="20"/>
          <w:szCs w:val="20"/>
          <w:color w:val="auto"/>
        </w:rPr>
      </w:pPr>
      <w:r>
        <w:rPr>
          <w:rFonts w:ascii="Times New Roman" w:cs="Times New Roman" w:eastAsia="Times New Roman" w:hAnsi="Times New Roman"/>
          <w:sz w:val="20"/>
          <w:szCs w:val="20"/>
          <w:color w:val="auto"/>
        </w:rPr>
        <w:t>New York, NY 10014</w:t>
      </w:r>
    </w:p>
    <w:p>
      <w:pPr>
        <w:ind w:left="2600"/>
        <w:spacing w:after="0"/>
        <w:rPr>
          <w:sz w:val="20"/>
          <w:szCs w:val="20"/>
          <w:color w:val="auto"/>
        </w:rPr>
      </w:pPr>
      <w:r>
        <w:rPr>
          <w:rFonts w:ascii="Times New Roman" w:cs="Times New Roman" w:eastAsia="Times New Roman" w:hAnsi="Times New Roman"/>
          <w:sz w:val="20"/>
          <w:szCs w:val="20"/>
          <w:color w:val="auto"/>
        </w:rPr>
        <w:t>Telephone: (212)-554-4484</w:t>
      </w:r>
    </w:p>
    <w:p>
      <w:pPr>
        <w:ind w:left="2600"/>
        <w:spacing w:after="0"/>
        <w:rPr>
          <w:sz w:val="20"/>
          <w:szCs w:val="20"/>
          <w:color w:val="auto"/>
        </w:rPr>
      </w:pPr>
      <w:r>
        <w:rPr>
          <w:rFonts w:ascii="Times New Roman" w:cs="Times New Roman" w:eastAsia="Times New Roman" w:hAnsi="Times New Roman"/>
          <w:sz w:val="20"/>
          <w:szCs w:val="20"/>
          <w:color w:val="auto"/>
        </w:rPr>
        <w:t>Email: sp@tgtxinc.com</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or to such other address as each party may designate for itself by like notice.</w:t>
      </w:r>
    </w:p>
    <w:p>
      <w:pPr>
        <w:spacing w:after="0" w:line="216" w:lineRule="exact"/>
        <w:rPr>
          <w:sz w:val="20"/>
          <w:szCs w:val="20"/>
          <w:color w:val="auto"/>
        </w:rPr>
      </w:pPr>
    </w:p>
    <w:p>
      <w:pPr>
        <w:ind w:right="180" w:firstLine="656"/>
        <w:spacing w:after="0" w:line="246" w:lineRule="auto"/>
        <w:tabs>
          <w:tab w:leader="none" w:pos="972"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 Amendments</w:t>
      </w:r>
      <w:r>
        <w:rPr>
          <w:rFonts w:ascii="Times New Roman" w:cs="Times New Roman" w:eastAsia="Times New Roman" w:hAnsi="Times New Roman"/>
          <w:sz w:val="20"/>
          <w:szCs w:val="20"/>
          <w:color w:val="auto"/>
        </w:rPr>
        <w:t>. This Agreement constitutes the entire agreement and understanding of the parties hereto in respect of the subject matter hereof, and supersedes and replaces in their entirety any prior proposals, term sheets, letters, negotiations or other documents or agreements, whether written or oral, with respect to the subject matter hereof. None of the terms of this Agreement may be amended except by an instrument executed by each of the parties hereto.</w:t>
      </w:r>
    </w:p>
    <w:p>
      <w:pPr>
        <w:spacing w:after="0" w:line="184" w:lineRule="exact"/>
        <w:rPr>
          <w:rFonts w:ascii="Times New Roman" w:cs="Times New Roman" w:eastAsia="Times New Roman" w:hAnsi="Times New Roman"/>
          <w:sz w:val="20"/>
          <w:szCs w:val="20"/>
          <w:color w:val="auto"/>
        </w:rPr>
      </w:pPr>
    </w:p>
    <w:p>
      <w:pPr>
        <w:ind w:right="360" w:firstLine="656"/>
        <w:spacing w:after="0" w:line="269" w:lineRule="auto"/>
        <w:tabs>
          <w:tab w:leader="none" w:pos="972"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various headings in this Agreement are inserted for convenience only and shall not affect the meaning or interpretation of this Agreement or any provisions hereof.</w:t>
      </w:r>
    </w:p>
    <w:p>
      <w:pPr>
        <w:spacing w:after="0" w:line="159" w:lineRule="exact"/>
        <w:rPr>
          <w:rFonts w:ascii="Times New Roman" w:cs="Times New Roman" w:eastAsia="Times New Roman" w:hAnsi="Times New Roman"/>
          <w:sz w:val="20"/>
          <w:szCs w:val="20"/>
          <w:color w:val="auto"/>
        </w:rPr>
      </w:pPr>
    </w:p>
    <w:p>
      <w:pPr>
        <w:ind w:firstLine="656"/>
        <w:spacing w:after="0" w:line="254" w:lineRule="auto"/>
        <w:tabs>
          <w:tab w:leader="none" w:pos="972"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Advice of Counsel</w:t>
      </w:r>
      <w:r>
        <w:rPr>
          <w:rFonts w:ascii="Times New Roman" w:cs="Times New Roman" w:eastAsia="Times New Roman" w:hAnsi="Times New Roman"/>
          <w:sz w:val="20"/>
          <w:szCs w:val="20"/>
          <w:color w:val="auto"/>
        </w:rPr>
        <w:t>. Each of the parties represents to each other party hereto that it has discussed (or had an opportunity to discuss) with its counsel this Agreement and, specifically, the provisions of Sections 12(n), 12(o), 12(p), 12(q) and 12(r).</w:t>
      </w:r>
    </w:p>
    <w:p>
      <w:pPr>
        <w:spacing w:after="0" w:line="174" w:lineRule="exact"/>
        <w:rPr>
          <w:rFonts w:ascii="Times New Roman" w:cs="Times New Roman" w:eastAsia="Times New Roman" w:hAnsi="Times New Roman"/>
          <w:sz w:val="20"/>
          <w:szCs w:val="20"/>
          <w:color w:val="auto"/>
        </w:rPr>
      </w:pPr>
    </w:p>
    <w:p>
      <w:pPr>
        <w:ind w:right="200" w:firstLine="656"/>
        <w:spacing w:after="0" w:line="249" w:lineRule="auto"/>
        <w:tabs>
          <w:tab w:leader="none" w:pos="972"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Strict Construction</w:t>
      </w:r>
      <w:r>
        <w:rPr>
          <w:rFonts w:ascii="Times New Roman" w:cs="Times New Roman" w:eastAsia="Times New Roman" w:hAnsi="Times New Roman"/>
          <w:sz w:val="20"/>
          <w:szCs w:val="20"/>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79" w:lineRule="exact"/>
        <w:rPr>
          <w:rFonts w:ascii="Times New Roman" w:cs="Times New Roman" w:eastAsia="Times New Roman" w:hAnsi="Times New Roman"/>
          <w:sz w:val="20"/>
          <w:szCs w:val="20"/>
          <w:color w:val="auto"/>
        </w:rPr>
      </w:pPr>
    </w:p>
    <w:p>
      <w:pPr>
        <w:ind w:firstLine="656"/>
        <w:spacing w:after="0" w:line="249" w:lineRule="auto"/>
        <w:tabs>
          <w:tab w:leader="none" w:pos="972"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Waiver</w:t>
      </w:r>
      <w:r>
        <w:rPr>
          <w:rFonts w:ascii="Times New Roman" w:cs="Times New Roman" w:eastAsia="Times New Roman" w:hAnsi="Times New Roman"/>
          <w:sz w:val="20"/>
          <w:szCs w:val="20"/>
          <w:color w:val="auto"/>
        </w:rPr>
        <w:t>. No omission or delay by the Warrantholder at any time to enforce any right or remedy reserved to it, or to require performance of any of the terms, covenants or provisions hereof by the Company at any time designated, shall be a waiver of any such right or remedy to which the Warrantholder is entitled, nor shall it in any way affect the right of the Warrantholder to enforce such provisions thereafter during the term of this Agreement.</w:t>
      </w:r>
    </w:p>
    <w:p>
      <w:pPr>
        <w:spacing w:after="0" w:line="179" w:lineRule="exact"/>
        <w:rPr>
          <w:rFonts w:ascii="Times New Roman" w:cs="Times New Roman" w:eastAsia="Times New Roman" w:hAnsi="Times New Roman"/>
          <w:sz w:val="20"/>
          <w:szCs w:val="20"/>
          <w:color w:val="auto"/>
        </w:rPr>
      </w:pPr>
    </w:p>
    <w:p>
      <w:pPr>
        <w:ind w:right="300" w:firstLine="656"/>
        <w:spacing w:after="0" w:line="254" w:lineRule="auto"/>
        <w:tabs>
          <w:tab w:leader="none" w:pos="972"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All agreements, representations and warranties contained in this Agreement or in any document delivered pursuant hereto shall be for the benefit of the Warrantholder and shall survive the execution and delivery of this Agreement and the expiration or other termination of this Agreement.</w:t>
      </w:r>
    </w:p>
    <w:p>
      <w:pPr>
        <w:spacing w:after="0" w:line="174" w:lineRule="exact"/>
        <w:rPr>
          <w:rFonts w:ascii="Times New Roman" w:cs="Times New Roman" w:eastAsia="Times New Roman" w:hAnsi="Times New Roman"/>
          <w:sz w:val="20"/>
          <w:szCs w:val="20"/>
          <w:color w:val="auto"/>
        </w:rPr>
      </w:pPr>
    </w:p>
    <w:p>
      <w:pPr>
        <w:ind w:right="40" w:firstLine="656"/>
        <w:spacing w:after="0" w:line="246" w:lineRule="auto"/>
        <w:tabs>
          <w:tab w:leader="none" w:pos="972"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has been negotiated and delivered to the Warrantholder in the State of California, and shall be deemed to have been accepted by the Warrantholder in the State of California. Delivery of Common Stock to the Warrantholder by the Company under this Agreement is due in the State of California. This Agreement shall be governed by, and construed and enforced in accordance with, the laws of the State of California, excluding conflict of laws principles that would cause the application of laws of any other jurisdiction.</w:t>
      </w:r>
    </w:p>
    <w:p>
      <w:pPr>
        <w:spacing w:after="0" w:line="184" w:lineRule="exact"/>
        <w:rPr>
          <w:rFonts w:ascii="Times New Roman" w:cs="Times New Roman" w:eastAsia="Times New Roman" w:hAnsi="Times New Roman"/>
          <w:sz w:val="20"/>
          <w:szCs w:val="20"/>
          <w:color w:val="auto"/>
        </w:rPr>
      </w:pPr>
    </w:p>
    <w:p>
      <w:pPr>
        <w:ind w:right="20" w:firstLine="656"/>
        <w:spacing w:after="0" w:line="243" w:lineRule="auto"/>
        <w:tabs>
          <w:tab w:leader="none" w:pos="972"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 to Jurisdiction and Venue</w:t>
      </w:r>
      <w:r>
        <w:rPr>
          <w:rFonts w:ascii="Times New Roman" w:cs="Times New Roman" w:eastAsia="Times New Roman" w:hAnsi="Times New Roman"/>
          <w:sz w:val="20"/>
          <w:szCs w:val="20"/>
          <w:color w:val="auto"/>
        </w:rPr>
        <w:t>. All judicial proceedings arising in or under or related to this Agreement may be brought in any state or federal court of competent jurisdiction located in the State of California. By execution and delivery of this Agreement, each party hereto generally and unconditionally: (i) consents to personal jurisdiction in Santa Clara County, State of California; (ii) waives any objection as to jurisdiction or venue in Santa Clara County, State of California; (iii) agrees not to assert any defense based on lack of jurisdiction or venue in the aforesaid courts; and (iv) irrevocably agrees to be bound by any judgment rendered thereby in connection with this Agreement. Service of process on any party hereto in any action arising out of or relating to this Agreement shall be effective if given in accordance with the requirements for notice set forth in Section 12(g), and shall be deemed effective and received as set forth in Section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67" w:name="page268"/>
    <w:bookmarkEnd w:id="267"/>
    <w:p>
      <w:pPr>
        <w:ind w:right="160"/>
        <w:spacing w:after="0" w:line="269" w:lineRule="auto"/>
        <w:rPr>
          <w:sz w:val="20"/>
          <w:szCs w:val="20"/>
          <w:color w:val="auto"/>
        </w:rPr>
      </w:pPr>
      <w:r>
        <w:rPr>
          <w:rFonts w:ascii="Times New Roman" w:cs="Times New Roman" w:eastAsia="Times New Roman" w:hAnsi="Times New Roman"/>
          <w:sz w:val="20"/>
          <w:szCs w:val="20"/>
          <w:color w:val="auto"/>
        </w:rPr>
        <w:t>12(g). Nothing herein shall affect the right to serve process in any other manner permitted by law or shall limit the right of either party to bring proceedings in the courts of any other jurisdiction.</w:t>
      </w:r>
    </w:p>
    <w:p>
      <w:pPr>
        <w:spacing w:after="0" w:line="159" w:lineRule="exact"/>
        <w:rPr>
          <w:sz w:val="20"/>
          <w:szCs w:val="20"/>
          <w:color w:val="auto"/>
        </w:rPr>
      </w:pPr>
    </w:p>
    <w:p>
      <w:pPr>
        <w:ind w:right="120" w:firstLine="656"/>
        <w:spacing w:after="0" w:line="242" w:lineRule="auto"/>
        <w:tabs>
          <w:tab w:leader="none" w:pos="972"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Mutual Waiver of Jury Trial</w:t>
      </w:r>
      <w:r>
        <w:rPr>
          <w:rFonts w:ascii="Times New Roman" w:cs="Times New Roman" w:eastAsia="Times New Roman" w:hAnsi="Times New Roman"/>
          <w:sz w:val="20"/>
          <w:szCs w:val="20"/>
          <w:color w:val="auto"/>
        </w:rPr>
        <w:t>. 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arising under or in connection with this Warrant be resolved by a judge applying such applicable laws. EACH OF THE COMPANY AND THE WARRANTHOLDER SPECIFICALLY WAIVES ANY RIGHT IT MAY HAVE TO TRIAL BY JURY OF ANY CAUSE OF ACTION, CLAIM, CROSS-CLAIM, COUNTERCLAIM, THIRD PARTY CLAIM OR ANY OTHER CLAIM (COLLECTIVELY, “CLAIMS”) ASSERTED BY THE COMPANY AGAINST THE WARRANTHOLDER OR ITS ASSIGNEE OR BY THE WARRANTHOLDER OR ITS ASSIGNEE AGAINST THE COMPANY RELATING TO THIS WARRANT. This waiver extends to all such Claims, including Claims that involve persons or entities other the Company and the Warrantholder; Claims that arise out of or are in any way connected to the relationship between the Company and the Warrantholder; and any Claims for damages, breach of contract, specific performance, or any equitable or legal relief of any kind, arising out of this Agreement.</w:t>
      </w:r>
    </w:p>
    <w:p>
      <w:pPr>
        <w:spacing w:after="0" w:line="187" w:lineRule="exact"/>
        <w:rPr>
          <w:rFonts w:ascii="Times New Roman" w:cs="Times New Roman" w:eastAsia="Times New Roman" w:hAnsi="Times New Roman"/>
          <w:sz w:val="20"/>
          <w:szCs w:val="20"/>
          <w:color w:val="auto"/>
        </w:rPr>
      </w:pPr>
    </w:p>
    <w:p>
      <w:pPr>
        <w:ind w:right="100" w:firstLine="656"/>
        <w:spacing w:after="0" w:line="243" w:lineRule="auto"/>
        <w:tabs>
          <w:tab w:leader="none" w:pos="972"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If the Mutual Waiver of Jury Trial set forth in Section 12(p) is ineffective or unenforceable, the parties agree that all Claims shall be submitted to binding arbitration in accordance with the commercial arbitration rules of JAMS (the “Rules”), such arbitration to occur before one arbitrator, which arbitrator shall be a retired California state judge or a retired Federal court judge. Such proceeding shall be conducted in Santa Clara County, State of California, with California rules of evidence and discovery applicable to such arbitration. The decision of the arbitrator shall be binding on the parties, and shall be final and nonappealable to the maximum extent permitted by law. Any judgment rendered by the arbitrator may be entered in a court of competent jurisdiction and enforced by the prevailing party as a final judgment of such court.</w:t>
      </w:r>
    </w:p>
    <w:p>
      <w:pPr>
        <w:spacing w:after="0" w:line="189" w:lineRule="exact"/>
        <w:rPr>
          <w:rFonts w:ascii="Times New Roman" w:cs="Times New Roman" w:eastAsia="Times New Roman" w:hAnsi="Times New Roman"/>
          <w:sz w:val="20"/>
          <w:szCs w:val="20"/>
          <w:color w:val="auto"/>
        </w:rPr>
      </w:pPr>
    </w:p>
    <w:p>
      <w:pPr>
        <w:jc w:val="both"/>
        <w:ind w:right="100" w:firstLine="656"/>
        <w:spacing w:after="0" w:line="249" w:lineRule="auto"/>
        <w:tabs>
          <w:tab w:leader="none" w:pos="972"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Pre-arbitration Relief</w:t>
      </w:r>
      <w:r>
        <w:rPr>
          <w:rFonts w:ascii="Times New Roman" w:cs="Times New Roman" w:eastAsia="Times New Roman" w:hAnsi="Times New Roman"/>
          <w:sz w:val="20"/>
          <w:szCs w:val="20"/>
          <w:color w:val="auto"/>
        </w:rPr>
        <w:t>. In the event Claims are to be resolved by arbitration, either party may seek from a court of competent jurisdiction identified in Section 12(o), any prejudgment order, writ or other relief and have such prejudgment order, writ or other relief enforced to the fullest extent permitted by law notwithstanding that all Claims are otherwise subject to resolution by binding arbitration.</w:t>
      </w:r>
    </w:p>
    <w:p>
      <w:pPr>
        <w:spacing w:after="0" w:line="179" w:lineRule="exact"/>
        <w:rPr>
          <w:rFonts w:ascii="Times New Roman" w:cs="Times New Roman" w:eastAsia="Times New Roman" w:hAnsi="Times New Roman"/>
          <w:sz w:val="20"/>
          <w:szCs w:val="20"/>
          <w:color w:val="auto"/>
        </w:rPr>
      </w:pPr>
    </w:p>
    <w:p>
      <w:pPr>
        <w:ind w:right="80" w:firstLine="656"/>
        <w:spacing w:after="0" w:line="249" w:lineRule="auto"/>
        <w:tabs>
          <w:tab w:leader="none" w:pos="972"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and any amendments, waivers, consents or supplements hereto may be executed in any number of counterparts (including by facsimile or electronic delivery (PDF)), and by different parties hereto in separate counterparts, each of which when so delivered shall be deemed an original, but all of which counterparts shall constitute but one and the same instrument.</w:t>
      </w:r>
    </w:p>
    <w:p>
      <w:pPr>
        <w:spacing w:after="0" w:line="179" w:lineRule="exact"/>
        <w:rPr>
          <w:rFonts w:ascii="Times New Roman" w:cs="Times New Roman" w:eastAsia="Times New Roman" w:hAnsi="Times New Roman"/>
          <w:sz w:val="20"/>
          <w:szCs w:val="20"/>
          <w:color w:val="auto"/>
        </w:rPr>
      </w:pPr>
    </w:p>
    <w:p>
      <w:pPr>
        <w:ind w:right="60" w:firstLine="656"/>
        <w:spacing w:after="0" w:line="244" w:lineRule="auto"/>
        <w:tabs>
          <w:tab w:leader="none" w:pos="972"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The parties hereto hereby declare that it is impossible to measure in money the damages which will accrue to the Warrantholder by reason of the Company’s failure to perform any of the obligations under this Agreement and agree that the terms of this Agreement shall be specifically enforceable by the Warrantholder. If the Warrantholder institutes any action or proceeding to specifically enforce the provisions hereof, any person against whom such action or proceeding is brought hereby waives the claim or defense therein that the Warrantholder has an adequate remedy at law, and such person shall not offer in any such action or proceeding the claim or defense that such remedy at law exists.</w:t>
      </w:r>
    </w:p>
    <w:p>
      <w:pPr>
        <w:spacing w:after="0" w:line="185" w:lineRule="exact"/>
        <w:rPr>
          <w:rFonts w:ascii="Times New Roman" w:cs="Times New Roman" w:eastAsia="Times New Roman" w:hAnsi="Times New Roman"/>
          <w:sz w:val="20"/>
          <w:szCs w:val="20"/>
          <w:color w:val="auto"/>
        </w:rPr>
      </w:pPr>
    </w:p>
    <w:p>
      <w:pPr>
        <w:ind w:firstLine="656"/>
        <w:spacing w:after="0" w:line="263" w:lineRule="auto"/>
        <w:tabs>
          <w:tab w:leader="none" w:pos="972"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Lost, Stolen, Mutilated or Destroyed Warrant</w:t>
      </w:r>
      <w:r>
        <w:rPr>
          <w:rFonts w:ascii="Times New Roman" w:cs="Times New Roman" w:eastAsia="Times New Roman" w:hAnsi="Times New Roman"/>
          <w:sz w:val="19"/>
          <w:szCs w:val="19"/>
          <w:color w:val="auto"/>
        </w:rPr>
        <w:t>. If this Warrant is lost, stolen, mutilated or destroyed, the Company may, on such terms as to indemnity or otherwise as it may reasonably impose (which shall, in the case of a mutilated Warrant, include the surrender thereof), issue a new Warrant of like denomination and tenor as this Warrant so lost, stolen, mutilated or destroyed. Any such new Warrant shall constitute an original contractual obligation of the Company, whether or not the allegedly lost, stolen, mutilated or destroyed Warrant shall be at any time enforceable by anyone.</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3" w:right="1019" w:bottom="1440" w:gutter="0" w:footer="0" w:header="0"/>
        </w:sectPr>
      </w:pPr>
    </w:p>
    <w:bookmarkStart w:id="268" w:name="page269"/>
    <w:bookmarkEnd w:id="268"/>
    <w:p>
      <w:pPr>
        <w:ind w:right="140" w:firstLine="656"/>
        <w:spacing w:after="0" w:line="254" w:lineRule="auto"/>
        <w:tabs>
          <w:tab w:leader="none" w:pos="972"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Legends</w:t>
      </w:r>
      <w:r>
        <w:rPr>
          <w:rFonts w:ascii="Times New Roman" w:cs="Times New Roman" w:eastAsia="Times New Roman" w:hAnsi="Times New Roman"/>
          <w:sz w:val="20"/>
          <w:szCs w:val="20"/>
          <w:color w:val="auto"/>
        </w:rPr>
        <w:t>. To the extent required by applicable laws, this Warrant and the shares of Common Stock issuable hereunder (and the securities issuable, directly or indirectly, upon conversion of such shares of Common Stock, if any) may be imprinted with a restricted securities legend in substantially the following form:</w:t>
      </w:r>
    </w:p>
    <w:p>
      <w:pPr>
        <w:spacing w:after="0" w:line="174"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0"/>
          <w:szCs w:val="20"/>
          <w:color w:val="auto"/>
        </w:rPr>
        <w:t>THIS SECURITY HAS NOT BEEN REGISTERED UNDER THE SECURITIES ACT OF 1933, AS AMENDED (THE “ACT”), OR ANY APPLICABLE STATE SECURITIES LAWS, AND MAY NOT BE SOLD, OFFERED FOR SALE, PLEDGED OR HYPOTHECATED IN THE ABSENCE OF AN EFFECTIVE REGISTRATION RELATED THERETO OR, SUBJECT TO SECTION 11 OF THE WARRANT AGREEMENT DATED MARCH 31, 2023, BETWEEN THE COMPANY AND HERCULES PRIVATE GLOBAL VENTURE GROWTH FUND 1 L.P., AN OPINION OF COUNSEL (WHICH MAY BE COMPANY COUNSEL) REASONABLY SATISFACTORY TO THE COMPANY THAT SUCH REGISTRATION IS NOT REQUIRED UNDER THE ACTOR ANY STATE SECURITIES LAWS.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69" w:name="page270"/>
    <w:bookmarkEnd w:id="269"/>
    <w:p>
      <w:pPr>
        <w:ind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Warrant Agreement to be executed by its officers thereunto duly authorized as of the Effective Date.</w:t>
      </w:r>
    </w:p>
    <w:p>
      <w:pPr>
        <w:spacing w:after="0" w:line="389" w:lineRule="exact"/>
        <w:rPr>
          <w:sz w:val="20"/>
          <w:szCs w:val="20"/>
          <w:color w:val="auto"/>
        </w:rPr>
      </w:pPr>
    </w:p>
    <w:p>
      <w:pPr>
        <w:ind w:left="660"/>
        <w:spacing w:after="0"/>
        <w:tabs>
          <w:tab w:leader="none" w:pos="4960" w:val="left"/>
        </w:tabs>
        <w:rPr>
          <w:sz w:val="20"/>
          <w:szCs w:val="20"/>
          <w:color w:val="auto"/>
        </w:rPr>
      </w:pPr>
      <w:r>
        <w:rPr>
          <w:rFonts w:ascii="Times New Roman" w:cs="Times New Roman" w:eastAsia="Times New Roman" w:hAnsi="Times New Roman"/>
          <w:sz w:val="20"/>
          <w:szCs w:val="20"/>
          <w:color w:val="auto"/>
        </w:rPr>
        <w:t>COMPANY:</w:t>
      </w:r>
      <w:r>
        <w:rPr>
          <w:sz w:val="20"/>
          <w:szCs w:val="20"/>
          <w:color w:val="auto"/>
        </w:rPr>
        <w:tab/>
      </w:r>
      <w:r>
        <w:rPr>
          <w:rFonts w:ascii="Times New Roman" w:cs="Times New Roman" w:eastAsia="Times New Roman" w:hAnsi="Times New Roman"/>
          <w:sz w:val="20"/>
          <w:szCs w:val="20"/>
          <w:color w:val="auto"/>
        </w:rPr>
        <w:t>TG THERAPEUTICS, INC.</w:t>
      </w:r>
    </w:p>
    <w:p>
      <w:pPr>
        <w:spacing w:after="0" w:line="200" w:lineRule="exact"/>
        <w:rPr>
          <w:sz w:val="20"/>
          <w:szCs w:val="20"/>
          <w:color w:val="auto"/>
        </w:rPr>
      </w:pPr>
    </w:p>
    <w:p>
      <w:pPr>
        <w:spacing w:after="0" w:line="25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-144780</wp:posOffset>
            </wp:positionV>
            <wp:extent cx="276034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13335</wp:posOffset>
            </wp:positionV>
            <wp:extent cx="276034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760345" cy="825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-140335</wp:posOffset>
            </wp:positionV>
            <wp:extent cx="276034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1"/>
          <w:szCs w:val="21"/>
          <w:i w:val="1"/>
          <w:iCs w:val="1"/>
          <w:color w:val="auto"/>
        </w:rPr>
        <w:t>[Signature Page to Warrant (TG Therapeutics/Hercules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00"/>
          </w:cols>
          <w:pgMar w:left="980" w:top="873" w:right="1419" w:bottom="1440" w:gutter="0" w:footer="0" w:header="0"/>
        </w:sectPr>
      </w:pPr>
    </w:p>
    <w:bookmarkStart w:id="270" w:name="page271"/>
    <w:bookmarkEnd w:id="270"/>
    <w:tbl>
      <w:tblPr>
        <w:tblLayout w:type="fixed"/>
        <w:tblInd w:w="20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WARRANTHOLDER:</w:t>
            </w:r>
          </w:p>
        </w:tc>
        <w:tc>
          <w:tcPr>
            <w:tcW w:w="6180" w:type="dxa"/>
            <w:vAlign w:val="bottom"/>
            <w:gridSpan w:val="2"/>
          </w:tcPr>
          <w:p>
            <w:pPr>
              <w:ind w:left="1240"/>
              <w:spacing w:after="0"/>
              <w:rPr>
                <w:sz w:val="20"/>
                <w:szCs w:val="20"/>
                <w:color w:val="auto"/>
              </w:rPr>
            </w:pPr>
            <w:r>
              <w:rPr>
                <w:rFonts w:ascii="Times New Roman" w:cs="Times New Roman" w:eastAsia="Times New Roman" w:hAnsi="Times New Roman"/>
                <w:sz w:val="20"/>
                <w:szCs w:val="20"/>
                <w:color w:val="auto"/>
              </w:rPr>
              <w:t>HERCULES PRIVATE GLOBAL VENTURE GROWTH</w:t>
            </w:r>
          </w:p>
        </w:tc>
        <w:tc>
          <w:tcPr>
            <w:tcW w:w="0" w:type="dxa"/>
            <w:vAlign w:val="bottom"/>
          </w:tcPr>
          <w:p>
            <w:pPr>
              <w:spacing w:after="0"/>
              <w:rPr>
                <w:sz w:val="1"/>
                <w:szCs w:val="1"/>
                <w:color w:val="auto"/>
              </w:rPr>
            </w:pPr>
          </w:p>
        </w:tc>
      </w:tr>
      <w:tr>
        <w:trPr>
          <w:trHeight w:val="258"/>
        </w:trPr>
        <w:tc>
          <w:tcPr>
            <w:tcW w:w="3080" w:type="dxa"/>
            <w:vAlign w:val="bottom"/>
          </w:tcPr>
          <w:p>
            <w:pPr>
              <w:spacing w:after="0"/>
              <w:rPr>
                <w:sz w:val="22"/>
                <w:szCs w:val="22"/>
                <w:color w:val="auto"/>
              </w:rPr>
            </w:pPr>
          </w:p>
        </w:tc>
        <w:tc>
          <w:tcPr>
            <w:tcW w:w="6180" w:type="dxa"/>
            <w:vAlign w:val="bottom"/>
            <w:gridSpan w:val="2"/>
          </w:tcPr>
          <w:p>
            <w:pPr>
              <w:ind w:left="1240"/>
              <w:spacing w:after="0"/>
              <w:rPr>
                <w:sz w:val="20"/>
                <w:szCs w:val="20"/>
                <w:color w:val="auto"/>
              </w:rPr>
            </w:pPr>
            <w:r>
              <w:rPr>
                <w:rFonts w:ascii="Times New Roman" w:cs="Times New Roman" w:eastAsia="Times New Roman" w:hAnsi="Times New Roman"/>
                <w:sz w:val="20"/>
                <w:szCs w:val="20"/>
                <w:color w:val="auto"/>
              </w:rPr>
              <w:t>FUND 1 L.P.</w:t>
            </w:r>
          </w:p>
        </w:tc>
        <w:tc>
          <w:tcPr>
            <w:tcW w:w="0" w:type="dxa"/>
            <w:vAlign w:val="bottom"/>
          </w:tcPr>
          <w:p>
            <w:pPr>
              <w:spacing w:after="0"/>
              <w:rPr>
                <w:sz w:val="1"/>
                <w:szCs w:val="1"/>
                <w:color w:val="auto"/>
              </w:rPr>
            </w:pPr>
          </w:p>
        </w:tc>
      </w:tr>
      <w:tr>
        <w:trPr>
          <w:trHeight w:val="430"/>
        </w:trPr>
        <w:tc>
          <w:tcPr>
            <w:tcW w:w="3080" w:type="dxa"/>
            <w:vAlign w:val="bottom"/>
          </w:tcPr>
          <w:p>
            <w:pPr>
              <w:spacing w:after="0"/>
              <w:rPr>
                <w:sz w:val="24"/>
                <w:szCs w:val="24"/>
                <w:color w:val="auto"/>
              </w:rPr>
            </w:pPr>
          </w:p>
        </w:tc>
        <w:tc>
          <w:tcPr>
            <w:tcW w:w="6180" w:type="dxa"/>
            <w:vAlign w:val="bottom"/>
            <w:gridSpan w:val="2"/>
          </w:tcPr>
          <w:p>
            <w:pPr>
              <w:ind w:left="1240"/>
              <w:spacing w:after="0"/>
              <w:rPr>
                <w:sz w:val="20"/>
                <w:szCs w:val="20"/>
                <w:color w:val="auto"/>
              </w:rPr>
            </w:pPr>
            <w:r>
              <w:rPr>
                <w:rFonts w:ascii="Times New Roman" w:cs="Times New Roman" w:eastAsia="Times New Roman" w:hAnsi="Times New Roman"/>
                <w:sz w:val="20"/>
                <w:szCs w:val="20"/>
                <w:color w:val="auto"/>
              </w:rPr>
              <w:t>By: Hercules Private Global Venture Growth</w:t>
            </w:r>
          </w:p>
        </w:tc>
        <w:tc>
          <w:tcPr>
            <w:tcW w:w="0" w:type="dxa"/>
            <w:vAlign w:val="bottom"/>
          </w:tcPr>
          <w:p>
            <w:pPr>
              <w:spacing w:after="0"/>
              <w:rPr>
                <w:sz w:val="1"/>
                <w:szCs w:val="1"/>
                <w:color w:val="auto"/>
              </w:rPr>
            </w:pPr>
          </w:p>
        </w:tc>
      </w:tr>
      <w:tr>
        <w:trPr>
          <w:trHeight w:val="258"/>
        </w:trPr>
        <w:tc>
          <w:tcPr>
            <w:tcW w:w="3080" w:type="dxa"/>
            <w:vAlign w:val="bottom"/>
          </w:tcPr>
          <w:p>
            <w:pPr>
              <w:spacing w:after="0"/>
              <w:rPr>
                <w:sz w:val="22"/>
                <w:szCs w:val="22"/>
                <w:color w:val="auto"/>
              </w:rPr>
            </w:pPr>
          </w:p>
        </w:tc>
        <w:tc>
          <w:tcPr>
            <w:tcW w:w="6180" w:type="dxa"/>
            <w:vAlign w:val="bottom"/>
            <w:gridSpan w:val="2"/>
          </w:tcPr>
          <w:p>
            <w:pPr>
              <w:ind w:left="1240"/>
              <w:spacing w:after="0"/>
              <w:rPr>
                <w:sz w:val="20"/>
                <w:szCs w:val="20"/>
                <w:color w:val="auto"/>
              </w:rPr>
            </w:pPr>
            <w:r>
              <w:rPr>
                <w:rFonts w:ascii="Times New Roman" w:cs="Times New Roman" w:eastAsia="Times New Roman" w:hAnsi="Times New Roman"/>
                <w:sz w:val="20"/>
                <w:szCs w:val="20"/>
                <w:color w:val="auto"/>
              </w:rPr>
              <w:t>Fund GP I LLC, its general partner</w:t>
            </w:r>
          </w:p>
        </w:tc>
        <w:tc>
          <w:tcPr>
            <w:tcW w:w="0" w:type="dxa"/>
            <w:vAlign w:val="bottom"/>
          </w:tcPr>
          <w:p>
            <w:pPr>
              <w:spacing w:after="0"/>
              <w:rPr>
                <w:sz w:val="1"/>
                <w:szCs w:val="1"/>
                <w:color w:val="auto"/>
              </w:rPr>
            </w:pPr>
          </w:p>
        </w:tc>
      </w:tr>
      <w:tr>
        <w:trPr>
          <w:trHeight w:val="459"/>
        </w:trPr>
        <w:tc>
          <w:tcPr>
            <w:tcW w:w="3080" w:type="dxa"/>
            <w:vAlign w:val="bottom"/>
          </w:tcPr>
          <w:p>
            <w:pPr>
              <w:spacing w:after="0"/>
              <w:rPr>
                <w:sz w:val="24"/>
                <w:szCs w:val="24"/>
                <w:color w:val="auto"/>
              </w:rPr>
            </w:pPr>
          </w:p>
        </w:tc>
        <w:tc>
          <w:tcPr>
            <w:tcW w:w="6180" w:type="dxa"/>
            <w:vAlign w:val="bottom"/>
            <w:gridSpan w:val="2"/>
          </w:tcPr>
          <w:p>
            <w:pPr>
              <w:ind w:left="1240"/>
              <w:spacing w:after="0"/>
              <w:rPr>
                <w:sz w:val="20"/>
                <w:szCs w:val="20"/>
                <w:color w:val="auto"/>
              </w:rPr>
            </w:pPr>
            <w:r>
              <w:rPr>
                <w:rFonts w:ascii="Times New Roman" w:cs="Times New Roman" w:eastAsia="Times New Roman" w:hAnsi="Times New Roman"/>
                <w:sz w:val="20"/>
                <w:szCs w:val="20"/>
                <w:color w:val="auto"/>
              </w:rPr>
              <w:t>By: Hercules Adviser LLC, its sole member</w:t>
            </w:r>
          </w:p>
        </w:tc>
        <w:tc>
          <w:tcPr>
            <w:tcW w:w="0" w:type="dxa"/>
            <w:vAlign w:val="bottom"/>
          </w:tcPr>
          <w:p>
            <w:pPr>
              <w:spacing w:after="0"/>
              <w:rPr>
                <w:sz w:val="1"/>
                <w:szCs w:val="1"/>
                <w:color w:val="auto"/>
              </w:rPr>
            </w:pPr>
          </w:p>
        </w:tc>
      </w:tr>
      <w:tr>
        <w:trPr>
          <w:trHeight w:val="430"/>
        </w:trPr>
        <w:tc>
          <w:tcPr>
            <w:tcW w:w="3080" w:type="dxa"/>
            <w:vAlign w:val="bottom"/>
          </w:tcPr>
          <w:p>
            <w:pPr>
              <w:spacing w:after="0"/>
              <w:rPr>
                <w:sz w:val="24"/>
                <w:szCs w:val="24"/>
                <w:color w:val="auto"/>
              </w:rPr>
            </w:pPr>
          </w:p>
        </w:tc>
        <w:tc>
          <w:tcPr>
            <w:tcW w:w="6180" w:type="dxa"/>
            <w:vAlign w:val="bottom"/>
            <w:gridSpan w:val="2"/>
          </w:tcPr>
          <w:p>
            <w:pPr>
              <w:ind w:left="1240"/>
              <w:spacing w:after="0"/>
              <w:rPr>
                <w:sz w:val="20"/>
                <w:szCs w:val="20"/>
                <w:color w:val="auto"/>
              </w:rPr>
            </w:pPr>
            <w:r>
              <w:rPr>
                <w:rFonts w:ascii="Times New Roman" w:cs="Times New Roman" w:eastAsia="Times New Roman" w:hAnsi="Times New Roman"/>
                <w:sz w:val="20"/>
                <w:szCs w:val="20"/>
                <w:color w:val="auto"/>
              </w:rPr>
              <w:t>By:</w:t>
            </w:r>
          </w:p>
        </w:tc>
        <w:tc>
          <w:tcPr>
            <w:tcW w:w="0" w:type="dxa"/>
            <w:vAlign w:val="bottom"/>
          </w:tcPr>
          <w:p>
            <w:pPr>
              <w:spacing w:after="0"/>
              <w:rPr>
                <w:sz w:val="1"/>
                <w:szCs w:val="1"/>
                <w:color w:val="auto"/>
              </w:rPr>
            </w:pPr>
          </w:p>
        </w:tc>
      </w:tr>
      <w:tr>
        <w:trPr>
          <w:trHeight w:val="23"/>
        </w:trPr>
        <w:tc>
          <w:tcPr>
            <w:tcW w:w="3080" w:type="dxa"/>
            <w:vAlign w:val="bottom"/>
          </w:tcPr>
          <w:p>
            <w:pPr>
              <w:spacing w:after="0" w:line="20" w:lineRule="exact"/>
              <w:rPr>
                <w:sz w:val="1"/>
                <w:szCs w:val="1"/>
                <w:color w:val="auto"/>
              </w:rPr>
            </w:pPr>
          </w:p>
        </w:tc>
        <w:tc>
          <w:tcPr>
            <w:tcW w:w="1840" w:type="dxa"/>
            <w:vAlign w:val="bottom"/>
            <w:vMerge w:val="restart"/>
          </w:tcPr>
          <w:p>
            <w:pPr>
              <w:ind w:left="1240"/>
              <w:spacing w:after="0"/>
              <w:rPr>
                <w:sz w:val="20"/>
                <w:szCs w:val="20"/>
                <w:color w:val="auto"/>
              </w:rPr>
            </w:pPr>
            <w:r>
              <w:rPr>
                <w:rFonts w:ascii="Times New Roman" w:cs="Times New Roman" w:eastAsia="Times New Roman" w:hAnsi="Times New Roman"/>
                <w:sz w:val="20"/>
                <w:szCs w:val="20"/>
                <w:color w:val="auto"/>
              </w:rPr>
              <w:t>Name:</w:t>
            </w:r>
          </w:p>
        </w:tc>
        <w:tc>
          <w:tcPr>
            <w:tcW w:w="4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080" w:type="dxa"/>
            <w:vAlign w:val="bottom"/>
          </w:tcPr>
          <w:p>
            <w:pPr>
              <w:spacing w:after="0"/>
              <w:rPr>
                <w:sz w:val="17"/>
                <w:szCs w:val="17"/>
                <w:color w:val="auto"/>
              </w:rPr>
            </w:pPr>
          </w:p>
        </w:tc>
        <w:tc>
          <w:tcPr>
            <w:tcW w:w="1840" w:type="dxa"/>
            <w:vAlign w:val="bottom"/>
            <w:vMerge w:val="continue"/>
          </w:tcPr>
          <w:p>
            <w:pPr>
              <w:spacing w:after="0"/>
              <w:rPr>
                <w:sz w:val="17"/>
                <w:szCs w:val="17"/>
                <w:color w:val="auto"/>
              </w:rPr>
            </w:pPr>
          </w:p>
        </w:tc>
        <w:tc>
          <w:tcPr>
            <w:tcW w:w="43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Jennifer Choe</w:t>
            </w:r>
          </w:p>
        </w:tc>
        <w:tc>
          <w:tcPr>
            <w:tcW w:w="0" w:type="dxa"/>
            <w:vAlign w:val="bottom"/>
          </w:tcPr>
          <w:p>
            <w:pPr>
              <w:spacing w:after="0"/>
              <w:rPr>
                <w:sz w:val="1"/>
                <w:szCs w:val="1"/>
                <w:color w:val="auto"/>
              </w:rPr>
            </w:pPr>
          </w:p>
        </w:tc>
      </w:tr>
      <w:tr>
        <w:trPr>
          <w:trHeight w:val="258"/>
        </w:trPr>
        <w:tc>
          <w:tcPr>
            <w:tcW w:w="3080" w:type="dxa"/>
            <w:vAlign w:val="bottom"/>
          </w:tcPr>
          <w:p>
            <w:pPr>
              <w:spacing w:after="0"/>
              <w:rPr>
                <w:sz w:val="22"/>
                <w:szCs w:val="22"/>
                <w:color w:val="auto"/>
              </w:rPr>
            </w:pPr>
          </w:p>
        </w:tc>
        <w:tc>
          <w:tcPr>
            <w:tcW w:w="6180" w:type="dxa"/>
            <w:vAlign w:val="bottom"/>
            <w:gridSpan w:val="2"/>
          </w:tcPr>
          <w:p>
            <w:pPr>
              <w:ind w:left="1240"/>
              <w:spacing w:after="0"/>
              <w:rPr>
                <w:sz w:val="20"/>
                <w:szCs w:val="20"/>
                <w:color w:val="auto"/>
              </w:rPr>
            </w:pPr>
            <w:r>
              <w:rPr>
                <w:rFonts w:ascii="Times New Roman" w:cs="Times New Roman" w:eastAsia="Times New Roman" w:hAnsi="Times New Roman"/>
                <w:sz w:val="20"/>
                <w:szCs w:val="20"/>
                <w:color w:val="auto"/>
              </w:rPr>
              <w:t>Title:  Authorized Signatory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1"/>
          <w:szCs w:val="21"/>
          <w:i w:val="1"/>
          <w:iCs w:val="1"/>
          <w:color w:val="auto"/>
        </w:rPr>
        <w:t>[Signature Page to Warrant (TG Therapeutics/Hercules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15" w:right="999" w:bottom="1440" w:gutter="0" w:footer="0" w:header="0"/>
        </w:sectPr>
      </w:pPr>
    </w:p>
    <w:bookmarkStart w:id="271" w:name="page272"/>
    <w:bookmarkEnd w:id="271"/>
    <w:p>
      <w:pPr>
        <w:jc w:val="center"/>
        <w:ind w:right="-99"/>
        <w:spacing w:after="0"/>
        <w:rPr>
          <w:sz w:val="20"/>
          <w:szCs w:val="20"/>
          <w:color w:val="auto"/>
        </w:rPr>
      </w:pPr>
      <w:r>
        <w:rPr>
          <w:rFonts w:ascii="Times New Roman" w:cs="Times New Roman" w:eastAsia="Times New Roman" w:hAnsi="Times New Roman"/>
          <w:sz w:val="20"/>
          <w:szCs w:val="20"/>
          <w:color w:val="auto"/>
        </w:rPr>
        <w:t>EXHIBIT I</w:t>
      </w: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EXHIBIT II</w:t>
      </w: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EXHIBIT III</w:t>
      </w: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TRANSFER NOTICE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(To transfer or assign the foregoing Agreement execute this form and supply required information. Do not use this form to purchase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VALUE RECEIVED, the foregoing Agreement and all rights evidenced thereby are hereby transferred and assigned to</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Print)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whose address is___________________________________________________</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w:t>
      </w:r>
    </w:p>
    <w:p>
      <w:pPr>
        <w:spacing w:after="0" w:line="2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Dated: ____________________________________</w:t>
      </w:r>
    </w:p>
    <w:p>
      <w:pPr>
        <w:sectPr>
          <w:pgSz w:w="11900" w:h="16838" w:orient="portrait"/>
          <w:cols w:equalWidth="0" w:num="1">
            <w:col w:w="9840"/>
          </w:cols>
          <w:pgMar w:left="980" w:top="873" w:right="1079" w:bottom="1440" w:gutter="0" w:footer="0" w:header="0"/>
        </w:sectPr>
      </w:pPr>
    </w:p>
    <w:p>
      <w:pPr>
        <w:spacing w:after="0" w:line="2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Holder’s Signature:</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w:t>
      </w:r>
    </w:p>
    <w:p>
      <w:pPr>
        <w:spacing w:after="0" w:line="200" w:lineRule="exact"/>
        <w:rPr>
          <w:sz w:val="20"/>
          <w:szCs w:val="20"/>
          <w:color w:val="auto"/>
        </w:rPr>
      </w:pPr>
    </w:p>
    <w:p>
      <w:pPr>
        <w:sectPr>
          <w:pgSz w:w="11900" w:h="16838" w:orient="portrait"/>
          <w:cols w:equalWidth="0" w:num="2">
            <w:col w:w="2860" w:space="380"/>
            <w:col w:w="6600"/>
          </w:cols>
          <w:pgMar w:left="980" w:top="873" w:right="1079" w:bottom="1440" w:gutter="0" w:footer="0" w:header="0"/>
          <w:type w:val="continuous"/>
        </w:sectPr>
      </w:pP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Holder’s Address: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w:t>
      </w:r>
    </w:p>
    <w:p>
      <w:pPr>
        <w:spacing w:after="0" w:line="200" w:lineRule="exact"/>
        <w:rPr>
          <w:sz w:val="20"/>
          <w:szCs w:val="20"/>
          <w:color w:val="auto"/>
        </w:rPr>
      </w:pPr>
    </w:p>
    <w:p>
      <w:pPr>
        <w:sectPr>
          <w:pgSz w:w="11900" w:h="16838" w:orient="portrait"/>
          <w:cols w:equalWidth="0" w:num="2">
            <w:col w:w="2740" w:space="500"/>
            <w:col w:w="6600"/>
          </w:cols>
          <w:pgMar w:left="980" w:top="873" w:right="1079" w:bottom="1440" w:gutter="0" w:footer="0" w:header="0"/>
          <w:type w:val="continuous"/>
        </w:sectPr>
      </w:pPr>
    </w:p>
    <w:p>
      <w:pPr>
        <w:spacing w:after="0" w:line="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_____________________________________________________</w:t>
      </w:r>
    </w:p>
    <w:p>
      <w:pPr>
        <w:spacing w:after="0" w:line="28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0"/>
          <w:szCs w:val="20"/>
          <w:color w:val="auto"/>
        </w:rPr>
        <w:t>Signature Guaranteed:</w:t>
      </w:r>
      <w:r>
        <w:rPr>
          <w:sz w:val="20"/>
          <w:szCs w:val="20"/>
          <w:color w:val="auto"/>
        </w:rPr>
        <w:tab/>
      </w:r>
      <w:r>
        <w:rPr>
          <w:rFonts w:ascii="Times New Roman" w:cs="Times New Roman" w:eastAsia="Times New Roman" w:hAnsi="Times New Roman"/>
          <w:sz w:val="19"/>
          <w:szCs w:val="19"/>
          <w:color w:val="auto"/>
        </w:rPr>
        <w:t>____________________________________________</w:t>
      </w:r>
    </w:p>
    <w:p>
      <w:pPr>
        <w:spacing w:after="0" w:line="200" w:lineRule="exact"/>
        <w:rPr>
          <w:sz w:val="20"/>
          <w:szCs w:val="20"/>
          <w:color w:val="auto"/>
        </w:rPr>
      </w:pPr>
    </w:p>
    <w:p>
      <w:pPr>
        <w:spacing w:after="0" w:line="245" w:lineRule="exact"/>
        <w:rPr>
          <w:sz w:val="20"/>
          <w:szCs w:val="20"/>
          <w:color w:val="auto"/>
        </w:rPr>
      </w:pPr>
    </w:p>
    <w:p>
      <w:pPr>
        <w:jc w:val="both"/>
        <w:ind w:right="560" w:firstLine="648"/>
        <w:spacing w:after="0" w:line="274" w:lineRule="auto"/>
        <w:rPr>
          <w:sz w:val="20"/>
          <w:szCs w:val="20"/>
          <w:color w:val="auto"/>
        </w:rPr>
      </w:pPr>
      <w:r>
        <w:rPr>
          <w:rFonts w:ascii="Times New Roman" w:cs="Times New Roman" w:eastAsia="Times New Roman" w:hAnsi="Times New Roman"/>
          <w:sz w:val="19"/>
          <w:szCs w:val="19"/>
          <w:color w:val="auto"/>
        </w:rPr>
        <w:t>NOTE: The signature to this Transfer Notice must correspond with the name as it appears on the face of the Agreement, without alteration or enlargement or any change whatever. Officers of corporations and those acting in a fiduciary or other representative capacity should file proper evidence of authority to assign the foregoing Agreement.</w:t>
      </w: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873" w:right="1079" w:bottom="1440" w:gutter="0" w:footer="0" w:header="0"/>
          <w:type w:val="continuous"/>
        </w:sectPr>
      </w:pPr>
    </w:p>
    <w:bookmarkStart w:id="272" w:name="page273"/>
    <w:bookmarkEnd w:id="27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Michael S. Weiss, certify that:</w:t>
      </w:r>
    </w:p>
    <w:p>
      <w:pPr>
        <w:spacing w:after="0" w:line="225" w:lineRule="exact"/>
        <w:rPr>
          <w:sz w:val="20"/>
          <w:szCs w:val="20"/>
          <w:color w:val="auto"/>
        </w:rPr>
      </w:pPr>
    </w:p>
    <w:p>
      <w:pPr>
        <w:ind w:left="380" w:hanging="330"/>
        <w:spacing w:after="0"/>
        <w:tabs>
          <w:tab w:leader="none" w:pos="3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TG Therapeutics, Inc.;</w:t>
      </w:r>
    </w:p>
    <w:p>
      <w:pPr>
        <w:spacing w:after="0" w:line="225"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80" w:right="339" w:hanging="330"/>
        <w:spacing w:after="0" w:line="266" w:lineRule="auto"/>
        <w:tabs>
          <w:tab w:leader="none" w:pos="3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00" w:right="359" w:hanging="326"/>
        <w:spacing w:after="0" w:line="261" w:lineRule="auto"/>
        <w:tabs>
          <w:tab w:leader="none" w:pos="70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700" w:right="139" w:hanging="326"/>
        <w:spacing w:after="0" w:line="261" w:lineRule="auto"/>
        <w:tabs>
          <w:tab w:leader="none" w:pos="70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700" w:right="199" w:hanging="326"/>
        <w:spacing w:after="0" w:line="266" w:lineRule="auto"/>
        <w:tabs>
          <w:tab w:leader="none" w:pos="70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26"/>
        <w:spacing w:after="0" w:line="261" w:lineRule="auto"/>
        <w:tabs>
          <w:tab w:leader="none" w:pos="70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80" w:right="119" w:hanging="330"/>
        <w:spacing w:after="0" w:line="266" w:lineRule="auto"/>
        <w:tabs>
          <w:tab w:leader="none" w:pos="3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39" w:hanging="326"/>
        <w:spacing w:after="0" w:line="266" w:lineRule="auto"/>
        <w:tabs>
          <w:tab w:leader="none" w:pos="70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700" w:right="239" w:hanging="326"/>
        <w:spacing w:after="0" w:line="282" w:lineRule="auto"/>
        <w:tabs>
          <w:tab w:leader="none" w:pos="70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2023</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 Weiss</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S. Weiss</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r>
      <w:tr>
        <w:trPr>
          <w:trHeight w:val="993"/>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73" w:name="page274"/>
    <w:bookmarkEnd w:id="27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Sean A. Power, certify that:</w:t>
      </w:r>
    </w:p>
    <w:p>
      <w:pPr>
        <w:spacing w:after="0" w:line="225" w:lineRule="exact"/>
        <w:rPr>
          <w:sz w:val="20"/>
          <w:szCs w:val="20"/>
          <w:color w:val="auto"/>
        </w:rPr>
      </w:pPr>
    </w:p>
    <w:p>
      <w:pPr>
        <w:ind w:left="380" w:hanging="330"/>
        <w:spacing w:after="0"/>
        <w:tabs>
          <w:tab w:leader="none" w:pos="3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TG Therapeutics, Inc.;</w:t>
      </w:r>
    </w:p>
    <w:p>
      <w:pPr>
        <w:spacing w:after="0" w:line="225"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80" w:right="339" w:hanging="330"/>
        <w:spacing w:after="0" w:line="266" w:lineRule="auto"/>
        <w:tabs>
          <w:tab w:leader="none" w:pos="3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00" w:right="359" w:hanging="326"/>
        <w:spacing w:after="0" w:line="261" w:lineRule="auto"/>
        <w:tabs>
          <w:tab w:leader="none" w:pos="70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700" w:right="139" w:hanging="326"/>
        <w:spacing w:after="0" w:line="261" w:lineRule="auto"/>
        <w:tabs>
          <w:tab w:leader="none" w:pos="70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700" w:right="199" w:hanging="326"/>
        <w:spacing w:after="0" w:line="266" w:lineRule="auto"/>
        <w:tabs>
          <w:tab w:leader="none" w:pos="70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26"/>
        <w:spacing w:after="0" w:line="261" w:lineRule="auto"/>
        <w:tabs>
          <w:tab w:leader="none" w:pos="70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80" w:right="119" w:hanging="330"/>
        <w:spacing w:after="0" w:line="266" w:lineRule="auto"/>
        <w:tabs>
          <w:tab w:leader="none" w:pos="3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39" w:hanging="326"/>
        <w:spacing w:after="0" w:line="266" w:lineRule="auto"/>
        <w:tabs>
          <w:tab w:leader="none" w:pos="70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700" w:right="239" w:hanging="326"/>
        <w:spacing w:after="0" w:line="282" w:lineRule="auto"/>
        <w:tabs>
          <w:tab w:leader="none" w:pos="70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2023</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A. Power</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Sean A. Power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74" w:name="page275"/>
    <w:bookmarkEnd w:id="274"/>
    <w:p>
      <w:pPr>
        <w:ind w:left="802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 OF CHIEF EXECUTIVE OFFICER 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TG Therapeutics, Inc. (the “Company”) on Form 10-Q for the period ended March 31, 2023 as filed with the Securities and Exchange Commission (the “Report”), I, Michael S. Weiss, Chairman, Chief Executive Officer and President of the Company, certify, pursuant to 18 U.S.C. §1350, as adopted pursuant to §906 of the Sarbanes-Oxley Act of 2002, that, based on my knowledge:</w:t>
      </w:r>
    </w:p>
    <w:p>
      <w:pPr>
        <w:spacing w:after="0" w:line="180" w:lineRule="exact"/>
        <w:rPr>
          <w:sz w:val="20"/>
          <w:szCs w:val="20"/>
          <w:color w:val="auto"/>
        </w:rPr>
      </w:pPr>
    </w:p>
    <w:p>
      <w:pPr>
        <w:ind w:left="700" w:right="519" w:hanging="326"/>
        <w:spacing w:after="0" w:line="282" w:lineRule="auto"/>
        <w:tabs>
          <w:tab w:leader="none" w:pos="7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700" w:right="99" w:hanging="326"/>
        <w:spacing w:after="0" w:line="282" w:lineRule="auto"/>
        <w:tabs>
          <w:tab w:leader="none" w:pos="7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2023</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 Weiss</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S. Weiss</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r>
      <w:tr>
        <w:trPr>
          <w:trHeight w:val="993"/>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75" w:name="page276"/>
    <w:bookmarkEnd w:id="275"/>
    <w:p>
      <w:pPr>
        <w:ind w:left="802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 OF CHIEF FINANCIAL OFFICER 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TG Therapeutics, Inc. (the “Company”) on Form 10-Q for the period ended March 31, 2023 as filed with the Securities and Exchange Commission (the “Report”), I, Sean A. Power, Chief Financial Officer of the Company, certify, pursuant to 18 U.S.C. §1350, as adopted pursuant to §906 of the Sarbanes-Oxley Act of 2002, that, based on my knowledge:</w:t>
      </w:r>
    </w:p>
    <w:p>
      <w:pPr>
        <w:spacing w:after="0" w:line="180" w:lineRule="exact"/>
        <w:rPr>
          <w:sz w:val="20"/>
          <w:szCs w:val="20"/>
          <w:color w:val="auto"/>
        </w:rPr>
      </w:pPr>
    </w:p>
    <w:p>
      <w:pPr>
        <w:ind w:left="700" w:right="519" w:hanging="326"/>
        <w:spacing w:after="0" w:line="282" w:lineRule="auto"/>
        <w:tabs>
          <w:tab w:leader="none" w:pos="7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700" w:right="99" w:hanging="326"/>
        <w:spacing w:after="0" w:line="282" w:lineRule="auto"/>
        <w:tabs>
          <w:tab w:leader="none" w:pos="7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2023</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A. Power</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Sean A. Power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10FE21"/>
    <w:multiLevelType w:val="hybridMultilevel"/>
    <w:lvl w:ilvl="0">
      <w:lvlJc w:val="left"/>
      <w:lvlText w:val="☒"/>
      <w:numFmt w:val="bullet"/>
      <w:start w:val="1"/>
    </w:lvl>
  </w:abstractNum>
  <w:abstractNum w:abstractNumId="1">
    <w:nsid w:val="E7FFA2B"/>
    <w:multiLevelType w:val="hybridMultilevel"/>
    <w:lvl w:ilvl="0">
      <w:lvlJc w:val="left"/>
      <w:lvlText w:val="☐"/>
      <w:numFmt w:val="bullet"/>
      <w:start w:val="1"/>
    </w:lvl>
  </w:abstractNum>
  <w:abstractNum w:abstractNumId="2">
    <w:nsid w:val="3C5991AA"/>
    <w:multiLevelType w:val="hybridMultilevel"/>
    <w:lvl w:ilvl="0">
      <w:lvlJc w:val="left"/>
      <w:lvlText w:val="☒"/>
      <w:numFmt w:val="bullet"/>
      <w:start w:val="1"/>
    </w:lvl>
  </w:abstractNum>
  <w:abstractNum w:abstractNumId="3">
    <w:nsid w:val="4BD8591A"/>
    <w:multiLevelType w:val="hybridMultilevel"/>
    <w:lvl w:ilvl="0">
      <w:lvlJc w:val="left"/>
      <w:lvlText w:val="●"/>
      <w:numFmt w:val="bullet"/>
      <w:start w:val="1"/>
    </w:lvl>
  </w:abstractNum>
  <w:abstractNum w:abstractNumId="4">
    <w:nsid w:val="78DF6A55"/>
    <w:multiLevelType w:val="hybridMultilevel"/>
    <w:lvl w:ilvl="0">
      <w:lvlJc w:val="left"/>
      <w:lvlText w:val="●"/>
      <w:numFmt w:val="bullet"/>
      <w:start w:val="1"/>
    </w:lvl>
  </w:abstractNum>
  <w:abstractNum w:abstractNumId="5">
    <w:nsid w:val="39B7AAA2"/>
    <w:multiLevelType w:val="hybridMultilevel"/>
    <w:lvl w:ilvl="0">
      <w:lvlJc w:val="left"/>
      <w:lvlText w:val="●"/>
      <w:numFmt w:val="bullet"/>
      <w:start w:val="1"/>
    </w:lvl>
  </w:abstractNum>
  <w:abstractNum w:abstractNumId="6">
    <w:nsid w:val="2B0D8DBE"/>
    <w:multiLevelType w:val="hybridMultilevel"/>
    <w:lvl w:ilvl="0">
      <w:lvlJc w:val="left"/>
      <w:lvlText w:val="●"/>
      <w:numFmt w:val="bullet"/>
      <w:start w:val="1"/>
    </w:lvl>
  </w:abstractNum>
  <w:abstractNum w:abstractNumId="7">
    <w:nsid w:val="6C80EC70"/>
    <w:multiLevelType w:val="hybridMultilevel"/>
    <w:lvl w:ilvl="0">
      <w:lvlJc w:val="left"/>
      <w:lvlText w:val="●"/>
      <w:numFmt w:val="bullet"/>
      <w:start w:val="1"/>
    </w:lvl>
  </w:abstractNum>
  <w:abstractNum w:abstractNumId="8">
    <w:nsid w:val="379E21B5"/>
    <w:multiLevelType w:val="hybridMultilevel"/>
    <w:lvl w:ilvl="0">
      <w:lvlJc w:val="left"/>
      <w:lvlText w:val="●"/>
      <w:numFmt w:val="bullet"/>
      <w:start w:val="1"/>
    </w:lvl>
  </w:abstractNum>
  <w:abstractNum w:abstractNumId="9">
    <w:nsid w:val="69E373"/>
    <w:multiLevelType w:val="hybridMultilevel"/>
    <w:lvl w:ilvl="0">
      <w:lvlJc w:val="left"/>
      <w:lvlText w:val="●"/>
      <w:numFmt w:val="bullet"/>
      <w:start w:val="1"/>
    </w:lvl>
  </w:abstractNum>
  <w:abstractNum w:abstractNumId="10">
    <w:nsid w:val="2C27173B"/>
    <w:multiLevelType w:val="hybridMultilevel"/>
    <w:lvl w:ilvl="0">
      <w:lvlJc w:val="left"/>
      <w:lvlText w:val="●"/>
      <w:numFmt w:val="bullet"/>
      <w:start w:val="1"/>
    </w:lvl>
  </w:abstractNum>
  <w:abstractNum w:abstractNumId="11">
    <w:nsid w:val="4C9B0904"/>
    <w:multiLevelType w:val="hybridMultilevel"/>
    <w:lvl w:ilvl="0">
      <w:lvlJc w:val="left"/>
      <w:lvlText w:val="●"/>
      <w:numFmt w:val="bullet"/>
      <w:start w:val="1"/>
    </w:lvl>
  </w:abstractNum>
  <w:abstractNum w:abstractNumId="12">
    <w:nsid w:val="6AA7B75C"/>
    <w:multiLevelType w:val="hybridMultilevel"/>
    <w:lvl w:ilvl="0">
      <w:lvlJc w:val="left"/>
      <w:lvlText w:val="●"/>
      <w:numFmt w:val="bullet"/>
      <w:start w:val="1"/>
    </w:lvl>
  </w:abstractNum>
  <w:abstractNum w:abstractNumId="13">
    <w:nsid w:val="1DF029D3"/>
    <w:multiLevelType w:val="hybridMultilevel"/>
    <w:lvl w:ilvl="0">
      <w:lvlJc w:val="left"/>
      <w:lvlText w:val="●"/>
      <w:numFmt w:val="bullet"/>
      <w:start w:val="1"/>
    </w:lvl>
  </w:abstractNum>
  <w:abstractNum w:abstractNumId="14">
    <w:nsid w:val="5675FF36"/>
    <w:multiLevelType w:val="hybridMultilevel"/>
    <w:lvl w:ilvl="0">
      <w:lvlJc w:val="left"/>
      <w:lvlText w:val="(*)"/>
      <w:numFmt w:val="bullet"/>
      <w:start w:val="1"/>
    </w:lvl>
  </w:abstractNum>
  <w:abstractNum w:abstractNumId="15">
    <w:nsid w:val="3DD15094"/>
    <w:multiLevelType w:val="hybridMultilevel"/>
    <w:lvl w:ilvl="0">
      <w:lvlJc w:val="left"/>
      <w:lvlText w:val="(%1)"/>
      <w:numFmt w:val="lowerRoman"/>
      <w:start w:val="2"/>
    </w:lvl>
  </w:abstractNum>
  <w:abstractNum w:abstractNumId="16">
    <w:nsid w:val="3DB012B3"/>
    <w:multiLevelType w:val="hybridMultilevel"/>
    <w:lvl w:ilvl="0">
      <w:lvlJc w:val="left"/>
      <w:lvlText w:val="●"/>
      <w:numFmt w:val="bullet"/>
      <w:start w:val="1"/>
    </w:lvl>
  </w:abstractNum>
  <w:abstractNum w:abstractNumId="17">
    <w:nsid w:val="2708C9AF"/>
    <w:multiLevelType w:val="hybridMultilevel"/>
    <w:lvl w:ilvl="0">
      <w:lvlJc w:val="left"/>
      <w:lvlText w:val="●"/>
      <w:numFmt w:val="bullet"/>
      <w:start w:val="1"/>
    </w:lvl>
  </w:abstractNum>
  <w:abstractNum w:abstractNumId="18">
    <w:nsid w:val="5B25ACE2"/>
    <w:multiLevelType w:val="hybridMultilevel"/>
    <w:lvl w:ilvl="0">
      <w:lvlJc w:val="left"/>
      <w:lvlText w:val="●"/>
      <w:numFmt w:val="bullet"/>
      <w:start w:val="1"/>
    </w:lvl>
  </w:abstractNum>
  <w:abstractNum w:abstractNumId="19">
    <w:nsid w:val="175DFCF0"/>
    <w:multiLevelType w:val="hybridMultilevel"/>
    <w:lvl w:ilvl="0">
      <w:lvlJc w:val="left"/>
      <w:lvlText w:val="●"/>
      <w:numFmt w:val="bullet"/>
      <w:start w:val="1"/>
    </w:lvl>
  </w:abstractNum>
  <w:abstractNum w:abstractNumId="20">
    <w:nsid w:val="4F97E3E4"/>
    <w:multiLevelType w:val="hybridMultilevel"/>
    <w:lvl w:ilvl="0">
      <w:lvlJc w:val="left"/>
      <w:lvlText w:val="●"/>
      <w:numFmt w:val="bullet"/>
      <w:start w:val="1"/>
    </w:lvl>
  </w:abstractNum>
  <w:abstractNum w:abstractNumId="21">
    <w:nsid w:val="53B0A9E"/>
    <w:multiLevelType w:val="hybridMultilevel"/>
    <w:lvl w:ilvl="0">
      <w:lvlJc w:val="left"/>
      <w:lvlText w:val="●"/>
      <w:numFmt w:val="bullet"/>
      <w:start w:val="1"/>
    </w:lvl>
  </w:abstractNum>
  <w:abstractNum w:abstractNumId="22">
    <w:nsid w:val="34FD6B4F"/>
    <w:multiLevelType w:val="hybridMultilevel"/>
    <w:lvl w:ilvl="0">
      <w:lvlJc w:val="left"/>
      <w:lvlText w:val="●"/>
      <w:numFmt w:val="bullet"/>
      <w:start w:val="1"/>
    </w:lvl>
  </w:abstractNum>
  <w:abstractNum w:abstractNumId="23">
    <w:nsid w:val="5915FF32"/>
    <w:multiLevelType w:val="hybridMultilevel"/>
    <w:lvl w:ilvl="0">
      <w:lvlJc w:val="left"/>
      <w:lvlText w:val="●"/>
      <w:numFmt w:val="bullet"/>
      <w:start w:val="1"/>
    </w:lvl>
  </w:abstractNum>
  <w:abstractNum w:abstractNumId="24">
    <w:nsid w:val="56438D15"/>
    <w:multiLevelType w:val="hybridMultilevel"/>
    <w:lvl w:ilvl="0">
      <w:lvlJc w:val="left"/>
      <w:lvlText w:val="●"/>
      <w:numFmt w:val="bullet"/>
      <w:start w:val="1"/>
    </w:lvl>
  </w:abstractNum>
  <w:abstractNum w:abstractNumId="25">
    <w:nsid w:val="519E3149"/>
    <w:multiLevelType w:val="hybridMultilevel"/>
    <w:lvl w:ilvl="0">
      <w:lvlJc w:val="left"/>
      <w:lvlText w:val="●"/>
      <w:numFmt w:val="bullet"/>
      <w:start w:val="1"/>
    </w:lvl>
  </w:abstractNum>
  <w:abstractNum w:abstractNumId="26">
    <w:nsid w:val="2C6E4AFD"/>
    <w:multiLevelType w:val="hybridMultilevel"/>
    <w:lvl w:ilvl="0">
      <w:lvlJc w:val="left"/>
      <w:lvlText w:val="●"/>
      <w:numFmt w:val="bullet"/>
      <w:start w:val="1"/>
    </w:lvl>
  </w:abstractNum>
  <w:abstractNum w:abstractNumId="27">
    <w:nsid w:val="17A1B582"/>
    <w:multiLevelType w:val="hybridMultilevel"/>
    <w:lvl w:ilvl="0">
      <w:lvlJc w:val="left"/>
      <w:lvlText w:val="●"/>
      <w:numFmt w:val="bullet"/>
      <w:start w:val="1"/>
    </w:lvl>
  </w:abstractNum>
  <w:abstractNum w:abstractNumId="28">
    <w:nsid w:val="4DF72E4E"/>
    <w:multiLevelType w:val="hybridMultilevel"/>
    <w:lvl w:ilvl="0">
      <w:lvlJc w:val="left"/>
      <w:lvlText w:val="●"/>
      <w:numFmt w:val="bullet"/>
      <w:start w:val="1"/>
    </w:lvl>
  </w:abstractNum>
  <w:abstractNum w:abstractNumId="29">
    <w:nsid w:val="5046B5A9"/>
    <w:multiLevelType w:val="hybridMultilevel"/>
    <w:lvl w:ilvl="0">
      <w:lvlJc w:val="left"/>
      <w:lvlText w:val="●"/>
      <w:numFmt w:val="bullet"/>
      <w:start w:val="1"/>
    </w:lvl>
  </w:abstractNum>
  <w:abstractNum w:abstractNumId="30">
    <w:nsid w:val="5D888A08"/>
    <w:multiLevelType w:val="hybridMultilevel"/>
    <w:lvl w:ilvl="0">
      <w:lvlJc w:val="left"/>
      <w:lvlText w:val="●"/>
      <w:numFmt w:val="bullet"/>
      <w:start w:val="1"/>
    </w:lvl>
  </w:abstractNum>
  <w:abstractNum w:abstractNumId="31">
    <w:nsid w:val="2A082C70"/>
    <w:multiLevelType w:val="hybridMultilevel"/>
    <w:lvl w:ilvl="0">
      <w:lvlJc w:val="left"/>
      <w:lvlText w:val="●"/>
      <w:numFmt w:val="bullet"/>
      <w:start w:val="1"/>
    </w:lvl>
  </w:abstractNum>
  <w:abstractNum w:abstractNumId="32">
    <w:nsid w:val="5EC6AFD4"/>
    <w:multiLevelType w:val="hybridMultilevel"/>
    <w:lvl w:ilvl="0">
      <w:lvlJc w:val="left"/>
      <w:lvlText w:val="●"/>
      <w:numFmt w:val="bullet"/>
      <w:start w:val="1"/>
    </w:lvl>
  </w:abstractNum>
  <w:abstractNum w:abstractNumId="33">
    <w:nsid w:val="19E21BB2"/>
    <w:multiLevelType w:val="hybridMultilevel"/>
    <w:lvl w:ilvl="0">
      <w:lvlJc w:val="left"/>
      <w:lvlText w:val="●"/>
      <w:numFmt w:val="bullet"/>
      <w:start w:val="1"/>
    </w:lvl>
  </w:abstractNum>
  <w:abstractNum w:abstractNumId="34">
    <w:nsid w:val="75E0858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5">
    <w:nsid w:val="57A61A29"/>
    <w:multiLevelType w:val="hybridMultilevel"/>
    <w:lvl w:ilvl="0">
      <w:lvlJc w:val="left"/>
      <w:lvlText w:val="●"/>
      <w:numFmt w:val="bullet"/>
      <w:start w:val="1"/>
    </w:lvl>
  </w:abstractNum>
  <w:abstractNum w:abstractNumId="36">
    <w:nsid w:val="5399C654"/>
    <w:multiLevelType w:val="hybridMultilevel"/>
    <w:lvl w:ilvl="0">
      <w:lvlJc w:val="left"/>
      <w:lvlText w:val="●"/>
      <w:numFmt w:val="bullet"/>
      <w:start w:val="1"/>
    </w:lvl>
  </w:abstractNum>
  <w:abstractNum w:abstractNumId="37">
    <w:nsid w:val="20EE1348"/>
    <w:multiLevelType w:val="hybridMultilevel"/>
    <w:lvl w:ilvl="0">
      <w:lvlJc w:val="left"/>
      <w:lvlText w:val="●"/>
      <w:numFmt w:val="bullet"/>
      <w:start w:val="1"/>
    </w:lvl>
  </w:abstractNum>
  <w:abstractNum w:abstractNumId="38">
    <w:nsid w:val="4427069A"/>
    <w:multiLevelType w:val="hybridMultilevel"/>
    <w:lvl w:ilvl="0">
      <w:lvlJc w:val="left"/>
      <w:lvlText w:val="●"/>
      <w:numFmt w:val="bullet"/>
      <w:start w:val="1"/>
    </w:lvl>
  </w:abstractNum>
  <w:abstractNum w:abstractNumId="39">
    <w:nsid w:val="B37E80A"/>
    <w:multiLevelType w:val="hybridMultilevel"/>
    <w:lvl w:ilvl="0">
      <w:lvlJc w:val="left"/>
      <w:lvlText w:val="●"/>
      <w:numFmt w:val="bullet"/>
      <w:start w:val="1"/>
    </w:lvl>
  </w:abstractNum>
  <w:abstractNum w:abstractNumId="40">
    <w:nsid w:val="2157F6BC"/>
    <w:multiLevelType w:val="hybridMultilevel"/>
    <w:lvl w:ilvl="0">
      <w:lvlJc w:val="left"/>
      <w:lvlText w:val="●"/>
      <w:numFmt w:val="bullet"/>
      <w:start w:val="1"/>
    </w:lvl>
  </w:abstractNum>
  <w:abstractNum w:abstractNumId="41">
    <w:nsid w:val="704E1DD5"/>
    <w:multiLevelType w:val="hybridMultilevel"/>
    <w:lvl w:ilvl="0">
      <w:lvlJc w:val="left"/>
      <w:lvlText w:val="●"/>
      <w:numFmt w:val="bullet"/>
      <w:start w:val="1"/>
    </w:lvl>
  </w:abstractNum>
  <w:abstractNum w:abstractNumId="42">
    <w:nsid w:val="57D2F10E"/>
    <w:multiLevelType w:val="hybridMultilevel"/>
    <w:lvl w:ilvl="0">
      <w:lvlJc w:val="left"/>
      <w:lvlText w:val="●"/>
      <w:numFmt w:val="bullet"/>
      <w:start w:val="1"/>
    </w:lvl>
  </w:abstractNum>
  <w:abstractNum w:abstractNumId="43">
    <w:nsid w:val="BFFAE18"/>
    <w:multiLevelType w:val="hybridMultilevel"/>
    <w:lvl w:ilvl="0">
      <w:lvlJc w:val="left"/>
      <w:lvlText w:val="●"/>
      <w:numFmt w:val="bullet"/>
      <w:start w:val="1"/>
    </w:lvl>
  </w:abstractNum>
  <w:abstractNum w:abstractNumId="44">
    <w:nsid w:val="E3E47A8"/>
    <w:multiLevelType w:val="hybridMultilevel"/>
    <w:lvl w:ilvl="0">
      <w:lvlJc w:val="left"/>
      <w:lvlText w:val="●"/>
      <w:numFmt w:val="bullet"/>
      <w:start w:val="1"/>
    </w:lvl>
  </w:abstractNum>
  <w:abstractNum w:abstractNumId="45">
    <w:nsid w:val="2E48F044"/>
    <w:multiLevelType w:val="hybridMultilevel"/>
    <w:lvl w:ilvl="0">
      <w:lvlJc w:val="left"/>
      <w:lvlText w:val="†"/>
      <w:numFmt w:val="bullet"/>
      <w:start w:val="1"/>
    </w:lvl>
  </w:abstractNum>
  <w:abstractNum w:abstractNumId="46">
    <w:nsid w:val="49D0FEAC"/>
    <w:multiLevelType w:val="hybridMultilevel"/>
    <w:lvl w:ilvl="0">
      <w:lvlJc w:val="left"/>
      <w:lvlText w:val="%1."/>
      <w:numFmt w:val="upperLetter"/>
      <w:start w:val="1"/>
    </w:lvl>
  </w:abstractNum>
  <w:abstractNum w:abstractNumId="47">
    <w:nsid w:val="4BEE5A5B"/>
    <w:multiLevelType w:val="hybridMultilevel"/>
    <w:lvl w:ilvl="0">
      <w:lvlJc w:val="left"/>
      <w:lvlText w:val="(%1)"/>
      <w:numFmt w:val="lowerLetter"/>
      <w:start w:val="1"/>
    </w:lvl>
  </w:abstractNum>
  <w:abstractNum w:abstractNumId="48">
    <w:nsid w:val="5551B9F3"/>
    <w:multiLevelType w:val="hybridMultilevel"/>
    <w:lvl w:ilvl="0">
      <w:lvlJc w:val="left"/>
      <w:lvlText w:val="(%1)"/>
      <w:numFmt w:val="lowerLetter"/>
      <w:start w:val="1"/>
    </w:lvl>
    <w:lvl w:ilvl="1">
      <w:lvlJc w:val="left"/>
      <w:lvlText w:val="(%2)"/>
      <w:numFmt w:val="lowerRoman"/>
      <w:start w:val="1"/>
    </w:lvl>
  </w:abstractNum>
  <w:abstractNum w:abstractNumId="49">
    <w:nsid w:val="24F6AB8E"/>
    <w:multiLevelType w:val="hybridMultilevel"/>
    <w:lvl w:ilvl="0">
      <w:lvlJc w:val="left"/>
      <w:lvlText w:val="%1"/>
      <w:numFmt w:val="lowerLetter"/>
      <w:start w:val="1"/>
    </w:lvl>
    <w:lvl w:ilvl="1">
      <w:lvlJc w:val="left"/>
      <w:lvlText w:val="(%2)"/>
      <w:numFmt w:val="lowerLetter"/>
      <w:start w:val="1"/>
    </w:lvl>
  </w:abstractNum>
  <w:abstractNum w:abstractNumId="50">
    <w:nsid w:val="634C574C"/>
    <w:multiLevelType w:val="hybridMultilevel"/>
    <w:lvl w:ilvl="0">
      <w:lvlJc w:val="left"/>
      <w:lvlText w:val="(%1)"/>
      <w:numFmt w:val="lowerLetter"/>
      <w:start w:val="35"/>
    </w:lvl>
    <w:lvl w:ilvl="1">
      <w:lvlJc w:val="left"/>
      <w:lvlText w:val="%2"/>
      <w:numFmt w:val="lowerLetter"/>
      <w:start w:val="1"/>
    </w:lvl>
  </w:abstractNum>
  <w:abstractNum w:abstractNumId="51">
    <w:nsid w:val="24E99DD7"/>
    <w:multiLevelType w:val="hybridMultilevel"/>
    <w:lvl w:ilvl="0">
      <w:lvlJc w:val="left"/>
      <w:lvlText w:val="%1"/>
      <w:numFmt w:val="lowerLetter"/>
      <w:start w:val="1"/>
    </w:lvl>
    <w:lvl w:ilvl="1">
      <w:lvlJc w:val="left"/>
      <w:lvlText w:val="(%2)"/>
      <w:numFmt w:val="lowerLetter"/>
      <w:start w:val="1"/>
    </w:lvl>
  </w:abstractNum>
  <w:abstractNum w:abstractNumId="52">
    <w:nsid w:val="2A31B62D"/>
    <w:multiLevelType w:val="hybridMultilevel"/>
    <w:lvl w:ilvl="0">
      <w:lvlJc w:val="left"/>
      <w:lvlText w:val="(%1)"/>
      <w:numFmt w:val="lowerLetter"/>
      <w:start w:val="61"/>
    </w:lvl>
    <w:lvl w:ilvl="1">
      <w:lvlJc w:val="left"/>
      <w:lvlText w:val="(%2)"/>
      <w:numFmt w:val="lowerLetter"/>
      <w:start w:val="3"/>
    </w:lvl>
  </w:abstractNum>
  <w:abstractNum w:abstractNumId="53">
    <w:nsid w:val="1849C29B"/>
    <w:multiLevelType w:val="hybridMultilevel"/>
    <w:lvl w:ilvl="0">
      <w:lvlJc w:val="left"/>
      <w:lvlText w:val="%1"/>
      <w:numFmt w:val="lowerLetter"/>
      <w:start w:val="1"/>
    </w:lvl>
    <w:lvl w:ilvl="1">
      <w:lvlJc w:val="left"/>
      <w:lvlText w:val="(%2)"/>
      <w:numFmt w:val="lowerLetter"/>
      <w:start w:val="8"/>
    </w:lvl>
  </w:abstractNum>
  <w:abstractNum w:abstractNumId="54">
    <w:nsid w:val="7DFF9D09"/>
    <w:multiLevelType w:val="hybridMultilevel"/>
    <w:lvl w:ilvl="0">
      <w:lvlJc w:val="left"/>
      <w:lvlText w:val="(%1)"/>
      <w:numFmt w:val="lowerLetter"/>
      <w:start w:val="35"/>
    </w:lvl>
    <w:lvl w:ilvl="1">
      <w:lvlJc w:val="left"/>
      <w:lvlText w:val="%2"/>
      <w:numFmt w:val="lowerLetter"/>
      <w:start w:val="1"/>
    </w:lvl>
  </w:abstractNum>
  <w:abstractNum w:abstractNumId="55">
    <w:nsid w:val="754342"/>
    <w:multiLevelType w:val="hybridMultilevel"/>
    <w:lvl w:ilvl="0">
      <w:lvlJc w:val="left"/>
      <w:lvlText w:val="(%1)"/>
      <w:numFmt w:val="decimal"/>
      <w:start w:val="14"/>
    </w:lvl>
  </w:abstractNum>
  <w:abstractNum w:abstractNumId="56">
    <w:nsid w:val="69E7F3E5"/>
    <w:multiLevelType w:val="hybridMultilevel"/>
    <w:lvl w:ilvl="0">
      <w:lvlJc w:val="left"/>
      <w:lvlText w:val="(%1)"/>
      <w:numFmt w:val="lowerLetter"/>
      <w:start w:val="1"/>
    </w:lvl>
    <w:lvl w:ilvl="1">
      <w:lvlJc w:val="left"/>
      <w:lvlText w:val="(%2)"/>
      <w:numFmt w:val="lowerRoman"/>
      <w:start w:val="1"/>
    </w:lvl>
  </w:abstractNum>
  <w:abstractNum w:abstractNumId="57">
    <w:nsid w:val="2A6DE806"/>
    <w:multiLevelType w:val="hybridMultilevel"/>
    <w:lvl w:ilvl="0">
      <w:lvlJc w:val="left"/>
      <w:lvlText w:val="%1"/>
      <w:numFmt w:val="lowerLetter"/>
      <w:start w:val="1"/>
    </w:lvl>
    <w:lvl w:ilvl="1">
      <w:lvlJc w:val="left"/>
      <w:lvlText w:val="(%2)"/>
      <w:numFmt w:val="lowerLetter"/>
      <w:start w:val="61"/>
    </w:lvl>
  </w:abstractNum>
  <w:abstractNum w:abstractNumId="58">
    <w:nsid w:val="1816F8C4"/>
    <w:multiLevelType w:val="hybridMultilevel"/>
    <w:lvl w:ilvl="0">
      <w:lvlJc w:val="left"/>
      <w:lvlText w:val="(%1)"/>
      <w:numFmt w:val="lowerLetter"/>
      <w:start w:val="2"/>
    </w:lvl>
    <w:lvl w:ilvl="1">
      <w:lvlJc w:val="left"/>
      <w:lvlText w:val="%2"/>
      <w:numFmt w:val="lowerLetter"/>
      <w:start w:val="1"/>
    </w:lvl>
  </w:abstractNum>
  <w:abstractNum w:abstractNumId="59">
    <w:nsid w:val="37DF2233"/>
    <w:multiLevelType w:val="hybridMultilevel"/>
    <w:lvl w:ilvl="0">
      <w:lvlJc w:val="left"/>
      <w:lvlText w:val="(%1)"/>
      <w:numFmt w:val="lowerLetter"/>
      <w:start w:val="4"/>
    </w:lvl>
  </w:abstractNum>
  <w:abstractNum w:abstractNumId="60">
    <w:nsid w:val="7AB49DAF"/>
    <w:multiLevelType w:val="hybridMultilevel"/>
    <w:lvl w:ilvl="0">
      <w:lvlJc w:val="left"/>
      <w:lvlText w:val="%1."/>
      <w:numFmt w:val="upperLetter"/>
      <w:start w:val="1"/>
    </w:lvl>
  </w:abstractNum>
  <w:abstractNum w:abstractNumId="61">
    <w:nsid w:val="759F82CD"/>
    <w:multiLevelType w:val="hybridMultilevel"/>
    <w:lvl w:ilvl="0">
      <w:lvlJc w:val="left"/>
      <w:lvlText w:val="(%1)"/>
      <w:numFmt w:val="lowerLetter"/>
      <w:start w:val="3"/>
    </w:lvl>
  </w:abstractNum>
  <w:abstractNum w:abstractNumId="62">
    <w:nsid w:val="61E74EA3"/>
    <w:multiLevelType w:val="hybridMultilevel"/>
    <w:lvl w:ilvl="0">
      <w:lvlJc w:val="left"/>
      <w:lvlText w:val="(%1)"/>
      <w:numFmt w:val="lowerLetter"/>
      <w:start w:val="1"/>
    </w:lvl>
  </w:abstractNum>
  <w:abstractNum w:abstractNumId="63">
    <w:nsid w:val="597B4D84"/>
    <w:multiLevelType w:val="hybridMultilevel"/>
    <w:lvl w:ilvl="0">
      <w:lvlJc w:val="left"/>
      <w:lvlText w:val="(%1)"/>
      <w:numFmt w:val="lowerLetter"/>
      <w:start w:val="1"/>
    </w:lvl>
  </w:abstractNum>
  <w:abstractNum w:abstractNumId="64">
    <w:nsid w:val="F819E7F"/>
    <w:multiLevelType w:val="hybridMultilevel"/>
    <w:lvl w:ilvl="0">
      <w:lvlJc w:val="left"/>
      <w:lvlText w:val="(%1)"/>
      <w:numFmt w:val="lowerRoman"/>
      <w:start w:val="8"/>
    </w:lvl>
  </w:abstractNum>
  <w:abstractNum w:abstractNumId="65">
    <w:nsid w:val="57C7D42D"/>
    <w:multiLevelType w:val="hybridMultilevel"/>
    <w:lvl w:ilvl="0">
      <w:lvlJc w:val="left"/>
      <w:lvlText w:val="(%1)"/>
      <w:numFmt w:val="lowerRoman"/>
      <w:start w:val="16"/>
    </w:lvl>
  </w:abstractNum>
  <w:abstractNum w:abstractNumId="66">
    <w:nsid w:val="312167AD"/>
    <w:multiLevelType w:val="hybridMultilevel"/>
    <w:lvl w:ilvl="0">
      <w:lvlJc w:val="left"/>
      <w:lvlText w:val="(%1)"/>
      <w:numFmt w:val="decimal"/>
      <w:start w:val="180"/>
    </w:lvl>
  </w:abstractNum>
  <w:abstractNum w:abstractNumId="67">
    <w:nsid w:val="631B64D4"/>
    <w:multiLevelType w:val="hybridMultilevel"/>
    <w:lvl w:ilvl="0">
      <w:lvlJc w:val="left"/>
      <w:lvlText w:val="(%1)"/>
      <w:numFmt w:val="lowerRoman"/>
      <w:start w:val="9"/>
    </w:lvl>
  </w:abstractNum>
  <w:abstractNum w:abstractNumId="68">
    <w:nsid w:val="78B5E776"/>
    <w:multiLevelType w:val="hybridMultilevel"/>
    <w:lvl w:ilvl="0">
      <w:lvlJc w:val="left"/>
      <w:lvlText w:val="(%1)"/>
      <w:numFmt w:val="lowerRoman"/>
      <w:start w:val="1"/>
    </w:lvl>
  </w:abstractNum>
  <w:abstractNum w:abstractNumId="69">
    <w:nsid w:val="75486E47"/>
    <w:multiLevelType w:val="hybridMultilevel"/>
    <w:lvl w:ilvl="0">
      <w:lvlJc w:val="left"/>
      <w:lvlText w:val="(%1)"/>
      <w:numFmt w:val="lowerRoman"/>
      <w:start w:val="2"/>
    </w:lvl>
  </w:abstractNum>
  <w:abstractNum w:abstractNumId="70">
    <w:nsid w:val="6E534CDE"/>
    <w:multiLevelType w:val="hybridMultilevel"/>
    <w:lvl w:ilvl="0">
      <w:lvlJc w:val="left"/>
      <w:lvlText w:val="%1."/>
      <w:numFmt w:val="upperLetter"/>
      <w:start w:val="1"/>
    </w:lvl>
  </w:abstractNum>
  <w:abstractNum w:abstractNumId="71">
    <w:nsid w:val="1A0DDE32"/>
    <w:multiLevelType w:val="hybridMultilevel"/>
    <w:lvl w:ilvl="0">
      <w:lvlJc w:val="left"/>
      <w:lvlText w:val="(%1)"/>
      <w:numFmt w:val="lowerLetter"/>
      <w:start w:val="1"/>
    </w:lvl>
  </w:abstractNum>
  <w:abstractNum w:abstractNumId="72">
    <w:nsid w:val="65968C1C"/>
    <w:multiLevelType w:val="hybridMultilevel"/>
    <w:lvl w:ilvl="0">
      <w:lvlJc w:val="left"/>
      <w:lvlText w:val="(%1)"/>
      <w:numFmt w:val="lowerLetter"/>
      <w:start w:val="2"/>
    </w:lvl>
  </w:abstractNum>
  <w:abstractNum w:abstractNumId="73">
    <w:nsid w:val="46263DEC"/>
    <w:multiLevelType w:val="hybridMultilevel"/>
    <w:lvl w:ilvl="0">
      <w:lvlJc w:val="left"/>
      <w:lvlText w:val="(%1)"/>
      <w:numFmt w:val="lowerLetter"/>
      <w:start w:val="1"/>
    </w:lvl>
  </w:abstractNum>
  <w:abstractNum w:abstractNumId="74">
    <w:nsid w:val="260D8C4A"/>
    <w:multiLevelType w:val="hybridMultilevel"/>
    <w:lvl w:ilvl="0">
      <w:lvlJc w:val="left"/>
      <w:lvlText w:val="(%1)"/>
      <w:numFmt w:val="lowerRoman"/>
      <w:start w:val="1"/>
    </w:lvl>
  </w:abstractNum>
  <w:abstractNum w:abstractNumId="75">
    <w:nsid w:val="73D4D3C4"/>
    <w:multiLevelType w:val="hybridMultilevel"/>
    <w:lvl w:ilvl="0">
      <w:lvlJc w:val="left"/>
      <w:lvlText w:val="(%1)"/>
      <w:numFmt w:val="lowerLetter"/>
      <w:start w:val="2"/>
    </w:lvl>
  </w:abstractNum>
  <w:abstractNum w:abstractNumId="76">
    <w:nsid w:val="746F2E30"/>
    <w:multiLevelType w:val="hybridMultilevel"/>
    <w:lvl w:ilvl="0">
      <w:lvlJc w:val="left"/>
      <w:lvlText w:val="(%1)"/>
      <w:numFmt w:val="lowerRoman"/>
      <w:start w:val="2"/>
    </w:lvl>
  </w:abstractNum>
  <w:abstractNum w:abstractNumId="77">
    <w:nsid w:val="6FDE8AF6"/>
    <w:multiLevelType w:val="hybridMultilevel"/>
    <w:lvl w:ilvl="0">
      <w:lvlJc w:val="left"/>
      <w:lvlText w:val="(%1)"/>
      <w:numFmt w:val="lowerLetter"/>
      <w:start w:val="3"/>
    </w:lvl>
  </w:abstractNum>
  <w:abstractNum w:abstractNumId="78">
    <w:nsid w:val="3FC32E20"/>
    <w:multiLevelType w:val="hybridMultilevel"/>
    <w:lvl w:ilvl="0">
      <w:lvlJc w:val="left"/>
      <w:lvlText w:val="(%1)"/>
      <w:numFmt w:val="decimal"/>
      <w:start w:val="15"/>
    </w:lvl>
  </w:abstractNum>
  <w:abstractNum w:abstractNumId="79">
    <w:nsid w:val="49C0E823"/>
    <w:multiLevelType w:val="hybridMultilevel"/>
    <w:lvl w:ilvl="0">
      <w:lvlJc w:val="left"/>
      <w:lvlText w:val="(%1)"/>
      <w:numFmt w:val="upperLetter"/>
      <w:start w:val="1"/>
    </w:lvl>
  </w:abstractNum>
  <w:abstractNum w:abstractNumId="80">
    <w:nsid w:val="14D53685"/>
    <w:multiLevelType w:val="hybridMultilevel"/>
    <w:lvl w:ilvl="0">
      <w:lvlJc w:val="left"/>
      <w:lvlText w:val="(%1)"/>
      <w:numFmt w:val="upperLetter"/>
      <w:start w:val="1"/>
    </w:lvl>
  </w:abstractNum>
  <w:abstractNum w:abstractNumId="81">
    <w:nsid w:val="230F856C"/>
    <w:multiLevelType w:val="hybridMultilevel"/>
    <w:lvl w:ilvl="0">
      <w:lvlJc w:val="left"/>
      <w:lvlText w:val="(%1)"/>
      <w:numFmt w:val="lowerRoman"/>
      <w:start w:val="4"/>
    </w:lvl>
  </w:abstractNum>
  <w:abstractNum w:abstractNumId="82">
    <w:nsid w:val="6EAA85FB"/>
    <w:multiLevelType w:val="hybridMultilevel"/>
    <w:lvl w:ilvl="0">
      <w:lvlJc w:val="left"/>
      <w:lvlText w:val="(%1)"/>
      <w:numFmt w:val="lowerRoman"/>
      <w:start w:val="7"/>
    </w:lvl>
  </w:abstractNum>
  <w:abstractNum w:abstractNumId="83">
    <w:nsid w:val="3F06ECB2"/>
    <w:multiLevelType w:val="hybridMultilevel"/>
    <w:lvl w:ilvl="0">
      <w:lvlJc w:val="left"/>
      <w:lvlText w:val="(%1)"/>
      <w:numFmt w:val="decimal"/>
      <w:start w:val="10"/>
    </w:lvl>
  </w:abstractNum>
  <w:abstractNum w:abstractNumId="84">
    <w:nsid w:val="3B594807"/>
    <w:multiLevelType w:val="hybridMultilevel"/>
    <w:lvl w:ilvl="0">
      <w:lvlJc w:val="left"/>
      <w:lvlText w:val="(%1)"/>
      <w:numFmt w:val="lowerLetter"/>
      <w:start w:val="1"/>
    </w:lvl>
  </w:abstractNum>
  <w:abstractNum w:abstractNumId="85">
    <w:nsid w:val="6CAA2304"/>
    <w:multiLevelType w:val="hybridMultilevel"/>
    <w:lvl w:ilvl="0">
      <w:lvlJc w:val="left"/>
      <w:lvlText w:val="(%1)"/>
      <w:numFmt w:val="lowerLetter"/>
      <w:start w:val="1"/>
    </w:lvl>
  </w:abstractNum>
  <w:abstractNum w:abstractNumId="86">
    <w:nsid w:val="3F7C2FF4"/>
    <w:multiLevelType w:val="hybridMultilevel"/>
    <w:lvl w:ilvl="0">
      <w:lvlJc w:val="left"/>
      <w:lvlText w:val="(%1)"/>
      <w:numFmt w:val="lowerLetter"/>
      <w:start w:val="3"/>
    </w:lvl>
  </w:abstractNum>
  <w:abstractNum w:abstractNumId="87">
    <w:nsid w:val="25413BEC"/>
    <w:multiLevelType w:val="hybridMultilevel"/>
    <w:lvl w:ilvl="0">
      <w:lvlJc w:val="left"/>
      <w:lvlText w:val="(%1)"/>
      <w:numFmt w:val="lowerLetter"/>
      <w:start w:val="5"/>
    </w:lvl>
  </w:abstractNum>
  <w:abstractNum w:abstractNumId="88">
    <w:nsid w:val="17180B0B"/>
    <w:multiLevelType w:val="hybridMultilevel"/>
    <w:lvl w:ilvl="0">
      <w:lvlJc w:val="left"/>
      <w:lvlText w:val="(%1)"/>
      <w:numFmt w:val="lowerLetter"/>
      <w:start w:val="1"/>
    </w:lvl>
    <w:lvl w:ilvl="1">
      <w:lvlJc w:val="left"/>
      <w:lvlText w:val="%2."/>
      <w:numFmt w:val="decimal"/>
      <w:start w:val="1"/>
    </w:lvl>
  </w:abstractNum>
  <w:abstractNum w:abstractNumId="89">
    <w:nsid w:val="579328B9"/>
    <w:multiLevelType w:val="hybridMultilevel"/>
    <w:lvl w:ilvl="0">
      <w:lvlJc w:val="left"/>
      <w:lvlText w:val="(%1)"/>
      <w:numFmt w:val="lowerLetter"/>
      <w:start w:val="2"/>
    </w:lvl>
  </w:abstractNum>
  <w:abstractNum w:abstractNumId="90">
    <w:nsid w:val="5D205E20"/>
    <w:multiLevelType w:val="hybridMultilevel"/>
    <w:lvl w:ilvl="0">
      <w:lvlJc w:val="left"/>
      <w:lvlText w:val="(%1)"/>
      <w:numFmt w:val="lowerLetter"/>
      <w:start w:val="7"/>
    </w:lvl>
  </w:abstractNum>
  <w:abstractNum w:abstractNumId="91">
    <w:nsid w:val="11CCA8BA"/>
    <w:multiLevelType w:val="hybridMultilevel"/>
    <w:lvl w:ilvl="0">
      <w:lvlJc w:val="left"/>
      <w:lvlText w:val="(%1)"/>
      <w:numFmt w:val="lowerLetter"/>
      <w:start w:val="1"/>
    </w:lvl>
  </w:abstractNum>
  <w:abstractNum w:abstractNumId="92">
    <w:nsid w:val="4D32AB86"/>
    <w:multiLevelType w:val="hybridMultilevel"/>
    <w:lvl w:ilvl="0">
      <w:lvlJc w:val="left"/>
      <w:lvlText w:val="(%1)"/>
      <w:numFmt w:val="lowerLetter"/>
      <w:start w:val="2"/>
    </w:lvl>
  </w:abstractNum>
  <w:abstractNum w:abstractNumId="93">
    <w:nsid w:val="3F07ACC3"/>
    <w:multiLevelType w:val="hybridMultilevel"/>
    <w:lvl w:ilvl="0">
      <w:lvlJc w:val="left"/>
      <w:lvlText w:val="%1"/>
      <w:numFmt w:val="lowerLetter"/>
      <w:start w:val="1"/>
    </w:lvl>
    <w:lvl w:ilvl="1">
      <w:lvlJc w:val="left"/>
      <w:lvlText w:val="(%2)"/>
      <w:numFmt w:val="lowerLetter"/>
      <w:start w:val="1"/>
    </w:lvl>
  </w:abstractNum>
  <w:abstractNum w:abstractNumId="94">
    <w:nsid w:val="6B47F63E"/>
    <w:multiLevelType w:val="hybridMultilevel"/>
    <w:lvl w:ilvl="0">
      <w:lvlJc w:val="left"/>
      <w:lvlText w:val="(%1)"/>
      <w:numFmt w:val="lowerLetter"/>
      <w:start w:val="35"/>
    </w:lvl>
    <w:lvl w:ilvl="1">
      <w:lvlJc w:val="left"/>
      <w:lvlText w:val="%2"/>
      <w:numFmt w:val="lowerLetter"/>
      <w:start w:val="1"/>
    </w:lvl>
  </w:abstractNum>
  <w:abstractNum w:abstractNumId="95">
    <w:nsid w:val="5CB44A05"/>
    <w:multiLevelType w:val="hybridMultilevel"/>
    <w:lvl w:ilvl="0">
      <w:lvlJc w:val="left"/>
      <w:lvlText w:val="(%1)"/>
      <w:numFmt w:val="lowerRoman"/>
      <w:start w:val="1"/>
    </w:lvl>
  </w:abstractNum>
  <w:abstractNum w:abstractNumId="96">
    <w:nsid w:val="16CF80F1"/>
    <w:multiLevelType w:val="hybridMultilevel"/>
    <w:lvl w:ilvl="0">
      <w:lvlJc w:val="left"/>
      <w:lvlText w:val="(%1)"/>
      <w:numFmt w:val="lowerLetter"/>
      <w:start w:val="2"/>
    </w:lvl>
  </w:abstractNum>
  <w:abstractNum w:abstractNumId="97">
    <w:nsid w:val="1C695DEC"/>
    <w:multiLevelType w:val="hybridMultilevel"/>
    <w:lvl w:ilvl="0">
      <w:lvlJc w:val="left"/>
      <w:lvlText w:val="(%1)"/>
      <w:numFmt w:val="lowerLetter"/>
      <w:start w:val="1"/>
    </w:lvl>
  </w:abstractNum>
  <w:abstractNum w:abstractNumId="98">
    <w:nsid w:val="3FCFAED9"/>
    <w:multiLevelType w:val="hybridMultilevel"/>
    <w:lvl w:ilvl="0">
      <w:lvlJc w:val="left"/>
      <w:lvlText w:val="(%1)"/>
      <w:numFmt w:val="lowerLetter"/>
      <w:start w:val="2"/>
    </w:lvl>
    <w:lvl w:ilvl="1">
      <w:lvlJc w:val="left"/>
      <w:lvlText w:val="(%2)"/>
      <w:numFmt w:val="lowerRoman"/>
      <w:start w:val="1"/>
    </w:lvl>
  </w:abstractNum>
  <w:abstractNum w:abstractNumId="99">
    <w:nsid w:val="F856867"/>
    <w:multiLevelType w:val="hybridMultilevel"/>
    <w:lvl w:ilvl="0">
      <w:lvlJc w:val="left"/>
      <w:lvlText w:val="%1"/>
      <w:numFmt w:val="lowerLetter"/>
      <w:start w:val="1"/>
    </w:lvl>
    <w:lvl w:ilvl="1">
      <w:lvlJc w:val="left"/>
      <w:lvlText w:val="(%2)"/>
      <w:numFmt w:val="lowerLetter"/>
      <w:start w:val="1"/>
    </w:lvl>
  </w:abstractNum>
  <w:abstractNum w:abstractNumId="100">
    <w:nsid w:val="11B1CC33"/>
    <w:multiLevelType w:val="hybridMultilevel"/>
    <w:lvl w:ilvl="0">
      <w:lvlJc w:val="left"/>
      <w:lvlText w:val="(%1)"/>
      <w:numFmt w:val="lowerLetter"/>
      <w:start w:val="9"/>
    </w:lvl>
    <w:lvl w:ilvl="1">
      <w:lvlJc w:val="left"/>
      <w:lvlText w:val="(%2)"/>
      <w:numFmt w:val="lowerLetter"/>
      <w:start w:val="3"/>
    </w:lvl>
  </w:abstractNum>
  <w:abstractNum w:abstractNumId="101">
    <w:nsid w:val="2E22FBB7"/>
    <w:multiLevelType w:val="hybridMultilevel"/>
    <w:lvl w:ilvl="0">
      <w:lvlJc w:val="left"/>
      <w:lvlText w:val="\endash "/>
      <w:numFmt w:val="bullet"/>
      <w:start w:val="1"/>
    </w:lvl>
    <w:lvl w:ilvl="1">
      <w:lvlJc w:val="left"/>
      <w:lvlText w:val="(%2)"/>
      <w:numFmt w:val="lowerLetter"/>
      <w:start w:val="5"/>
    </w:lvl>
  </w:abstractNum>
  <w:abstractNum w:abstractNumId="102">
    <w:nsid w:val="29934699"/>
    <w:multiLevelType w:val="hybridMultilevel"/>
    <w:lvl w:ilvl="0">
      <w:lvlJc w:val="left"/>
      <w:lvlText w:val="(%1)"/>
      <w:numFmt w:val="lowerLetter"/>
      <w:start w:val="1"/>
    </w:lvl>
  </w:abstractNum>
  <w:abstractNum w:abstractNumId="103">
    <w:nsid w:val="77485850"/>
    <w:multiLevelType w:val="hybridMultilevel"/>
    <w:lvl w:ilvl="0">
      <w:lvlJc w:val="left"/>
      <w:lvlText w:val="(%1)"/>
      <w:numFmt w:val="lowerLetter"/>
      <w:start w:val="2"/>
    </w:lvl>
  </w:abstractNum>
  <w:abstractNum w:abstractNumId="104">
    <w:nsid w:val="744939A3"/>
    <w:multiLevelType w:val="hybridMultilevel"/>
    <w:lvl w:ilvl="0">
      <w:lvlJc w:val="left"/>
      <w:lvlText w:val="(%1)"/>
      <w:numFmt w:val="lowerLetter"/>
      <w:start w:val="1"/>
    </w:lvl>
  </w:abstractNum>
  <w:abstractNum w:abstractNumId="105">
    <w:nsid w:val="4FA0D2E3"/>
    <w:multiLevelType w:val="hybridMultilevel"/>
    <w:lvl w:ilvl="0">
      <w:lvlJc w:val="left"/>
      <w:lvlText w:val="%1"/>
      <w:numFmt w:val="decimal"/>
      <w:start w:val="1"/>
    </w:lvl>
    <w:lvl w:ilvl="1">
      <w:lvlJc w:val="left"/>
      <w:lvlText w:val="(%2)"/>
      <w:numFmt w:val="lowerLetter"/>
      <w:start w:val="3"/>
    </w:lvl>
  </w:abstractNum>
  <w:abstractNum w:abstractNumId="106">
    <w:nsid w:val="6B1D2C14"/>
    <w:multiLevelType w:val="hybridMultilevel"/>
    <w:lvl w:ilvl="0">
      <w:lvlJc w:val="left"/>
      <w:lvlText w:val="(%1)"/>
      <w:numFmt w:val="decimal"/>
      <w:start w:val="5"/>
    </w:lvl>
    <w:lvl w:ilvl="1">
      <w:lvlJc w:val="left"/>
      <w:lvlText w:val="%2"/>
      <w:numFmt w:val="lowerLetter"/>
      <w:start w:val="1"/>
    </w:lvl>
  </w:abstractNum>
  <w:abstractNum w:abstractNumId="107">
    <w:nsid w:val="68B867D3"/>
    <w:multiLevelType w:val="hybridMultilevel"/>
    <w:lvl w:ilvl="0">
      <w:lvlJc w:val="left"/>
      <w:lvlText w:val="(%1)"/>
      <w:numFmt w:val="lowerLetter"/>
      <w:start w:val="8"/>
    </w:lvl>
  </w:abstractNum>
  <w:abstractNum w:abstractNumId="108">
    <w:nsid w:val="3F7F5DD9"/>
    <w:multiLevelType w:val="hybridMultilevel"/>
    <w:lvl w:ilvl="0">
      <w:lvlJc w:val="left"/>
      <w:lvlText w:val="(%1)"/>
      <w:numFmt w:val="lowerLetter"/>
      <w:start w:val="15"/>
    </w:lvl>
  </w:abstractNum>
  <w:abstractNum w:abstractNumId="109">
    <w:nsid w:val="2AE05A34"/>
    <w:multiLevelType w:val="hybridMultilevel"/>
    <w:lvl w:ilvl="0">
      <w:lvlJc w:val="left"/>
      <w:lvlText w:val="(%1)"/>
      <w:numFmt w:val="lowerLetter"/>
      <w:start w:val="21"/>
    </w:lvl>
  </w:abstractNum>
  <w:abstractNum w:abstractNumId="110">
    <w:nsid w:val="32794FF7"/>
    <w:multiLevelType w:val="hybridMultilevel"/>
    <w:lvl w:ilvl="0">
      <w:lvlJc w:val="left"/>
      <w:lvlText w:val="(%1)"/>
      <w:numFmt w:val="lowerLetter"/>
      <w:start w:val="1"/>
    </w:lvl>
  </w:abstractNum>
  <w:abstractNum w:abstractNumId="111">
    <w:nsid w:val="5454945E"/>
    <w:multiLevelType w:val="hybridMultilevel"/>
    <w:lvl w:ilvl="0">
      <w:lvlJc w:val="left"/>
      <w:lvlText w:val="(%1)"/>
      <w:numFmt w:val="lowerLetter"/>
      <w:start w:val="2"/>
    </w:lvl>
  </w:abstractNum>
  <w:abstractNum w:abstractNumId="112">
    <w:nsid w:val="4DEFDFA0"/>
    <w:multiLevelType w:val="hybridMultilevel"/>
    <w:lvl w:ilvl="0">
      <w:lvlJc w:val="left"/>
      <w:lvlText w:val="%1"/>
      <w:numFmt w:val="lowerLetter"/>
      <w:start w:val="1"/>
    </w:lvl>
    <w:lvl w:ilvl="1">
      <w:lvlJc w:val="left"/>
      <w:lvlText w:val="(%2)"/>
      <w:numFmt w:val="lowerLetter"/>
      <w:start w:val="1"/>
    </w:lvl>
  </w:abstractNum>
  <w:abstractNum w:abstractNumId="113">
    <w:nsid w:val="2123D5F2"/>
    <w:multiLevelType w:val="hybridMultilevel"/>
    <w:lvl w:ilvl="0">
      <w:lvlJc w:val="left"/>
      <w:lvlText w:val="(%1)"/>
      <w:numFmt w:val="lowerLetter"/>
      <w:start w:val="35"/>
    </w:lvl>
    <w:lvl w:ilvl="1">
      <w:lvlJc w:val="left"/>
      <w:lvlText w:val="%2"/>
      <w:numFmt w:val="lowerLetter"/>
      <w:start w:val="1"/>
    </w:lvl>
  </w:abstractNum>
  <w:abstractNum w:abstractNumId="114">
    <w:nsid w:val="135B8110"/>
    <w:multiLevelType w:val="hybridMultilevel"/>
    <w:lvl w:ilvl="0">
      <w:lvlJc w:val="left"/>
      <w:lvlText w:val="(%1)"/>
      <w:numFmt w:val="lowerRoman"/>
      <w:start w:val="1"/>
    </w:lvl>
  </w:abstractNum>
  <w:abstractNum w:abstractNumId="115">
    <w:nsid w:val="94927A8"/>
    <w:multiLevelType w:val="hybridMultilevel"/>
    <w:lvl w:ilvl="0">
      <w:lvlJc w:val="left"/>
      <w:lvlText w:val="(%1)"/>
      <w:numFmt w:val="lowerLetter"/>
      <w:start w:val="2"/>
    </w:lvl>
  </w:abstractNum>
  <w:abstractNum w:abstractNumId="116">
    <w:nsid w:val="DCDF8F6"/>
    <w:multiLevelType w:val="hybridMultilevel"/>
    <w:lvl w:ilvl="0">
      <w:lvlJc w:val="left"/>
      <w:lvlText w:val="(%1)"/>
      <w:numFmt w:val="lowerLetter"/>
      <w:start w:val="1"/>
    </w:lvl>
  </w:abstractNum>
  <w:abstractNum w:abstractNumId="117">
    <w:nsid w:val="52D7B105"/>
    <w:multiLevelType w:val="hybridMultilevel"/>
    <w:lvl w:ilvl="0">
      <w:lvlJc w:val="left"/>
      <w:lvlText w:val="(%1)"/>
      <w:numFmt w:val="lowerLetter"/>
      <w:start w:val="3"/>
    </w:lvl>
    <w:lvl w:ilvl="1">
      <w:lvlJc w:val="left"/>
      <w:lvlText w:val="(%2)"/>
      <w:numFmt w:val="lowerRoman"/>
      <w:start w:val="1"/>
    </w:lvl>
  </w:abstractNum>
  <w:abstractNum w:abstractNumId="118">
    <w:nsid w:val="2E8A6394"/>
    <w:multiLevelType w:val="hybridMultilevel"/>
    <w:lvl w:ilvl="0">
      <w:lvlJc w:val="left"/>
      <w:lvlText w:val="%1"/>
      <w:numFmt w:val="lowerLetter"/>
      <w:start w:val="1"/>
    </w:lvl>
    <w:lvl w:ilvl="1">
      <w:lvlJc w:val="left"/>
      <w:lvlText w:val="(%2)"/>
      <w:numFmt w:val="lowerLetter"/>
      <w:start w:val="1"/>
    </w:lvl>
  </w:abstractNum>
  <w:abstractNum w:abstractNumId="119">
    <w:nsid w:val="24E60401"/>
    <w:multiLevelType w:val="hybridMultilevel"/>
    <w:lvl w:ilvl="0">
      <w:lvlJc w:val="left"/>
      <w:lvlText w:val="(%1)"/>
      <w:numFmt w:val="lowerLetter"/>
      <w:start w:val="9"/>
    </w:lvl>
    <w:lvl w:ilvl="1">
      <w:lvlJc w:val="left"/>
      <w:lvlText w:val="(%2)"/>
      <w:numFmt w:val="lowerLetter"/>
      <w:start w:val="3"/>
    </w:lvl>
  </w:abstractNum>
  <w:abstractNum w:abstractNumId="120">
    <w:nsid w:val="2A6AD9BE"/>
    <w:multiLevelType w:val="hybridMultilevel"/>
    <w:lvl w:ilvl="0">
      <w:lvlJc w:val="left"/>
      <w:lvlText w:val="(%1)"/>
      <w:numFmt w:val="lowerLetter"/>
      <w:start w:val="6"/>
    </w:lvl>
  </w:abstractNum>
  <w:abstractNum w:abstractNumId="121">
    <w:nsid w:val="BAAC1B4"/>
    <w:multiLevelType w:val="hybridMultilevel"/>
    <w:lvl w:ilvl="0">
      <w:lvlJc w:val="left"/>
      <w:lvlText w:val="(%1)"/>
      <w:numFmt w:val="lowerLetter"/>
      <w:start w:val="1"/>
    </w:lvl>
  </w:abstractNum>
  <w:abstractNum w:abstractNumId="122">
    <w:nsid w:val="36B2ACBC"/>
    <w:multiLevelType w:val="hybridMultilevel"/>
    <w:lvl w:ilvl="0">
      <w:lvlJc w:val="left"/>
      <w:lvlText w:val="%1)"/>
      <w:numFmt w:val="lowerLetter"/>
      <w:start w:val="3"/>
    </w:lvl>
  </w:abstractNum>
  <w:abstractNum w:abstractNumId="123">
    <w:nsid w:val="779D8544"/>
    <w:multiLevelType w:val="hybridMultilevel"/>
    <w:lvl w:ilvl="0">
      <w:lvlJc w:val="left"/>
      <w:lvlText w:val="(%1)"/>
      <w:numFmt w:val="lowerLetter"/>
      <w:start w:val="5"/>
    </w:lvl>
  </w:abstractNum>
  <w:abstractNum w:abstractNumId="124">
    <w:nsid w:val="4AB26E78"/>
    <w:multiLevelType w:val="hybridMultilevel"/>
    <w:lvl w:ilvl="0">
      <w:lvlJc w:val="left"/>
      <w:lvlText w:val="(%1)"/>
      <w:numFmt w:val="lowerLetter"/>
      <w:start w:val="1"/>
    </w:lvl>
  </w:abstractNum>
  <w:abstractNum w:abstractNumId="125">
    <w:nsid w:val="21FAA2FA"/>
    <w:multiLevelType w:val="hybridMultilevel"/>
    <w:lvl w:ilvl="0">
      <w:lvlJc w:val="left"/>
      <w:lvlText w:val="(%1)"/>
      <w:numFmt w:val="lowerRoman"/>
      <w:start w:val="4"/>
    </w:lvl>
  </w:abstractNum>
  <w:abstractNum w:abstractNumId="126">
    <w:nsid w:val="5451CF49"/>
    <w:multiLevelType w:val="hybridMultilevel"/>
    <w:lvl w:ilvl="0">
      <w:lvlJc w:val="left"/>
      <w:lvlText w:val="(%1)"/>
      <w:numFmt w:val="lowerLetter"/>
      <w:start w:val="8"/>
    </w:lvl>
  </w:abstractNum>
  <w:abstractNum w:abstractNumId="127">
    <w:nsid w:val="6181EF69"/>
    <w:multiLevelType w:val="hybridMultilevel"/>
    <w:lvl w:ilvl="0">
      <w:lvlJc w:val="left"/>
      <w:lvlText w:val="(%1)"/>
      <w:numFmt w:val="lowerLetter"/>
      <w:start w:val="12"/>
    </w:lvl>
  </w:abstractNum>
  <w:abstractNum w:abstractNumId="128">
    <w:nsid w:val="3E6400E6"/>
    <w:multiLevelType w:val="hybridMultilevel"/>
    <w:lvl w:ilvl="0">
      <w:lvlJc w:val="left"/>
      <w:lvlText w:val="(%1)"/>
      <w:numFmt w:val="lowerLetter"/>
      <w:start w:val="19"/>
    </w:lvl>
  </w:abstractNum>
  <w:abstractNum w:abstractNumId="129">
    <w:nsid w:val="14217E23"/>
    <w:multiLevelType w:val="hybridMultilevel"/>
    <w:lvl w:ilvl="0">
      <w:lvlJc w:val="left"/>
      <w:lvlText w:val="(%1)"/>
      <w:numFmt w:val="lowerLetter"/>
      <w:start w:val="1"/>
    </w:lvl>
  </w:abstractNum>
  <w:abstractNum w:abstractNumId="130">
    <w:nsid w:val="710757D0"/>
    <w:multiLevelType w:val="hybridMultilevel"/>
    <w:lvl w:ilvl="0">
      <w:lvlJc w:val="left"/>
      <w:lvlText w:val="(%1)"/>
      <w:numFmt w:val="lowerLetter"/>
      <w:start w:val="2"/>
    </w:lvl>
  </w:abstractNum>
  <w:abstractNum w:abstractNumId="131">
    <w:nsid w:val="5015CD1A"/>
    <w:multiLevelType w:val="hybridMultilevel"/>
    <w:lvl w:ilvl="0">
      <w:lvlJc w:val="left"/>
      <w:lvlText w:val="%1"/>
      <w:numFmt w:val="lowerLetter"/>
      <w:start w:val="1"/>
    </w:lvl>
    <w:lvl w:ilvl="1">
      <w:lvlJc w:val="left"/>
      <w:lvlText w:val="(%2)"/>
      <w:numFmt w:val="lowerLetter"/>
      <w:start w:val="1"/>
    </w:lvl>
  </w:abstractNum>
  <w:abstractNum w:abstractNumId="132">
    <w:nsid w:val="424479DA"/>
    <w:multiLevelType w:val="hybridMultilevel"/>
    <w:lvl w:ilvl="0">
      <w:lvlJc w:val="left"/>
      <w:lvlText w:val="(%1)"/>
      <w:numFmt w:val="lowerLetter"/>
      <w:start w:val="35"/>
    </w:lvl>
    <w:lvl w:ilvl="1">
      <w:lvlJc w:val="left"/>
      <w:lvlText w:val="%2"/>
      <w:numFmt w:val="lowerLetter"/>
      <w:start w:val="1"/>
    </w:lvl>
  </w:abstractNum>
  <w:abstractNum w:abstractNumId="133">
    <w:nsid w:val="1A9A9E69"/>
    <w:multiLevelType w:val="hybridMultilevel"/>
    <w:lvl w:ilvl="0">
      <w:lvlJc w:val="left"/>
      <w:lvlText w:val="(%1)"/>
      <w:numFmt w:val="lowerRoman"/>
      <w:start w:val="1"/>
    </w:lvl>
  </w:abstractNum>
  <w:abstractNum w:abstractNumId="134">
    <w:nsid w:val="475E256A"/>
    <w:multiLevelType w:val="hybridMultilevel"/>
    <w:lvl w:ilvl="0">
      <w:lvlJc w:val="left"/>
      <w:lvlText w:val="(%1)"/>
      <w:numFmt w:val="lowerLetter"/>
      <w:start w:val="2"/>
    </w:lvl>
  </w:abstractNum>
  <w:abstractNum w:abstractNumId="135">
    <w:nsid w:val="368DB37E"/>
    <w:multiLevelType w:val="hybridMultilevel"/>
    <w:lvl w:ilvl="0">
      <w:lvlJc w:val="left"/>
      <w:lvlText w:val="(%1)"/>
      <w:numFmt w:val="lowerLetter"/>
      <w:start w:val="1"/>
    </w:lvl>
  </w:abstractNum>
  <w:abstractNum w:abstractNumId="136">
    <w:nsid w:val="6A3B714C"/>
    <w:multiLevelType w:val="hybridMultilevel"/>
    <w:lvl w:ilvl="0">
      <w:lvlJc w:val="left"/>
      <w:lvlText w:val="(%1)"/>
      <w:numFmt w:val="lowerLetter"/>
      <w:start w:val="4"/>
    </w:lvl>
    <w:lvl w:ilvl="1">
      <w:lvlJc w:val="left"/>
      <w:lvlText w:val="(%2)"/>
      <w:numFmt w:val="lowerRoman"/>
      <w:start w:val="1"/>
    </w:lvl>
  </w:abstractNum>
  <w:abstractNum w:abstractNumId="137">
    <w:nsid w:val="327B517E"/>
    <w:multiLevelType w:val="hybridMultilevel"/>
    <w:lvl w:ilvl="0">
      <w:lvlJc w:val="left"/>
      <w:lvlText w:val="%1"/>
      <w:numFmt w:val="lowerLetter"/>
      <w:start w:val="1"/>
    </w:lvl>
    <w:lvl w:ilvl="1">
      <w:lvlJc w:val="left"/>
      <w:lvlText w:val="(%2)"/>
      <w:numFmt w:val="lowerLetter"/>
      <w:start w:val="1"/>
    </w:lvl>
  </w:abstractNum>
  <w:abstractNum w:abstractNumId="138">
    <w:nsid w:val="1F461B51"/>
    <w:multiLevelType w:val="hybridMultilevel"/>
    <w:lvl w:ilvl="0">
      <w:lvlJc w:val="left"/>
      <w:lvlText w:val="(%1)"/>
      <w:numFmt w:val="lowerLetter"/>
      <w:start w:val="9"/>
    </w:lvl>
    <w:lvl w:ilvl="1">
      <w:lvlJc w:val="left"/>
      <w:lvlText w:val="%2"/>
      <w:numFmt w:val="lowerLetter"/>
      <w:start w:val="1"/>
    </w:lvl>
  </w:abstractNum>
  <w:abstractNum w:abstractNumId="139">
    <w:nsid w:val="29BACF25"/>
    <w:multiLevelType w:val="hybridMultilevel"/>
    <w:lvl w:ilvl="0">
      <w:lvlJc w:val="left"/>
      <w:lvlText w:val="\endash "/>
      <w:numFmt w:val="bullet"/>
      <w:start w:val="1"/>
    </w:lvl>
    <w:lvl w:ilvl="1">
      <w:lvlJc w:val="left"/>
      <w:lvlText w:val="(%2)"/>
      <w:numFmt w:val="lowerLetter"/>
      <w:start w:val="3"/>
    </w:lvl>
  </w:abstractNum>
  <w:abstractNum w:abstractNumId="140">
    <w:nsid w:val="5D5BABB3"/>
    <w:multiLevelType w:val="hybridMultilevel"/>
    <w:lvl w:ilvl="0">
      <w:lvlJc w:val="left"/>
      <w:lvlText w:val="(%1)"/>
      <w:numFmt w:val="lowerLetter"/>
      <w:start w:val="1"/>
    </w:lvl>
  </w:abstractNum>
  <w:abstractNum w:abstractNumId="141">
    <w:nsid w:val="51BF6B48"/>
    <w:multiLevelType w:val="hybridMultilevel"/>
    <w:lvl w:ilvl="0">
      <w:lvlJc w:val="left"/>
      <w:lvlText w:val="(%1)"/>
      <w:numFmt w:val="lowerLetter"/>
      <w:start w:val="1"/>
    </w:lvl>
  </w:abstractNum>
  <w:abstractNum w:abstractNumId="142">
    <w:nsid w:val="7E0F6384"/>
    <w:multiLevelType w:val="hybridMultilevel"/>
    <w:lvl w:ilvl="0">
      <w:lvlJc w:val="left"/>
      <w:lvlText w:val="%1"/>
      <w:numFmt w:val="decimal"/>
      <w:start w:val="1"/>
    </w:lvl>
    <w:lvl w:ilvl="1">
      <w:lvlJc w:val="left"/>
      <w:lvlText w:val="(%2)"/>
      <w:numFmt w:val="lowerLetter"/>
      <w:start w:val="3"/>
    </w:lvl>
  </w:abstractNum>
  <w:abstractNum w:abstractNumId="143">
    <w:nsid w:val="2B4B8B53"/>
    <w:multiLevelType w:val="hybridMultilevel"/>
    <w:lvl w:ilvl="0">
      <w:lvlJc w:val="left"/>
      <w:lvlText w:val="(%1)"/>
      <w:numFmt w:val="decimal"/>
      <w:start w:val="5"/>
    </w:lvl>
    <w:lvl w:ilvl="1">
      <w:lvlJc w:val="left"/>
      <w:lvlText w:val="%2"/>
      <w:numFmt w:val="lowerLetter"/>
      <w:start w:val="1"/>
    </w:lvl>
  </w:abstractNum>
  <w:abstractNum w:abstractNumId="144">
    <w:nsid w:val="72E3413A"/>
    <w:multiLevelType w:val="hybridMultilevel"/>
    <w:lvl w:ilvl="0">
      <w:lvlJc w:val="left"/>
      <w:lvlText w:val="(%1)"/>
      <w:numFmt w:val="lowerLetter"/>
      <w:start w:val="8"/>
    </w:lvl>
  </w:abstractNum>
  <w:abstractNum w:abstractNumId="145">
    <w:nsid w:val="116AE494"/>
    <w:multiLevelType w:val="hybridMultilevel"/>
    <w:lvl w:ilvl="0">
      <w:lvlJc w:val="left"/>
      <w:lvlText w:val="(%1)"/>
      <w:numFmt w:val="lowerLetter"/>
      <w:start w:val="15"/>
    </w:lvl>
  </w:abstractNum>
  <w:abstractNum w:abstractNumId="146">
    <w:nsid w:val="3494B2FB"/>
    <w:multiLevelType w:val="hybridMultilevel"/>
    <w:lvl w:ilvl="0">
      <w:lvlJc w:val="left"/>
      <w:lvlText w:val="(%1)"/>
      <w:numFmt w:val="lowerRoman"/>
      <w:start w:val="5"/>
    </w:lvl>
  </w:abstractNum>
  <w:abstractNum w:abstractNumId="147">
    <w:nsid w:val="B13A31"/>
    <w:multiLevelType w:val="hybridMultilevel"/>
    <w:lvl w:ilvl="0">
      <w:lvlJc w:val="left"/>
      <w:lvlText w:val="(%1)"/>
      <w:numFmt w:val="lowerLetter"/>
      <w:start w:val="1"/>
    </w:lvl>
  </w:abstractNum>
  <w:abstractNum w:abstractNumId="148">
    <w:nsid w:val="64429599"/>
    <w:multiLevelType w:val="hybridMultilevel"/>
    <w:lvl w:ilvl="0">
      <w:lvlJc w:val="left"/>
      <w:lvlText w:val="(%1)"/>
      <w:numFmt w:val="lowerLetter"/>
      <w:start w:val="2"/>
    </w:lvl>
  </w:abstractNum>
  <w:abstractNum w:abstractNumId="149">
    <w:nsid w:val="631F1690"/>
    <w:multiLevelType w:val="hybridMultilevel"/>
    <w:lvl w:ilvl="0">
      <w:lvlJc w:val="left"/>
      <w:lvlText w:val="%1"/>
      <w:numFmt w:val="lowerLetter"/>
      <w:start w:val="1"/>
    </w:lvl>
    <w:lvl w:ilvl="1">
      <w:lvlJc w:val="left"/>
      <w:lvlText w:val="(%2)"/>
      <w:numFmt w:val="lowerLetter"/>
      <w:start w:val="1"/>
    </w:lvl>
  </w:abstractNum>
  <w:abstractNum w:abstractNumId="150">
    <w:nsid w:val="25973E32"/>
    <w:multiLevelType w:val="hybridMultilevel"/>
    <w:lvl w:ilvl="0">
      <w:lvlJc w:val="left"/>
      <w:lvlText w:val="(%1)"/>
      <w:numFmt w:val="lowerLetter"/>
      <w:start w:val="35"/>
    </w:lvl>
    <w:lvl w:ilvl="1">
      <w:lvlJc w:val="left"/>
      <w:lvlText w:val="%2"/>
      <w:numFmt w:val="lowerLetter"/>
      <w:start w:val="1"/>
    </w:lvl>
  </w:abstractNum>
  <w:abstractNum w:abstractNumId="151">
    <w:nsid w:val="EAD6F57"/>
    <w:multiLevelType w:val="hybridMultilevel"/>
    <w:lvl w:ilvl="0">
      <w:lvlJc w:val="left"/>
      <w:lvlText w:val="(%1)"/>
      <w:numFmt w:val="lowerRoman"/>
      <w:start w:val="1"/>
    </w:lvl>
  </w:abstractNum>
  <w:abstractNum w:abstractNumId="152">
    <w:nsid w:val="6EC9D844"/>
    <w:multiLevelType w:val="hybridMultilevel"/>
    <w:lvl w:ilvl="0">
      <w:lvlJc w:val="left"/>
      <w:lvlText w:val="(%1)"/>
      <w:numFmt w:val="lowerLetter"/>
      <w:start w:val="2"/>
    </w:lvl>
  </w:abstractNum>
  <w:abstractNum w:abstractNumId="153">
    <w:nsid w:val="5C49EAEE"/>
    <w:multiLevelType w:val="hybridMultilevel"/>
    <w:lvl w:ilvl="0">
      <w:lvlJc w:val="left"/>
      <w:lvlText w:val="(%1)"/>
      <w:numFmt w:val="lowerLetter"/>
      <w:start w:val="1"/>
    </w:lvl>
  </w:abstractNum>
  <w:abstractNum w:abstractNumId="154">
    <w:nsid w:val="64AF49B"/>
    <w:multiLevelType w:val="hybridMultilevel"/>
    <w:lvl w:ilvl="0">
      <w:lvlJc w:val="left"/>
      <w:lvlText w:val="(%1)"/>
      <w:numFmt w:val="lowerLetter"/>
      <w:start w:val="4"/>
    </w:lvl>
    <w:lvl w:ilvl="1">
      <w:lvlJc w:val="left"/>
      <w:lvlText w:val="(%2)"/>
      <w:numFmt w:val="lowerRoman"/>
      <w:start w:val="1"/>
    </w:lvl>
  </w:abstractNum>
  <w:abstractNum w:abstractNumId="155">
    <w:nsid w:val="397C46BC"/>
    <w:multiLevelType w:val="hybridMultilevel"/>
    <w:lvl w:ilvl="0">
      <w:lvlJc w:val="left"/>
      <w:lvlText w:val="%1"/>
      <w:numFmt w:val="lowerLetter"/>
      <w:start w:val="1"/>
    </w:lvl>
    <w:lvl w:ilvl="1">
      <w:lvlJc w:val="left"/>
      <w:lvlText w:val="(%2)"/>
      <w:numFmt w:val="lowerLetter"/>
      <w:start w:val="1"/>
    </w:lvl>
  </w:abstractNum>
  <w:abstractNum w:abstractNumId="156">
    <w:nsid w:val="7E448DE9"/>
    <w:multiLevelType w:val="hybridMultilevel"/>
    <w:lvl w:ilvl="0">
      <w:lvlJc w:val="left"/>
      <w:lvlText w:val="(%1)"/>
      <w:numFmt w:val="lowerLetter"/>
      <w:start w:val="9"/>
    </w:lvl>
    <w:lvl w:ilvl="1">
      <w:lvlJc w:val="left"/>
      <w:lvlText w:val="%2"/>
      <w:numFmt w:val="lowerLetter"/>
      <w:start w:val="1"/>
    </w:lvl>
  </w:abstractNum>
  <w:abstractNum w:abstractNumId="157">
    <w:nsid w:val="5A9CC3E5"/>
    <w:multiLevelType w:val="hybridMultilevel"/>
    <w:lvl w:ilvl="0">
      <w:lvlJc w:val="left"/>
      <w:lvlText w:val="\endash "/>
      <w:numFmt w:val="bullet"/>
      <w:start w:val="1"/>
    </w:lvl>
    <w:lvl w:ilvl="1">
      <w:lvlJc w:val="left"/>
      <w:lvlText w:val="(%2)"/>
      <w:numFmt w:val="lowerLetter"/>
      <w:start w:val="3"/>
    </w:lvl>
  </w:abstractNum>
  <w:abstractNum w:abstractNumId="158">
    <w:nsid w:val="1AFE3625"/>
    <w:multiLevelType w:val="hybridMultilevel"/>
    <w:lvl w:ilvl="0">
      <w:lvlJc w:val="left"/>
      <w:lvlText w:val="(%1)"/>
      <w:numFmt w:val="lowerLetter"/>
      <w:start w:val="1"/>
    </w:lvl>
  </w:abstractNum>
  <w:abstractNum w:abstractNumId="159">
    <w:nsid w:val="3CA88ECF"/>
    <w:multiLevelType w:val="hybridMultilevel"/>
    <w:lvl w:ilvl="0">
      <w:lvlJc w:val="left"/>
      <w:lvlText w:val="%1"/>
      <w:numFmt w:val="decimal"/>
      <w:start w:val="1"/>
    </w:lvl>
    <w:lvl w:ilvl="1">
      <w:lvlJc w:val="left"/>
      <w:lvlText w:val="(%2)"/>
      <w:numFmt w:val="lowerLetter"/>
      <w:start w:val="1"/>
    </w:lvl>
  </w:abstractNum>
  <w:abstractNum w:abstractNumId="160">
    <w:nsid w:val="6EBE4208"/>
    <w:multiLevelType w:val="hybridMultilevel"/>
    <w:lvl w:ilvl="0">
      <w:lvlJc w:val="left"/>
      <w:lvlText w:val="(%1)"/>
      <w:numFmt w:val="decimal"/>
      <w:start w:val="5"/>
    </w:lvl>
    <w:lvl w:ilvl="1">
      <w:lvlJc w:val="left"/>
      <w:lvlText w:val="%2"/>
      <w:numFmt w:val="lowerLetter"/>
      <w:start w:val="1"/>
    </w:lvl>
  </w:abstractNum>
  <w:abstractNum w:abstractNumId="161">
    <w:nsid w:val="C058DF5"/>
    <w:multiLevelType w:val="hybridMultilevel"/>
    <w:lvl w:ilvl="0">
      <w:lvlJc w:val="left"/>
      <w:lvlText w:val="(%1)"/>
      <w:numFmt w:val="lowerLetter"/>
      <w:start w:val="8"/>
    </w:lvl>
  </w:abstractNum>
  <w:abstractNum w:abstractNumId="162">
    <w:nsid w:val="CBE5BE9"/>
    <w:multiLevelType w:val="hybridMultilevel"/>
    <w:lvl w:ilvl="0">
      <w:lvlJc w:val="left"/>
      <w:lvlText w:val="(%1)"/>
      <w:numFmt w:val="lowerLetter"/>
      <w:start w:val="15"/>
    </w:lvl>
  </w:abstractNum>
  <w:abstractNum w:abstractNumId="163">
    <w:nsid w:val="3102BBE2"/>
    <w:multiLevelType w:val="hybridMultilevel"/>
    <w:lvl w:ilvl="0">
      <w:lvlJc w:val="left"/>
      <w:lvlText w:val="(%1)"/>
      <w:numFmt w:val="lowerRoman"/>
      <w:start w:val="5"/>
    </w:lvl>
  </w:abstractNum>
  <w:abstractNum w:abstractNumId="164">
    <w:nsid w:val="26A02C5E"/>
    <w:multiLevelType w:val="hybridMultilevel"/>
    <w:lvl w:ilvl="0">
      <w:lvlJc w:val="left"/>
      <w:lvlText w:val="(%1)"/>
      <w:numFmt w:val="lowerLetter"/>
      <w:start w:val="1"/>
    </w:lvl>
  </w:abstractNum>
  <w:abstractNum w:abstractNumId="165">
    <w:nsid w:val="541C8153"/>
    <w:multiLevelType w:val="hybridMultilevel"/>
    <w:lvl w:ilvl="0">
      <w:lvlJc w:val="left"/>
      <w:lvlText w:val="(%1)"/>
      <w:numFmt w:val="lowerLetter"/>
      <w:start w:val="2"/>
    </w:lvl>
  </w:abstractNum>
  <w:abstractNum w:abstractNumId="166">
    <w:nsid w:val="67906F60"/>
    <w:multiLevelType w:val="hybridMultilevel"/>
    <w:lvl w:ilvl="0">
      <w:lvlJc w:val="left"/>
      <w:lvlText w:val="%1"/>
      <w:numFmt w:val="lowerLetter"/>
      <w:start w:val="1"/>
    </w:lvl>
    <w:lvl w:ilvl="1">
      <w:lvlJc w:val="left"/>
      <w:lvlText w:val="(%2)"/>
      <w:numFmt w:val="lowerLetter"/>
      <w:start w:val="1"/>
    </w:lvl>
  </w:abstractNum>
  <w:abstractNum w:abstractNumId="167">
    <w:nsid w:val="10DB9DAA"/>
    <w:multiLevelType w:val="hybridMultilevel"/>
    <w:lvl w:ilvl="0">
      <w:lvlJc w:val="left"/>
      <w:lvlText w:val="(%1)"/>
      <w:numFmt w:val="lowerLetter"/>
      <w:start w:val="35"/>
    </w:lvl>
    <w:lvl w:ilvl="1">
      <w:lvlJc w:val="left"/>
      <w:lvlText w:val="%2"/>
      <w:numFmt w:val="lowerLetter"/>
      <w:start w:val="1"/>
    </w:lvl>
  </w:abstractNum>
  <w:abstractNum w:abstractNumId="168">
    <w:nsid w:val="697D2D2"/>
    <w:multiLevelType w:val="hybridMultilevel"/>
    <w:lvl w:ilvl="0">
      <w:lvlJc w:val="left"/>
      <w:lvlText w:val="(%1)"/>
      <w:numFmt w:val="lowerRoman"/>
      <w:start w:val="1"/>
    </w:lvl>
  </w:abstractNum>
  <w:abstractNum w:abstractNumId="169">
    <w:nsid w:val="6D68AB2"/>
    <w:multiLevelType w:val="hybridMultilevel"/>
    <w:lvl w:ilvl="0">
      <w:lvlJc w:val="left"/>
      <w:lvlText w:val="(%1)"/>
      <w:numFmt w:val="lowerLetter"/>
      <w:start w:val="2"/>
    </w:lvl>
  </w:abstractNum>
  <w:abstractNum w:abstractNumId="170">
    <w:nsid w:val="3A966CD0"/>
    <w:multiLevelType w:val="hybridMultilevel"/>
    <w:lvl w:ilvl="0">
      <w:lvlJc w:val="left"/>
      <w:lvlText w:val="(%1)"/>
      <w:numFmt w:val="lowerLetter"/>
      <w:start w:val="1"/>
    </w:lvl>
  </w:abstractNum>
  <w:abstractNum w:abstractNumId="171">
    <w:nsid w:val="63F37E85"/>
    <w:multiLevelType w:val="hybridMultilevel"/>
    <w:lvl w:ilvl="0">
      <w:lvlJc w:val="left"/>
      <w:lvlText w:val="(%1)"/>
      <w:numFmt w:val="lowerLetter"/>
      <w:start w:val="4"/>
    </w:lvl>
    <w:lvl w:ilvl="1">
      <w:lvlJc w:val="left"/>
      <w:lvlText w:val="(%2)"/>
      <w:numFmt w:val="lowerRoman"/>
      <w:start w:val="1"/>
    </w:lvl>
  </w:abstractNum>
  <w:abstractNum w:abstractNumId="172">
    <w:nsid w:val="5895F5FA"/>
    <w:multiLevelType w:val="hybridMultilevel"/>
    <w:lvl w:ilvl="0">
      <w:lvlJc w:val="left"/>
      <w:lvlText w:val="%1"/>
      <w:numFmt w:val="lowerLetter"/>
      <w:start w:val="1"/>
    </w:lvl>
    <w:lvl w:ilvl="1">
      <w:lvlJc w:val="left"/>
      <w:lvlText w:val="(%2)"/>
      <w:numFmt w:val="lowerLetter"/>
      <w:start w:val="1"/>
    </w:lvl>
  </w:abstractNum>
  <w:abstractNum w:abstractNumId="173">
    <w:nsid w:val="38A5D054"/>
    <w:multiLevelType w:val="hybridMultilevel"/>
    <w:lvl w:ilvl="0">
      <w:lvlJc w:val="left"/>
      <w:lvlText w:val="(%1)"/>
      <w:numFmt w:val="lowerLetter"/>
      <w:start w:val="9"/>
    </w:lvl>
    <w:lvl w:ilvl="1">
      <w:lvlJc w:val="left"/>
      <w:lvlText w:val="%2"/>
      <w:numFmt w:val="lowerLetter"/>
      <w:start w:val="1"/>
    </w:lvl>
  </w:abstractNum>
  <w:abstractNum w:abstractNumId="174">
    <w:nsid w:val="F3F09D8"/>
    <w:multiLevelType w:val="hybridMultilevel"/>
    <w:lvl w:ilvl="0">
      <w:lvlJc w:val="left"/>
      <w:lvlText w:val="\endash "/>
      <w:numFmt w:val="bullet"/>
      <w:start w:val="1"/>
    </w:lvl>
    <w:lvl w:ilvl="1">
      <w:lvlJc w:val="left"/>
      <w:lvlText w:val="(%2)"/>
      <w:numFmt w:val="lowerLetter"/>
      <w:start w:val="3"/>
    </w:lvl>
  </w:abstractNum>
  <w:abstractNum w:abstractNumId="175">
    <w:nsid w:val="4B793735"/>
    <w:multiLevelType w:val="hybridMultilevel"/>
    <w:lvl w:ilvl="0">
      <w:lvlJc w:val="left"/>
      <w:lvlText w:val="%1"/>
      <w:numFmt w:val="lowerLetter"/>
      <w:start w:val="1"/>
    </w:lvl>
    <w:lvl w:ilvl="1">
      <w:lvlJc w:val="left"/>
      <w:lvlText w:val="(%2)"/>
      <w:numFmt w:val="lowerLetter"/>
      <w:start w:val="1"/>
    </w:lvl>
  </w:abstractNum>
  <w:abstractNum w:abstractNumId="176">
    <w:nsid w:val="4A10B4E8"/>
    <w:multiLevelType w:val="hybridMultilevel"/>
    <w:lvl w:ilvl="0">
      <w:lvlJc w:val="left"/>
      <w:lvlText w:val="(%1)"/>
      <w:numFmt w:val="lowerLetter"/>
      <w:start w:val="35"/>
    </w:lvl>
    <w:lvl w:ilvl="1">
      <w:lvlJc w:val="left"/>
      <w:lvlText w:val="%2"/>
      <w:numFmt w:val="lowerLetter"/>
      <w:start w:val="1"/>
    </w:lvl>
  </w:abstractNum>
  <w:abstractNum w:abstractNumId="177">
    <w:nsid w:val="43D3BCD4"/>
    <w:multiLevelType w:val="hybridMultilevel"/>
    <w:lvl w:ilvl="0">
      <w:lvlJc w:val="left"/>
      <w:lvlText w:val="(%1)"/>
      <w:numFmt w:val="lowerLetter"/>
      <w:start w:val="3"/>
    </w:lvl>
  </w:abstractNum>
  <w:abstractNum w:abstractNumId="178">
    <w:nsid w:val="4C2A7166"/>
    <w:multiLevelType w:val="hybridMultilevel"/>
    <w:lvl w:ilvl="0">
      <w:lvlJc w:val="left"/>
      <w:lvlText w:val="(%1)"/>
      <w:numFmt w:val="lowerLetter"/>
      <w:start w:val="1"/>
    </w:lvl>
  </w:abstractNum>
  <w:abstractNum w:abstractNumId="179">
    <w:nsid w:val="2E534A82"/>
    <w:multiLevelType w:val="hybridMultilevel"/>
    <w:lvl w:ilvl="0">
      <w:lvlJc w:val="left"/>
      <w:lvlText w:val="%1"/>
      <w:numFmt w:val="decimal"/>
      <w:start w:val="1"/>
    </w:lvl>
    <w:lvl w:ilvl="1">
      <w:lvlJc w:val="left"/>
      <w:lvlText w:val="(%2)"/>
      <w:numFmt w:val="lowerLetter"/>
      <w:start w:val="5"/>
    </w:lvl>
  </w:abstractNum>
  <w:abstractNum w:abstractNumId="180">
    <w:nsid w:val="26F2D364"/>
    <w:multiLevelType w:val="hybridMultilevel"/>
    <w:lvl w:ilvl="0">
      <w:lvlJc w:val="left"/>
      <w:lvlText w:val="(%1)"/>
      <w:numFmt w:val="decimal"/>
      <w:start w:val="5"/>
    </w:lvl>
    <w:lvl w:ilvl="1">
      <w:lvlJc w:val="left"/>
      <w:lvlText w:val="%2"/>
      <w:numFmt w:val="lowerLetter"/>
      <w:start w:val="1"/>
    </w:lvl>
  </w:abstractNum>
  <w:abstractNum w:abstractNumId="181">
    <w:nsid w:val="71C1AF98"/>
    <w:multiLevelType w:val="hybridMultilevel"/>
    <w:lvl w:ilvl="0">
      <w:lvlJc w:val="left"/>
      <w:lvlText w:val="(%1)"/>
      <w:numFmt w:val="lowerLetter"/>
      <w:start w:val="8"/>
    </w:lvl>
  </w:abstractNum>
  <w:abstractNum w:abstractNumId="182">
    <w:nsid w:val="3D00B9D9"/>
    <w:multiLevelType w:val="hybridMultilevel"/>
    <w:lvl w:ilvl="0">
      <w:lvlJc w:val="left"/>
      <w:lvlText w:val="(%1)"/>
      <w:numFmt w:val="lowerLetter"/>
      <w:start w:val="15"/>
    </w:lvl>
  </w:abstractNum>
  <w:abstractNum w:abstractNumId="183">
    <w:nsid w:val="15BCABA8"/>
    <w:multiLevelType w:val="hybridMultilevel"/>
    <w:lvl w:ilvl="0">
      <w:lvlJc w:val="left"/>
      <w:lvlText w:val="(%1)"/>
      <w:numFmt w:val="lowerLetter"/>
      <w:start w:val="21"/>
    </w:lvl>
  </w:abstractNum>
  <w:abstractNum w:abstractNumId="184">
    <w:nsid w:val="4E0B9A87"/>
    <w:multiLevelType w:val="hybridMultilevel"/>
    <w:lvl w:ilvl="0">
      <w:lvlJc w:val="left"/>
      <w:lvlText w:val="(%1)"/>
      <w:numFmt w:val="lowerLetter"/>
      <w:start w:val="1"/>
    </w:lvl>
  </w:abstractNum>
  <w:abstractNum w:abstractNumId="185">
    <w:nsid w:val="434BAE75"/>
    <w:multiLevelType w:val="hybridMultilevel"/>
    <w:lvl w:ilvl="0">
      <w:lvlJc w:val="left"/>
      <w:lvlText w:val="(%1)"/>
      <w:numFmt w:val="lowerLetter"/>
      <w:start w:val="2"/>
    </w:lvl>
  </w:abstractNum>
  <w:abstractNum w:abstractNumId="186">
    <w:nsid w:val="4F38F265"/>
    <w:multiLevelType w:val="hybridMultilevel"/>
    <w:lvl w:ilvl="0">
      <w:lvlJc w:val="left"/>
      <w:lvlText w:val="%1"/>
      <w:numFmt w:val="lowerLetter"/>
      <w:start w:val="1"/>
    </w:lvl>
    <w:lvl w:ilvl="1">
      <w:lvlJc w:val="left"/>
      <w:lvlText w:val="(%2)"/>
      <w:numFmt w:val="lowerLetter"/>
      <w:start w:val="1"/>
    </w:lvl>
  </w:abstractNum>
  <w:abstractNum w:abstractNumId="187">
    <w:nsid w:val="4C502870"/>
    <w:multiLevelType w:val="hybridMultilevel"/>
    <w:lvl w:ilvl="0">
      <w:lvlJc w:val="left"/>
      <w:lvlText w:val="(%1)"/>
      <w:numFmt w:val="lowerLetter"/>
      <w:start w:val="35"/>
    </w:lvl>
    <w:lvl w:ilvl="1">
      <w:lvlJc w:val="left"/>
      <w:lvlText w:val="%2"/>
      <w:numFmt w:val="lowerLetter"/>
      <w:start w:val="1"/>
    </w:lvl>
  </w:abstractNum>
  <w:abstractNum w:abstractNumId="188">
    <w:nsid w:val="1DE8725A"/>
    <w:multiLevelType w:val="hybridMultilevel"/>
    <w:lvl w:ilvl="0">
      <w:lvlJc w:val="left"/>
      <w:lvlText w:val="(%1)"/>
      <w:numFmt w:val="lowerRoman"/>
      <w:start w:val="1"/>
    </w:lvl>
  </w:abstractNum>
  <w:abstractNum w:abstractNumId="189">
    <w:nsid w:val="6A37288A"/>
    <w:multiLevelType w:val="hybridMultilevel"/>
    <w:lvl w:ilvl="0">
      <w:lvlJc w:val="left"/>
      <w:lvlText w:val="(%1)"/>
      <w:numFmt w:val="lowerLetter"/>
      <w:start w:val="2"/>
    </w:lvl>
  </w:abstractNum>
  <w:abstractNum w:abstractNumId="190">
    <w:nsid w:val="8F8B73F"/>
    <w:multiLevelType w:val="hybridMultilevel"/>
    <w:lvl w:ilvl="0">
      <w:lvlJc w:val="left"/>
      <w:lvlText w:val="(%1)"/>
      <w:numFmt w:val="lowerLetter"/>
      <w:start w:val="1"/>
    </w:lvl>
  </w:abstractNum>
  <w:abstractNum w:abstractNumId="191">
    <w:nsid w:val="CA6B462"/>
    <w:multiLevelType w:val="hybridMultilevel"/>
    <w:lvl w:ilvl="0">
      <w:lvlJc w:val="left"/>
      <w:lvlText w:val="(%1)"/>
      <w:numFmt w:val="lowerLetter"/>
      <w:start w:val="4"/>
    </w:lvl>
    <w:lvl w:ilvl="1">
      <w:lvlJc w:val="left"/>
      <w:lvlText w:val="(%2)"/>
      <w:numFmt w:val="lowerRoman"/>
      <w:start w:val="1"/>
    </w:lvl>
  </w:abstractNum>
  <w:abstractNum w:abstractNumId="192">
    <w:nsid w:val="763CB680"/>
    <w:multiLevelType w:val="hybridMultilevel"/>
    <w:lvl w:ilvl="0">
      <w:lvlJc w:val="left"/>
      <w:lvlText w:val="%1"/>
      <w:numFmt w:val="lowerLetter"/>
      <w:start w:val="1"/>
    </w:lvl>
    <w:lvl w:ilvl="1">
      <w:lvlJc w:val="left"/>
      <w:lvlText w:val="(%2)"/>
      <w:numFmt w:val="lowerLetter"/>
      <w:start w:val="1"/>
    </w:lvl>
  </w:abstractNum>
  <w:abstractNum w:abstractNumId="193">
    <w:nsid w:val="15B71329"/>
    <w:multiLevelType w:val="hybridMultilevel"/>
    <w:lvl w:ilvl="0">
      <w:lvlJc w:val="left"/>
      <w:lvlText w:val="(%1)"/>
      <w:numFmt w:val="lowerLetter"/>
      <w:start w:val="9"/>
    </w:lvl>
    <w:lvl w:ilvl="1">
      <w:lvlJc w:val="left"/>
      <w:lvlText w:val="%2"/>
      <w:numFmt w:val="lowerLetter"/>
      <w:start w:val="1"/>
    </w:lvl>
  </w:abstractNum>
  <w:abstractNum w:abstractNumId="194">
    <w:nsid w:val="3DA97044"/>
    <w:multiLevelType w:val="hybridMultilevel"/>
    <w:lvl w:ilvl="0">
      <w:lvlJc w:val="left"/>
      <w:lvlText w:val="\endash "/>
      <w:numFmt w:val="bullet"/>
      <w:start w:val="1"/>
    </w:lvl>
    <w:lvl w:ilvl="1">
      <w:lvlJc w:val="left"/>
      <w:lvlText w:val="(%2)"/>
      <w:numFmt w:val="lowerLetter"/>
      <w:start w:val="3"/>
    </w:lvl>
  </w:abstractNum>
  <w:abstractNum w:abstractNumId="195">
    <w:nsid w:val="1CDCE2DE"/>
    <w:multiLevelType w:val="hybridMultilevel"/>
    <w:lvl w:ilvl="0">
      <w:lvlJc w:val="left"/>
      <w:lvlText w:val="%1"/>
      <w:numFmt w:val="lowerLetter"/>
      <w:start w:val="1"/>
    </w:lvl>
    <w:lvl w:ilvl="1">
      <w:lvlJc w:val="left"/>
      <w:lvlText w:val="(%2)"/>
      <w:numFmt w:val="lowerLetter"/>
      <w:start w:val="1"/>
    </w:lvl>
  </w:abstractNum>
  <w:abstractNum w:abstractNumId="196">
    <w:nsid w:val="69D3947C"/>
    <w:multiLevelType w:val="hybridMultilevel"/>
    <w:lvl w:ilvl="0">
      <w:lvlJc w:val="left"/>
      <w:lvlText w:val="(%1)"/>
      <w:numFmt w:val="lowerLetter"/>
      <w:start w:val="35"/>
    </w:lvl>
    <w:lvl w:ilvl="1">
      <w:lvlJc w:val="left"/>
      <w:lvlText w:val="(%2)"/>
      <w:numFmt w:val="lowerLetter"/>
      <w:start w:val="3"/>
    </w:lvl>
  </w:abstractNum>
  <w:abstractNum w:abstractNumId="197">
    <w:nsid w:val="2539DFA5"/>
    <w:multiLevelType w:val="hybridMultilevel"/>
    <w:lvl w:ilvl="0">
      <w:lvlJc w:val="left"/>
      <w:lvlText w:val="(%1)"/>
      <w:numFmt w:val="lowerLetter"/>
      <w:start w:val="1"/>
    </w:lvl>
  </w:abstractNum>
  <w:abstractNum w:abstractNumId="198">
    <w:nsid w:val="2DB88089"/>
    <w:multiLevelType w:val="hybridMultilevel"/>
    <w:lvl w:ilvl="0">
      <w:lvlJc w:val="left"/>
      <w:lvlText w:val="%1"/>
      <w:numFmt w:val="decimal"/>
      <w:start w:val="1"/>
    </w:lvl>
    <w:lvl w:ilvl="1">
      <w:lvlJc w:val="left"/>
      <w:lvlText w:val="(%2)"/>
      <w:numFmt w:val="lowerLetter"/>
      <w:start w:val="3"/>
    </w:lvl>
  </w:abstractNum>
  <w:abstractNum w:abstractNumId="199">
    <w:nsid w:val="706B674E"/>
    <w:multiLevelType w:val="hybridMultilevel"/>
    <w:lvl w:ilvl="0">
      <w:lvlJc w:val="left"/>
      <w:lvlText w:val="(%1)"/>
      <w:numFmt w:val="decimal"/>
      <w:start w:val="5"/>
    </w:lvl>
    <w:lvl w:ilvl="1">
      <w:lvlJc w:val="left"/>
      <w:lvlText w:val="%2"/>
      <w:numFmt w:val="lowerLetter"/>
      <w:start w:val="1"/>
    </w:lvl>
  </w:abstractNum>
  <w:abstractNum w:abstractNumId="200">
    <w:nsid w:val="2C106A57"/>
    <w:multiLevelType w:val="hybridMultilevel"/>
    <w:lvl w:ilvl="0">
      <w:lvlJc w:val="left"/>
      <w:lvlText w:val="(%1)"/>
      <w:numFmt w:val="lowerLetter"/>
      <w:start w:val="8"/>
    </w:lvl>
  </w:abstractNum>
  <w:abstractNum w:abstractNumId="201">
    <w:nsid w:val="684EED59"/>
    <w:multiLevelType w:val="hybridMultilevel"/>
    <w:lvl w:ilvl="0">
      <w:lvlJc w:val="left"/>
      <w:lvlText w:val="(%1)"/>
      <w:numFmt w:val="lowerLetter"/>
      <w:start w:val="16"/>
    </w:lvl>
  </w:abstractNum>
  <w:abstractNum w:abstractNumId="202">
    <w:nsid w:val="545EE5D3"/>
    <w:multiLevelType w:val="hybridMultilevel"/>
    <w:lvl w:ilvl="0">
      <w:lvlJc w:val="left"/>
      <w:lvlText w:val="(%1)"/>
      <w:numFmt w:val="lowerLetter"/>
      <w:start w:val="21"/>
    </w:lvl>
  </w:abstractNum>
  <w:abstractNum w:abstractNumId="203">
    <w:nsid w:val="4A66051"/>
    <w:multiLevelType w:val="hybridMultilevel"/>
    <w:lvl w:ilvl="0">
      <w:lvlJc w:val="left"/>
      <w:lvlText w:val="(%1)"/>
      <w:numFmt w:val="lowerLetter"/>
      <w:start w:val="1"/>
    </w:lvl>
  </w:abstractNum>
  <w:abstractNum w:abstractNumId="204">
    <w:nsid w:val="20F4BDAD"/>
    <w:multiLevelType w:val="hybridMultilevel"/>
    <w:lvl w:ilvl="0">
      <w:lvlJc w:val="left"/>
      <w:lvlText w:val="(%1)"/>
      <w:numFmt w:val="lowerLetter"/>
      <w:start w:val="2"/>
    </w:lvl>
  </w:abstractNum>
  <w:abstractNum w:abstractNumId="205">
    <w:nsid w:val="639DEFAC"/>
    <w:multiLevelType w:val="hybridMultilevel"/>
    <w:lvl w:ilvl="0">
      <w:lvlJc w:val="left"/>
      <w:lvlText w:val="%1"/>
      <w:numFmt w:val="lowerLetter"/>
      <w:start w:val="1"/>
    </w:lvl>
    <w:lvl w:ilvl="1">
      <w:lvlJc w:val="left"/>
      <w:lvlText w:val="(%2)"/>
      <w:numFmt w:val="lowerLetter"/>
      <w:start w:val="1"/>
    </w:lvl>
  </w:abstractNum>
  <w:abstractNum w:abstractNumId="206">
    <w:nsid w:val="501F9786"/>
    <w:multiLevelType w:val="hybridMultilevel"/>
    <w:lvl w:ilvl="0">
      <w:lvlJc w:val="left"/>
      <w:lvlText w:val="(%1)"/>
      <w:numFmt w:val="lowerLetter"/>
      <w:start w:val="35"/>
    </w:lvl>
    <w:lvl w:ilvl="1">
      <w:lvlJc w:val="left"/>
      <w:lvlText w:val="%2"/>
      <w:numFmt w:val="lowerLetter"/>
      <w:start w:val="1"/>
    </w:lvl>
  </w:abstractNum>
  <w:abstractNum w:abstractNumId="207">
    <w:nsid w:val="6B057295"/>
    <w:multiLevelType w:val="hybridMultilevel"/>
    <w:lvl w:ilvl="0">
      <w:lvlJc w:val="left"/>
      <w:lvlText w:val="(%1)"/>
      <w:numFmt w:val="lowerRoman"/>
      <w:start w:val="1"/>
    </w:lvl>
  </w:abstractNum>
  <w:abstractNum w:abstractNumId="208">
    <w:nsid w:val="2771AC80"/>
    <w:multiLevelType w:val="hybridMultilevel"/>
    <w:lvl w:ilvl="0">
      <w:lvlJc w:val="left"/>
      <w:lvlText w:val="(%1)"/>
      <w:numFmt w:val="lowerLetter"/>
      <w:start w:val="2"/>
    </w:lvl>
  </w:abstractNum>
  <w:abstractNum w:abstractNumId="209">
    <w:nsid w:val="1C4A08EC"/>
    <w:multiLevelType w:val="hybridMultilevel"/>
    <w:lvl w:ilvl="0">
      <w:lvlJc w:val="left"/>
      <w:lvlText w:val="(%1)"/>
      <w:numFmt w:val="lowerLetter"/>
      <w:start w:val="1"/>
    </w:lvl>
  </w:abstractNum>
  <w:abstractNum w:abstractNumId="210">
    <w:nsid w:val="1958BD17"/>
    <w:multiLevelType w:val="hybridMultilevel"/>
    <w:lvl w:ilvl="0">
      <w:lvlJc w:val="left"/>
      <w:lvlText w:val="(%1)"/>
      <w:numFmt w:val="lowerLetter"/>
      <w:start w:val="4"/>
    </w:lvl>
    <w:lvl w:ilvl="1">
      <w:lvlJc w:val="left"/>
      <w:lvlText w:val="(%2)"/>
      <w:numFmt w:val="lowerRoman"/>
      <w:start w:val="1"/>
    </w:lvl>
  </w:abstractNum>
  <w:abstractNum w:abstractNumId="211">
    <w:nsid w:val="4E647FE4"/>
    <w:multiLevelType w:val="hybridMultilevel"/>
    <w:lvl w:ilvl="0">
      <w:lvlJc w:val="left"/>
      <w:lvlText w:val="%1"/>
      <w:numFmt w:val="lowerLetter"/>
      <w:start w:val="1"/>
    </w:lvl>
    <w:lvl w:ilvl="1">
      <w:lvlJc w:val="left"/>
      <w:lvlText w:val="(%2)"/>
      <w:numFmt w:val="lowerLetter"/>
      <w:start w:val="1"/>
    </w:lvl>
  </w:abstractNum>
  <w:abstractNum w:abstractNumId="212">
    <w:nsid w:val="E0BB885"/>
    <w:multiLevelType w:val="hybridMultilevel"/>
    <w:lvl w:ilvl="0">
      <w:lvlJc w:val="left"/>
      <w:lvlText w:val="(%1)"/>
      <w:numFmt w:val="lowerLetter"/>
      <w:start w:val="9"/>
    </w:lvl>
    <w:lvl w:ilvl="1">
      <w:lvlJc w:val="left"/>
      <w:lvlText w:val="%2"/>
      <w:numFmt w:val="lowerLetter"/>
      <w:start w:val="1"/>
    </w:lvl>
  </w:abstractNum>
  <w:abstractNum w:abstractNumId="213">
    <w:nsid w:val="565976F1"/>
    <w:multiLevelType w:val="hybridMultilevel"/>
    <w:lvl w:ilvl="0">
      <w:lvlJc w:val="left"/>
      <w:lvlText w:val="\endash "/>
      <w:numFmt w:val="bullet"/>
      <w:start w:val="1"/>
    </w:lvl>
    <w:lvl w:ilvl="1">
      <w:lvlJc w:val="left"/>
      <w:lvlText w:val="(%2)"/>
      <w:numFmt w:val="lowerLetter"/>
      <w:start w:val="3"/>
    </w:lvl>
  </w:abstractNum>
  <w:abstractNum w:abstractNumId="214">
    <w:nsid w:val="64212B8C"/>
    <w:multiLevelType w:val="hybridMultilevel"/>
    <w:lvl w:ilvl="0">
      <w:lvlJc w:val="left"/>
      <w:lvlText w:val="%1"/>
      <w:numFmt w:val="lowerLetter"/>
      <w:start w:val="1"/>
    </w:lvl>
    <w:lvl w:ilvl="1">
      <w:lvlJc w:val="left"/>
      <w:lvlText w:val="(%2)"/>
      <w:numFmt w:val="lowerLetter"/>
      <w:start w:val="1"/>
    </w:lvl>
  </w:abstractNum>
  <w:abstractNum w:abstractNumId="215">
    <w:nsid w:val="5C17530C"/>
    <w:multiLevelType w:val="hybridMultilevel"/>
    <w:lvl w:ilvl="0">
      <w:lvlJc w:val="left"/>
      <w:lvlText w:val="(%1)"/>
      <w:numFmt w:val="lowerLetter"/>
      <w:start w:val="35"/>
    </w:lvl>
    <w:lvl w:ilvl="1">
      <w:lvlJc w:val="left"/>
      <w:lvlText w:val="(%2)"/>
      <w:numFmt w:val="lowerLetter"/>
      <w:start w:val="3"/>
    </w:lvl>
  </w:abstractNum>
  <w:abstractNum w:abstractNumId="216">
    <w:nsid w:val="19A52566"/>
    <w:multiLevelType w:val="hybridMultilevel"/>
    <w:lvl w:ilvl="0">
      <w:lvlJc w:val="left"/>
      <w:lvlText w:val="(%1)"/>
      <w:numFmt w:val="lowerLetter"/>
      <w:start w:val="1"/>
    </w:lvl>
  </w:abstractNum>
  <w:abstractNum w:abstractNumId="217">
    <w:nsid w:val="335A1DF1"/>
    <w:multiLevelType w:val="hybridMultilevel"/>
    <w:lvl w:ilvl="0">
      <w:lvlJc w:val="left"/>
      <w:lvlText w:val="%1"/>
      <w:numFmt w:val="decimal"/>
      <w:start w:val="1"/>
    </w:lvl>
    <w:lvl w:ilvl="1">
      <w:lvlJc w:val="left"/>
      <w:lvlText w:val="(%2)"/>
      <w:numFmt w:val="lowerLetter"/>
      <w:start w:val="3"/>
    </w:lvl>
  </w:abstractNum>
  <w:abstractNum w:abstractNumId="218">
    <w:nsid w:val="28677B7C"/>
    <w:multiLevelType w:val="hybridMultilevel"/>
    <w:lvl w:ilvl="0">
      <w:lvlJc w:val="left"/>
      <w:lvlText w:val="(%1)"/>
      <w:numFmt w:val="decimal"/>
      <w:start w:val="5"/>
    </w:lvl>
    <w:lvl w:ilvl="1">
      <w:lvlJc w:val="left"/>
      <w:lvlText w:val="%2"/>
      <w:numFmt w:val="lowerLetter"/>
      <w:start w:val="1"/>
    </w:lvl>
  </w:abstractNum>
  <w:abstractNum w:abstractNumId="219">
    <w:nsid w:val="378D97C0"/>
    <w:multiLevelType w:val="hybridMultilevel"/>
    <w:lvl w:ilvl="0">
      <w:lvlJc w:val="left"/>
      <w:lvlText w:val="(%1)"/>
      <w:numFmt w:val="lowerLetter"/>
      <w:start w:val="8"/>
    </w:lvl>
  </w:abstractNum>
  <w:abstractNum w:abstractNumId="220">
    <w:nsid w:val="1D91467C"/>
    <w:multiLevelType w:val="hybridMultilevel"/>
    <w:lvl w:ilvl="0">
      <w:lvlJc w:val="left"/>
      <w:lvlText w:val="(%1)"/>
      <w:numFmt w:val="lowerLetter"/>
      <w:start w:val="16"/>
    </w:lvl>
  </w:abstractNum>
  <w:abstractNum w:abstractNumId="221">
    <w:nsid w:val="316032BB"/>
    <w:multiLevelType w:val="hybridMultilevel"/>
    <w:lvl w:ilvl="0">
      <w:lvlJc w:val="left"/>
      <w:lvlText w:val="(%1)"/>
      <w:numFmt w:val="lowerRoman"/>
      <w:start w:val="5"/>
    </w:lvl>
  </w:abstractNum>
  <w:abstractNum w:abstractNumId="222">
    <w:nsid w:val="44344C22"/>
    <w:multiLevelType w:val="hybridMultilevel"/>
    <w:lvl w:ilvl="0">
      <w:lvlJc w:val="left"/>
      <w:lvlText w:val="%1."/>
      <w:numFmt w:val="decimal"/>
      <w:start w:val="1"/>
    </w:lvl>
    <w:lvl w:ilvl="1">
      <w:lvlJc w:val="left"/>
      <w:lvlText w:val="%2)"/>
      <w:numFmt w:val="lowerLetter"/>
      <w:start w:val="1"/>
    </w:lvl>
  </w:abstractNum>
  <w:abstractNum w:abstractNumId="223">
    <w:nsid w:val="13CDFCFC"/>
    <w:multiLevelType w:val="hybridMultilevel"/>
    <w:lvl w:ilvl="0">
      <w:lvlJc w:val="left"/>
      <w:lvlText w:val="%1."/>
      <w:numFmt w:val="decimal"/>
      <w:start w:val="1"/>
    </w:lvl>
    <w:lvl w:ilvl="1">
      <w:lvlJc w:val="left"/>
      <w:lvlText w:val="%2)"/>
      <w:numFmt w:val="lowerLetter"/>
      <w:start w:val="1"/>
    </w:lvl>
  </w:abstractNum>
  <w:abstractNum w:abstractNumId="224">
    <w:nsid w:val="471745E4"/>
    <w:multiLevelType w:val="hybridMultilevel"/>
    <w:lvl w:ilvl="0">
      <w:lvlJc w:val="left"/>
      <w:lvlText w:val="%1)"/>
      <w:numFmt w:val="decimal"/>
      <w:start w:val="1"/>
    </w:lvl>
  </w:abstractNum>
  <w:abstractNum w:abstractNumId="225">
    <w:nsid w:val="1DDBC6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2023-05-08T07:08:20Z</dcterms:created>
  <dcterms:modified xsi:type="dcterms:W3CDTF">2023-05-08T07:08:20Z</dcterms:modified>
</cp:coreProperties>
</file>