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374650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-199390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133350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480" w:right="2120" w:hanging="1347"/>
        <w:spacing w:after="0" w:line="282" w:lineRule="auto"/>
        <w:tabs>
          <w:tab w:leader="none" w:pos="233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480" w:right="2120" w:hanging="1355"/>
        <w:spacing w:after="0" w:line="282" w:lineRule="auto"/>
        <w:tabs>
          <w:tab w:leader="none" w:pos="2324"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146050</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TG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240"/>
          </w:cols>
          <w:pgMar w:left="820" w:top="665" w:right="839" w:bottom="1440" w:gutter="0" w:footer="0" w:header="0"/>
        </w:sectPr>
      </w:pPr>
    </w:p>
    <w:p>
      <w:pPr>
        <w:spacing w:after="0" w:line="97"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(I.R.S. Employer Identification No.)</w:t>
      </w:r>
    </w:p>
    <w:p>
      <w:pPr>
        <w:spacing w:after="0" w:line="108" w:lineRule="exact"/>
        <w:rPr>
          <w:sz w:val="24"/>
          <w:szCs w:val="24"/>
          <w:color w:val="auto"/>
        </w:rPr>
      </w:pPr>
    </w:p>
    <w:p>
      <w:pPr>
        <w:sectPr>
          <w:pgSz w:w="11900" w:h="16838" w:orient="portrait"/>
          <w:cols w:equalWidth="0" w:num="2">
            <w:col w:w="5560" w:space="720"/>
            <w:col w:w="3960"/>
          </w:cols>
          <w:pgMar w:left="820" w:top="665" w:right="8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3020 Carrington Mill Blvd, Suite 475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Morrisville, North Carolina 27560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89"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Class</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Exchange Name</w:t>
            </w:r>
          </w:p>
        </w:tc>
      </w:tr>
      <w:tr>
        <w:trPr>
          <w:trHeight w:val="210"/>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TGTX</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80" w:lineRule="exact"/>
        <w:rPr>
          <w:sz w:val="24"/>
          <w:szCs w:val="24"/>
          <w:color w:val="auto"/>
        </w:rPr>
      </w:pPr>
    </w:p>
    <w:p>
      <w:pPr>
        <w:jc w:val="both"/>
        <w:ind w:left="20" w:right="1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ind w:left="20" w:right="26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220" w:hanging="210"/>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4" w:lineRule="exact"/>
        <w:rPr>
          <w:sz w:val="24"/>
          <w:szCs w:val="24"/>
          <w:color w:val="auto"/>
        </w:rPr>
      </w:pPr>
    </w:p>
    <w:p>
      <w:pPr>
        <w:ind w:left="20"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type w:val="continuous"/>
        </w:sectPr>
      </w:pPr>
    </w:p>
    <w:p>
      <w:pPr>
        <w:spacing w:after="0" w:line="31"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9" w:lineRule="exact"/>
        <w:rPr>
          <w:sz w:val="24"/>
          <w:szCs w:val="24"/>
          <w:color w:val="auto"/>
        </w:rPr>
      </w:pPr>
    </w:p>
    <w:p>
      <w:pPr>
        <w:sectPr>
          <w:pgSz w:w="11900" w:h="16838" w:orient="portrait"/>
          <w:cols w:equalWidth="0" w:num="2">
            <w:col w:w="8100" w:space="720"/>
            <w:col w:w="1420"/>
          </w:cols>
          <w:pgMar w:left="820" w:top="665" w:right="839" w:bottom="1440" w:gutter="0" w:footer="0" w:header="0"/>
          <w:type w:val="continuous"/>
        </w:sectPr>
      </w:pPr>
    </w:p>
    <w:p>
      <w:pPr>
        <w:ind w:left="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7340" w:space="720"/>
            <w:col w:w="2180"/>
          </w:cols>
          <w:pgMar w:left="820" w:top="665" w:right="839" w:bottom="1440" w:gutter="0" w:footer="0" w:header="0"/>
          <w:type w:val="continuous"/>
        </w:sectPr>
      </w:pPr>
    </w:p>
    <w:p>
      <w:pPr>
        <w:ind w:left="8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0240"/>
          </w:cols>
          <w:pgMar w:left="820" w:top="665" w:right="839" w:bottom="1440" w:gutter="0" w:footer="0" w:header="0"/>
          <w:type w:val="continuous"/>
        </w:sectPr>
      </w:pPr>
    </w:p>
    <w:p>
      <w:pPr>
        <w:spacing w:after="0" w:line="165" w:lineRule="exact"/>
        <w:rPr>
          <w:sz w:val="24"/>
          <w:szCs w:val="24"/>
          <w:color w:val="auto"/>
        </w:rPr>
      </w:pPr>
    </w:p>
    <w:p>
      <w:pPr>
        <w:ind w:left="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23"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left="20"/>
        <w:spacing w:after="0"/>
        <w:rPr>
          <w:sz w:val="20"/>
          <w:szCs w:val="20"/>
          <w:color w:val="auto"/>
        </w:rPr>
      </w:pPr>
      <w:r>
        <w:rPr>
          <w:rFonts w:ascii="Arial" w:cs="Arial" w:eastAsia="Arial" w:hAnsi="Arial"/>
          <w:sz w:val="18"/>
          <w:szCs w:val="18"/>
          <w:color w:val="auto"/>
        </w:rPr>
        <w:t>There were 150,977,564 shares of the registrant’s common stock, $0.001 par value, outstanding as of August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494665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7220" w:type="dxa"/>
            <w:vAlign w:val="bottom"/>
            <w:gridSpan w:val="25"/>
          </w:tcPr>
          <w:p>
            <w:pPr>
              <w:spacing w:after="0"/>
              <w:rPr>
                <w:sz w:val="20"/>
                <w:szCs w:val="20"/>
                <w:color w:val="auto"/>
              </w:rPr>
            </w:pPr>
            <w:r>
              <w:rPr>
                <w:rFonts w:ascii="Arial" w:cs="Arial" w:eastAsia="Arial" w:hAnsi="Arial"/>
                <w:sz w:val="18"/>
                <w:szCs w:val="18"/>
                <w:color w:val="0000EE"/>
              </w:rPr>
              <w:t>Table of Contents</w:t>
            </w:r>
          </w:p>
        </w:tc>
        <w:tc>
          <w:tcPr>
            <w:tcW w:w="1680" w:type="dxa"/>
            <w:vAlign w:val="bottom"/>
          </w:tcPr>
          <w:p>
            <w:pPr>
              <w:spacing w:after="0"/>
              <w:rPr>
                <w:sz w:val="17"/>
                <w:szCs w:val="17"/>
                <w:color w:val="auto"/>
              </w:rPr>
            </w:pPr>
          </w:p>
        </w:tc>
      </w:tr>
      <w:tr>
        <w:trPr>
          <w:trHeight w:val="745"/>
        </w:trPr>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0" w:type="dxa"/>
            <w:vAlign w:val="bottom"/>
            <w:gridSpan w:val="9"/>
          </w:tcPr>
          <w:p>
            <w:pPr>
              <w:jc w:val="center"/>
              <w:ind w:right="1340"/>
              <w:spacing w:after="0"/>
              <w:rPr>
                <w:sz w:val="20"/>
                <w:szCs w:val="20"/>
                <w:color w:val="auto"/>
              </w:rPr>
            </w:pPr>
            <w:r>
              <w:rPr>
                <w:rFonts w:ascii="Arial" w:cs="Arial" w:eastAsia="Arial" w:hAnsi="Arial"/>
                <w:sz w:val="18"/>
                <w:szCs w:val="18"/>
                <w:b w:val="1"/>
                <w:bCs w:val="1"/>
                <w:color w:val="auto"/>
              </w:rPr>
              <w:t>TG THERAPEUTICS, INC.</w:t>
            </w:r>
          </w:p>
        </w:tc>
        <w:tc>
          <w:tcPr>
            <w:tcW w:w="168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520" w:type="dxa"/>
            <w:vAlign w:val="bottom"/>
            <w:gridSpan w:val="8"/>
          </w:tcPr>
          <w:p>
            <w:pPr>
              <w:jc w:val="center"/>
              <w:ind w:right="2020"/>
              <w:spacing w:after="0"/>
              <w:rPr>
                <w:sz w:val="20"/>
                <w:szCs w:val="20"/>
                <w:color w:val="auto"/>
              </w:rPr>
            </w:pPr>
            <w:r>
              <w:rPr>
                <w:rFonts w:ascii="Arial" w:cs="Arial" w:eastAsia="Arial" w:hAnsi="Arial"/>
                <w:sz w:val="18"/>
                <w:szCs w:val="18"/>
                <w:b w:val="1"/>
                <w:bCs w:val="1"/>
                <w:color w:val="auto"/>
                <w:w w:val="99"/>
              </w:rPr>
              <w:t>FORM 10-Q</w:t>
            </w:r>
          </w:p>
        </w:tc>
        <w:tc>
          <w:tcPr>
            <w:tcW w:w="168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gridSpan w:val="11"/>
          </w:tcPr>
          <w:p>
            <w:pPr>
              <w:jc w:val="center"/>
              <w:ind w:right="960"/>
              <w:spacing w:after="0"/>
              <w:rPr>
                <w:sz w:val="20"/>
                <w:szCs w:val="20"/>
                <w:color w:val="auto"/>
              </w:rPr>
            </w:pPr>
            <w:r>
              <w:rPr>
                <w:rFonts w:ascii="Arial" w:cs="Arial" w:eastAsia="Arial" w:hAnsi="Arial"/>
                <w:sz w:val="18"/>
                <w:szCs w:val="18"/>
                <w:b w:val="1"/>
                <w:bCs w:val="1"/>
                <w:color w:val="auto"/>
                <w:w w:val="96"/>
              </w:rPr>
              <w:t>FOR THE QUARTER ENDED June 30, 2023</w:t>
            </w:r>
          </w:p>
        </w:tc>
        <w:tc>
          <w:tcPr>
            <w:tcW w:w="1680" w:type="dxa"/>
            <w:vAlign w:val="bottom"/>
          </w:tcPr>
          <w:p>
            <w:pPr>
              <w:spacing w:after="0"/>
              <w:rPr>
                <w:sz w:val="20"/>
                <w:szCs w:val="20"/>
                <w:color w:val="auto"/>
              </w:rPr>
            </w:pPr>
          </w:p>
        </w:tc>
      </w:tr>
      <w:tr>
        <w:trPr>
          <w:trHeight w:val="405"/>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0" w:type="dxa"/>
            <w:vAlign w:val="bottom"/>
            <w:gridSpan w:val="9"/>
          </w:tcPr>
          <w:p>
            <w:pPr>
              <w:jc w:val="center"/>
              <w:ind w:right="1360"/>
              <w:spacing w:after="0"/>
              <w:rPr>
                <w:sz w:val="20"/>
                <w:szCs w:val="20"/>
                <w:color w:val="auto"/>
              </w:rPr>
            </w:pPr>
            <w:r>
              <w:rPr>
                <w:rFonts w:ascii="Arial" w:cs="Arial" w:eastAsia="Arial" w:hAnsi="Arial"/>
                <w:sz w:val="18"/>
                <w:szCs w:val="18"/>
                <w:b w:val="1"/>
                <w:bCs w:val="1"/>
                <w:color w:val="auto"/>
                <w:w w:val="98"/>
              </w:rPr>
              <w:t>TABLE OF CONTENTS</w:t>
            </w:r>
          </w:p>
        </w:tc>
        <w:tc>
          <w:tcPr>
            <w:tcW w:w="1680" w:type="dxa"/>
            <w:vAlign w:val="bottom"/>
          </w:tcPr>
          <w:p>
            <w:pPr>
              <w:spacing w:after="0"/>
              <w:rPr>
                <w:sz w:val="24"/>
                <w:szCs w:val="24"/>
                <w:color w:val="auto"/>
              </w:rPr>
            </w:pPr>
          </w:p>
        </w:tc>
      </w:tr>
      <w:tr>
        <w:trPr>
          <w:trHeight w:val="364"/>
        </w:trPr>
        <w:tc>
          <w:tcPr>
            <w:tcW w:w="672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5"/>
              </w:rPr>
              <w:t>SPECIAL CAUTIONARY NOTICE REGARDING FORWARD-LOOKING STATEMENTS</w:t>
            </w:r>
          </w:p>
        </w:tc>
        <w:tc>
          <w:tcPr>
            <w:tcW w:w="500" w:type="dxa"/>
            <w:vAlign w:val="bottom"/>
            <w:gridSpan w:val="2"/>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22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4"/>
              </w:rPr>
              <w:t>SUMMARY RISK FACTORS</w:t>
            </w:r>
          </w:p>
        </w:tc>
        <w:tc>
          <w:tcPr>
            <w:tcW w:w="5020" w:type="dxa"/>
            <w:vAlign w:val="bottom"/>
            <w:gridSpan w:val="14"/>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760" w:type="dxa"/>
            <w:vAlign w:val="bottom"/>
            <w:gridSpan w:val="5"/>
          </w:tcPr>
          <w:p>
            <w:pPr>
              <w:spacing w:after="0"/>
              <w:rPr>
                <w:sz w:val="20"/>
                <w:szCs w:val="20"/>
                <w:color w:val="auto"/>
              </w:rPr>
            </w:pPr>
            <w:r>
              <w:rPr>
                <w:rFonts w:ascii="Arial" w:cs="Arial" w:eastAsia="Arial" w:hAnsi="Arial"/>
                <w:sz w:val="18"/>
                <w:szCs w:val="18"/>
                <w:color w:val="0000EE"/>
              </w:rPr>
              <w:t>PART I</w:t>
            </w:r>
          </w:p>
        </w:tc>
        <w:tc>
          <w:tcPr>
            <w:tcW w:w="6460" w:type="dxa"/>
            <w:vAlign w:val="bottom"/>
            <w:gridSpan w:val="20"/>
          </w:tcPr>
          <w:p>
            <w:pPr>
              <w:spacing w:after="0"/>
              <w:rPr>
                <w:sz w:val="20"/>
                <w:szCs w:val="20"/>
                <w:color w:val="auto"/>
              </w:rPr>
            </w:pPr>
            <w:r>
              <w:rPr>
                <w:rFonts w:ascii="Arial" w:cs="Arial" w:eastAsia="Arial" w:hAnsi="Arial"/>
                <w:sz w:val="18"/>
                <w:szCs w:val="18"/>
                <w:color w:val="0000EE"/>
              </w:rPr>
              <w:t>FINANCIAL INFORMATION</w:t>
            </w: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7"/>
              </w:rPr>
              <w:t>Item 1</w:t>
            </w:r>
          </w:p>
        </w:tc>
        <w:tc>
          <w:tcPr>
            <w:tcW w:w="40" w:type="dxa"/>
            <w:vAlign w:val="bottom"/>
            <w:tcBorders>
              <w:top w:val="single" w:sz="8" w:color="0000EE"/>
            </w:tcBorders>
          </w:tcPr>
          <w:p>
            <w:pPr>
              <w:spacing w:after="0"/>
              <w:rPr>
                <w:sz w:val="24"/>
                <w:szCs w:val="24"/>
                <w:color w:val="auto"/>
              </w:rPr>
            </w:pPr>
          </w:p>
        </w:tc>
        <w:tc>
          <w:tcPr>
            <w:tcW w:w="240" w:type="dxa"/>
            <w:vAlign w:val="bottom"/>
            <w:gridSpan w:val="3"/>
          </w:tcPr>
          <w:p>
            <w:pPr>
              <w:spacing w:after="0"/>
              <w:rPr>
                <w:sz w:val="24"/>
                <w:szCs w:val="24"/>
                <w:color w:val="auto"/>
              </w:rPr>
            </w:pPr>
          </w:p>
        </w:tc>
        <w:tc>
          <w:tcPr>
            <w:tcW w:w="15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88"/>
              </w:rPr>
              <w:t>Financial Statements:</w:t>
            </w:r>
          </w:p>
        </w:tc>
        <w:tc>
          <w:tcPr>
            <w:tcW w:w="700" w:type="dxa"/>
            <w:vAlign w:val="bottom"/>
            <w:tcBorders>
              <w:top w:val="single" w:sz="8" w:color="0000EE"/>
            </w:tcBorders>
            <w:gridSpan w:val="4"/>
          </w:tcPr>
          <w:p>
            <w:pPr>
              <w:spacing w:after="0"/>
              <w:rPr>
                <w:sz w:val="24"/>
                <w:szCs w:val="24"/>
                <w:color w:val="auto"/>
              </w:rPr>
            </w:pPr>
          </w:p>
        </w:tc>
        <w:tc>
          <w:tcPr>
            <w:tcW w:w="4200" w:type="dxa"/>
            <w:vAlign w:val="bottom"/>
            <w:gridSpan w:val="9"/>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7"/>
              </w:rPr>
              <w:t>Condensed Consolidated Balance Sheets</w:t>
            </w:r>
          </w:p>
        </w:tc>
        <w:tc>
          <w:tcPr>
            <w:tcW w:w="3520" w:type="dxa"/>
            <w:vAlign w:val="bottom"/>
            <w:gridSpan w:val="8"/>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4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Condensed Consolidated Statements of Operations (unaudited)</w:t>
            </w:r>
          </w:p>
        </w:tc>
        <w:tc>
          <w:tcPr>
            <w:tcW w:w="1920" w:type="dxa"/>
            <w:vAlign w:val="bottom"/>
            <w:gridSpan w:val="5"/>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gridSpan w:val="20"/>
          </w:tcPr>
          <w:p>
            <w:pPr>
              <w:spacing w:after="0"/>
              <w:rPr>
                <w:sz w:val="20"/>
                <w:szCs w:val="20"/>
                <w:color w:val="auto"/>
              </w:rPr>
            </w:pPr>
            <w:r>
              <w:rPr>
                <w:rFonts w:ascii="Arial" w:cs="Arial" w:eastAsia="Arial" w:hAnsi="Arial"/>
                <w:sz w:val="18"/>
                <w:szCs w:val="18"/>
                <w:color w:val="0000EE"/>
                <w:w w:val="94"/>
              </w:rPr>
              <w:t>Condensed Consolidated Statements of Changes in Stockholders’ Equity (unaudited)</w:t>
            </w:r>
          </w:p>
        </w:tc>
        <w:tc>
          <w:tcPr>
            <w:tcW w:w="1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89"/>
              </w:rPr>
              <w:t>Condensed Consolidated Statements of Cash Flows (unaudited)</w:t>
            </w:r>
          </w:p>
        </w:tc>
        <w:tc>
          <w:tcPr>
            <w:tcW w:w="1500" w:type="dxa"/>
            <w:vAlign w:val="bottom"/>
            <w:tcBorders>
              <w:top w:val="single" w:sz="8" w:color="0000EE"/>
            </w:tcBorders>
            <w:gridSpan w:val="3"/>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89"/>
              </w:rPr>
              <w:t>Notes to Condensed Consolidated Financial Statements (unaudited)</w:t>
            </w:r>
          </w:p>
        </w:tc>
        <w:tc>
          <w:tcPr>
            <w:tcW w:w="1580" w:type="dxa"/>
            <w:vAlign w:val="bottom"/>
            <w:gridSpan w:val="3"/>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4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Item 2</w:t>
            </w:r>
          </w:p>
        </w:tc>
        <w:tc>
          <w:tcPr>
            <w:tcW w:w="280" w:type="dxa"/>
            <w:vAlign w:val="bottom"/>
            <w:gridSpan w:val="4"/>
          </w:tcPr>
          <w:p>
            <w:pPr>
              <w:spacing w:after="0"/>
              <w:rPr>
                <w:sz w:val="24"/>
                <w:szCs w:val="24"/>
                <w:color w:val="auto"/>
              </w:rPr>
            </w:pPr>
          </w:p>
        </w:tc>
        <w:tc>
          <w:tcPr>
            <w:tcW w:w="64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4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Item 3</w:t>
            </w:r>
          </w:p>
        </w:tc>
        <w:tc>
          <w:tcPr>
            <w:tcW w:w="280" w:type="dxa"/>
            <w:vAlign w:val="bottom"/>
            <w:gridSpan w:val="4"/>
          </w:tcPr>
          <w:p>
            <w:pPr>
              <w:spacing w:after="0"/>
              <w:rPr>
                <w:sz w:val="24"/>
                <w:szCs w:val="24"/>
                <w:color w:val="auto"/>
              </w:rPr>
            </w:pPr>
          </w:p>
        </w:tc>
        <w:tc>
          <w:tcPr>
            <w:tcW w:w="43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2080" w:type="dxa"/>
            <w:vAlign w:val="bottom"/>
            <w:gridSpan w:val="6"/>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4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Item 4</w:t>
            </w:r>
          </w:p>
        </w:tc>
        <w:tc>
          <w:tcPr>
            <w:tcW w:w="280" w:type="dxa"/>
            <w:vAlign w:val="bottom"/>
            <w:gridSpan w:val="4"/>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8"/>
              </w:rPr>
              <w:t>Controls and Procedures</w:t>
            </w:r>
          </w:p>
        </w:tc>
        <w:tc>
          <w:tcPr>
            <w:tcW w:w="4680" w:type="dxa"/>
            <w:vAlign w:val="bottom"/>
            <w:gridSpan w:val="12"/>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600" w:type="dxa"/>
            <w:vAlign w:val="bottom"/>
            <w:gridSpan w:val="4"/>
          </w:tcPr>
          <w:p>
            <w:pPr>
              <w:spacing w:after="0"/>
              <w:rPr>
                <w:sz w:val="20"/>
                <w:szCs w:val="20"/>
                <w:color w:val="auto"/>
              </w:rPr>
            </w:pPr>
            <w:r>
              <w:rPr>
                <w:rFonts w:ascii="Arial" w:cs="Arial" w:eastAsia="Arial" w:hAnsi="Arial"/>
                <w:sz w:val="18"/>
                <w:szCs w:val="18"/>
                <w:color w:val="0000EE"/>
                <w:w w:val="91"/>
              </w:rPr>
              <w:t>PART II</w:t>
            </w:r>
          </w:p>
        </w:tc>
        <w:tc>
          <w:tcPr>
            <w:tcW w:w="160" w:type="dxa"/>
            <w:vAlign w:val="bottom"/>
          </w:tcPr>
          <w:p>
            <w:pPr>
              <w:spacing w:after="0"/>
              <w:rPr>
                <w:sz w:val="24"/>
                <w:szCs w:val="24"/>
                <w:color w:val="auto"/>
              </w:rPr>
            </w:pPr>
          </w:p>
        </w:tc>
        <w:tc>
          <w:tcPr>
            <w:tcW w:w="6460" w:type="dxa"/>
            <w:vAlign w:val="bottom"/>
            <w:gridSpan w:val="20"/>
          </w:tcPr>
          <w:p>
            <w:pPr>
              <w:spacing w:after="0"/>
              <w:rPr>
                <w:sz w:val="20"/>
                <w:szCs w:val="20"/>
                <w:color w:val="auto"/>
              </w:rPr>
            </w:pPr>
            <w:r>
              <w:rPr>
                <w:rFonts w:ascii="Arial" w:cs="Arial" w:eastAsia="Arial" w:hAnsi="Arial"/>
                <w:sz w:val="18"/>
                <w:szCs w:val="18"/>
                <w:color w:val="0000EE"/>
              </w:rPr>
              <w:t>OTHER INFORMATION</w:t>
            </w: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48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7"/>
              </w:rPr>
              <w:t>Item 1</w:t>
            </w:r>
          </w:p>
        </w:tc>
        <w:tc>
          <w:tcPr>
            <w:tcW w:w="120" w:type="dxa"/>
            <w:vAlign w:val="bottom"/>
            <w:tcBorders>
              <w:top w:val="single" w:sz="8" w:color="0000EE"/>
            </w:tcBorders>
            <w:gridSpan w:val="3"/>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8"/>
              </w:rPr>
              <w:t>Legal Proceedings</w:t>
            </w:r>
          </w:p>
        </w:tc>
        <w:tc>
          <w:tcPr>
            <w:tcW w:w="540" w:type="dxa"/>
            <w:vAlign w:val="bottom"/>
            <w:tcBorders>
              <w:top w:val="single" w:sz="8" w:color="0000EE"/>
            </w:tcBorders>
            <w:gridSpan w:val="4"/>
          </w:tcPr>
          <w:p>
            <w:pPr>
              <w:spacing w:after="0"/>
              <w:rPr>
                <w:sz w:val="24"/>
                <w:szCs w:val="24"/>
                <w:color w:val="auto"/>
              </w:rPr>
            </w:pPr>
          </w:p>
        </w:tc>
        <w:tc>
          <w:tcPr>
            <w:tcW w:w="4580" w:type="dxa"/>
            <w:vAlign w:val="bottom"/>
            <w:gridSpan w:val="11"/>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760" w:type="dxa"/>
            <w:vAlign w:val="bottom"/>
            <w:gridSpan w:val="5"/>
          </w:tcPr>
          <w:p>
            <w:pPr>
              <w:spacing w:after="0"/>
              <w:rPr>
                <w:sz w:val="20"/>
                <w:szCs w:val="20"/>
                <w:color w:val="auto"/>
              </w:rPr>
            </w:pPr>
            <w:r>
              <w:rPr>
                <w:rFonts w:ascii="Arial" w:cs="Arial" w:eastAsia="Arial" w:hAnsi="Arial"/>
                <w:sz w:val="18"/>
                <w:szCs w:val="18"/>
                <w:color w:val="0000EE"/>
              </w:rPr>
              <w:t>Item 1A</w:t>
            </w:r>
          </w:p>
        </w:tc>
        <w:tc>
          <w:tcPr>
            <w:tcW w:w="6460" w:type="dxa"/>
            <w:vAlign w:val="bottom"/>
            <w:gridSpan w:val="20"/>
          </w:tcPr>
          <w:p>
            <w:pPr>
              <w:spacing w:after="0"/>
              <w:rPr>
                <w:sz w:val="20"/>
                <w:szCs w:val="20"/>
                <w:color w:val="auto"/>
              </w:rPr>
            </w:pPr>
            <w:r>
              <w:rPr>
                <w:rFonts w:ascii="Arial" w:cs="Arial" w:eastAsia="Arial" w:hAnsi="Arial"/>
                <w:sz w:val="18"/>
                <w:szCs w:val="18"/>
                <w:color w:val="0000EE"/>
              </w:rPr>
              <w:t>Risk Factors</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2"/>
        </w:trPr>
        <w:tc>
          <w:tcPr>
            <w:tcW w:w="4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Item 2</w:t>
            </w:r>
          </w:p>
        </w:tc>
        <w:tc>
          <w:tcPr>
            <w:tcW w:w="100" w:type="dxa"/>
            <w:vAlign w:val="bottom"/>
            <w:gridSpan w:val="2"/>
          </w:tcPr>
          <w:p>
            <w:pPr>
              <w:spacing w:after="0"/>
              <w:rPr>
                <w:sz w:val="24"/>
                <w:szCs w:val="24"/>
                <w:color w:val="auto"/>
              </w:rPr>
            </w:pPr>
          </w:p>
        </w:tc>
        <w:tc>
          <w:tcPr>
            <w:tcW w:w="180" w:type="dxa"/>
            <w:vAlign w:val="bottom"/>
            <w:gridSpan w:val="2"/>
          </w:tcPr>
          <w:p>
            <w:pPr>
              <w:spacing w:after="0"/>
              <w:rPr>
                <w:sz w:val="24"/>
                <w:szCs w:val="24"/>
                <w:color w:val="auto"/>
              </w:rPr>
            </w:pPr>
          </w:p>
        </w:tc>
        <w:tc>
          <w:tcPr>
            <w:tcW w:w="43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9"/>
              </w:rPr>
              <w:t>Unregistered Sales of Equity Securities and Use of Proceeds</w:t>
            </w:r>
          </w:p>
        </w:tc>
        <w:tc>
          <w:tcPr>
            <w:tcW w:w="2100" w:type="dxa"/>
            <w:vAlign w:val="bottom"/>
            <w:gridSpan w:val="7"/>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12"/>
        </w:trPr>
        <w:tc>
          <w:tcPr>
            <w:tcW w:w="4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Item 3</w:t>
            </w:r>
          </w:p>
        </w:tc>
        <w:tc>
          <w:tcPr>
            <w:tcW w:w="280" w:type="dxa"/>
            <w:vAlign w:val="bottom"/>
            <w:gridSpan w:val="4"/>
          </w:tcPr>
          <w:p>
            <w:pPr>
              <w:spacing w:after="0"/>
              <w:rPr>
                <w:sz w:val="24"/>
                <w:szCs w:val="24"/>
                <w:color w:val="auto"/>
              </w:rPr>
            </w:pPr>
          </w:p>
        </w:tc>
        <w:tc>
          <w:tcPr>
            <w:tcW w:w="208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0"/>
              </w:rPr>
              <w:t>Defaults of Senior Securities</w:t>
            </w:r>
          </w:p>
        </w:tc>
        <w:tc>
          <w:tcPr>
            <w:tcW w:w="4380" w:type="dxa"/>
            <w:vAlign w:val="bottom"/>
            <w:gridSpan w:val="10"/>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12"/>
        </w:trPr>
        <w:tc>
          <w:tcPr>
            <w:tcW w:w="4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Item 4</w:t>
            </w:r>
          </w:p>
        </w:tc>
        <w:tc>
          <w:tcPr>
            <w:tcW w:w="280" w:type="dxa"/>
            <w:vAlign w:val="bottom"/>
            <w:gridSpan w:val="4"/>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Mine Safety Disclosures</w:t>
            </w:r>
          </w:p>
        </w:tc>
        <w:tc>
          <w:tcPr>
            <w:tcW w:w="4680" w:type="dxa"/>
            <w:vAlign w:val="bottom"/>
            <w:gridSpan w:val="12"/>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12"/>
        </w:trPr>
        <w:tc>
          <w:tcPr>
            <w:tcW w:w="4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Item 5</w:t>
            </w:r>
          </w:p>
        </w:tc>
        <w:tc>
          <w:tcPr>
            <w:tcW w:w="280" w:type="dxa"/>
            <w:vAlign w:val="bottom"/>
            <w:gridSpan w:val="4"/>
          </w:tcPr>
          <w:p>
            <w:pPr>
              <w:spacing w:after="0"/>
              <w:rPr>
                <w:sz w:val="24"/>
                <w:szCs w:val="24"/>
                <w:color w:val="auto"/>
              </w:rPr>
            </w:pPr>
          </w:p>
        </w:tc>
        <w:tc>
          <w:tcPr>
            <w:tcW w:w="13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Other Information</w:t>
            </w:r>
          </w:p>
        </w:tc>
        <w:tc>
          <w:tcPr>
            <w:tcW w:w="5140" w:type="dxa"/>
            <w:vAlign w:val="bottom"/>
            <w:gridSpan w:val="16"/>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0000EE"/>
                <w:w w:val="87"/>
              </w:rPr>
              <w:t>Item 6</w:t>
            </w:r>
          </w:p>
        </w:tc>
        <w:tc>
          <w:tcPr>
            <w:tcW w:w="280" w:type="dxa"/>
            <w:vAlign w:val="bottom"/>
            <w:gridSpan w:val="4"/>
          </w:tcPr>
          <w:p>
            <w:pPr>
              <w:spacing w:after="0"/>
              <w:rPr>
                <w:sz w:val="24"/>
                <w:szCs w:val="24"/>
                <w:color w:val="auto"/>
              </w:rPr>
            </w:pPr>
          </w:p>
        </w:tc>
        <w:tc>
          <w:tcPr>
            <w:tcW w:w="6460" w:type="dxa"/>
            <w:vAlign w:val="bottom"/>
            <w:gridSpan w:val="20"/>
          </w:tcPr>
          <w:p>
            <w:pPr>
              <w:spacing w:after="0"/>
              <w:rPr>
                <w:sz w:val="20"/>
                <w:szCs w:val="20"/>
                <w:color w:val="auto"/>
              </w:rPr>
            </w:pPr>
            <w:r>
              <w:rPr>
                <w:rFonts w:ascii="Arial" w:cs="Arial" w:eastAsia="Arial" w:hAnsi="Arial"/>
                <w:sz w:val="18"/>
                <w:szCs w:val="18"/>
                <w:color w:val="0000EE"/>
              </w:rPr>
              <w:t>Exhibits</w:t>
            </w:r>
          </w:p>
        </w:tc>
        <w:tc>
          <w:tcPr>
            <w:tcW w:w="16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4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SPECIAL CAUTIONARY NOTICE REGARDING FORWARD-LOOKING STATEMENTS</w:t>
      </w:r>
    </w:p>
    <w:p>
      <w:pPr>
        <w:spacing w:after="0" w:line="26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6"/>
          <w:szCs w:val="16"/>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223"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7"/>
          <w:szCs w:val="17"/>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spacing w:after="0" w:line="229" w:lineRule="exact"/>
        <w:rPr>
          <w:sz w:val="20"/>
          <w:szCs w:val="20"/>
          <w:color w:val="auto"/>
        </w:rPr>
      </w:pPr>
    </w:p>
    <w:p>
      <w:pPr>
        <w:jc w:val="both"/>
        <w:ind w:left="540" w:right="59" w:hanging="4"/>
        <w:spacing w:after="0" w:line="249" w:lineRule="auto"/>
        <w:tabs>
          <w:tab w:leader="none" w:pos="702" w:val="left"/>
        </w:tabs>
        <w:numPr>
          <w:ilvl w:val="0"/>
          <w:numId w:val="4"/>
        </w:numPr>
        <w:rPr>
          <w:rFonts w:ascii="Arial" w:cs="Arial" w:eastAsia="Arial" w:hAnsi="Arial"/>
          <w:sz w:val="17"/>
          <w:szCs w:val="17"/>
          <w:color w:val="auto"/>
        </w:rPr>
      </w:pPr>
      <w:r>
        <w:rPr>
          <w:rFonts w:ascii="Arial" w:cs="Arial" w:eastAsia="Arial" w:hAnsi="Arial"/>
          <w:sz w:val="16"/>
          <w:szCs w:val="16"/>
          <w:color w:val="auto"/>
        </w:rPr>
        <w:t>our ability to obtain and maintain regulatory approvals for our product candidates, including TG-1701 and TG-1801, as well as any other product candidates, and our ability to maintain regulatory approval of BRIUMVI</w:t>
      </w:r>
      <w:r>
        <w:rPr>
          <w:rFonts w:ascii="Arial" w:cs="Arial" w:eastAsia="Arial" w:hAnsi="Arial"/>
          <w:sz w:val="19"/>
          <w:szCs w:val="19"/>
          <w:color w:val="auto"/>
          <w:vertAlign w:val="superscript"/>
        </w:rPr>
        <w:t>®</w:t>
      </w:r>
      <w:r>
        <w:rPr>
          <w:rFonts w:ascii="Arial" w:cs="Arial" w:eastAsia="Arial" w:hAnsi="Arial"/>
          <w:sz w:val="16"/>
          <w:szCs w:val="16"/>
          <w:color w:val="auto"/>
        </w:rPr>
        <w:t xml:space="preserve"> (ublituximab) in relapsing forms of multiple sclerosis (RMS) in the United States (U.S.) and in the European Union (EU);</w:t>
      </w:r>
    </w:p>
    <w:p>
      <w:pPr>
        <w:ind w:left="540" w:right="59" w:hanging="4"/>
        <w:spacing w:after="0" w:line="249" w:lineRule="auto"/>
        <w:tabs>
          <w:tab w:leader="none" w:pos="702" w:val="left"/>
        </w:tabs>
        <w:numPr>
          <w:ilvl w:val="0"/>
          <w:numId w:val="4"/>
        </w:numPr>
        <w:rPr>
          <w:rFonts w:ascii="Arial" w:cs="Arial" w:eastAsia="Arial" w:hAnsi="Arial"/>
          <w:sz w:val="18"/>
          <w:szCs w:val="18"/>
          <w:color w:val="auto"/>
        </w:rPr>
      </w:pPr>
      <w:r>
        <w:rPr>
          <w:rFonts w:ascii="Arial" w:cs="Arial" w:eastAsia="Arial" w:hAnsi="Arial"/>
          <w:sz w:val="17"/>
          <w:szCs w:val="17"/>
          <w:color w:val="auto"/>
        </w:rPr>
        <w:t>our ability to adapt and expand our commercial infrastructure to successfully launch, market and sell BRIUMVI and our other product candidates;</w:t>
      </w:r>
    </w:p>
    <w:p>
      <w:pPr>
        <w:ind w:left="700" w:hanging="1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7"/>
          <w:szCs w:val="17"/>
          <w:color w:val="auto"/>
        </w:rPr>
        <w:t>our ability to maintain a reliable supply of our products that meets market demand;</w:t>
      </w:r>
    </w:p>
    <w:p>
      <w:pPr>
        <w:spacing w:after="0" w:line="13" w:lineRule="exact"/>
        <w:rPr>
          <w:rFonts w:ascii="Arial" w:cs="Arial" w:eastAsia="Arial" w:hAnsi="Arial"/>
          <w:sz w:val="18"/>
          <w:szCs w:val="18"/>
          <w:color w:val="auto"/>
        </w:rPr>
      </w:pPr>
    </w:p>
    <w:p>
      <w:pPr>
        <w:ind w:left="540" w:right="59" w:hanging="4"/>
        <w:spacing w:after="0" w:line="247" w:lineRule="auto"/>
        <w:tabs>
          <w:tab w:leader="none" w:pos="702" w:val="left"/>
        </w:tabs>
        <w:numPr>
          <w:ilvl w:val="0"/>
          <w:numId w:val="4"/>
        </w:numPr>
        <w:rPr>
          <w:rFonts w:ascii="Arial" w:cs="Arial" w:eastAsia="Arial" w:hAnsi="Arial"/>
          <w:sz w:val="18"/>
          <w:szCs w:val="18"/>
          <w:color w:val="auto"/>
        </w:rPr>
      </w:pPr>
      <w:r>
        <w:rPr>
          <w:rFonts w:ascii="Arial" w:cs="Arial" w:eastAsia="Arial" w:hAnsi="Arial"/>
          <w:sz w:val="17"/>
          <w:szCs w:val="17"/>
          <w:color w:val="auto"/>
        </w:rPr>
        <w:t>the success of the ongoing commercialization of BRIUMVI or any future products or combinations of products, including the anticipated rate and degree of market acceptance and pricing and reimbursement;</w:t>
      </w:r>
    </w:p>
    <w:p>
      <w:pPr>
        <w:ind w:left="700" w:hanging="1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7"/>
          <w:szCs w:val="17"/>
          <w:color w:val="auto"/>
        </w:rPr>
        <w:t>the initiation, timing, progress and results of our pre-clinical studies and clinical trials;</w:t>
      </w:r>
    </w:p>
    <w:p>
      <w:pPr>
        <w:spacing w:after="0" w:line="13" w:lineRule="exact"/>
        <w:rPr>
          <w:rFonts w:ascii="Arial" w:cs="Arial" w:eastAsia="Arial" w:hAnsi="Arial"/>
          <w:sz w:val="18"/>
          <w:szCs w:val="18"/>
          <w:color w:val="auto"/>
        </w:rPr>
      </w:pPr>
    </w:p>
    <w:p>
      <w:pPr>
        <w:ind w:left="700" w:hanging="1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7"/>
          <w:szCs w:val="17"/>
          <w:color w:val="auto"/>
        </w:rPr>
        <w:t>our ability to advance drug candidates into, and successfully complete, clinical trials;</w:t>
      </w:r>
    </w:p>
    <w:p>
      <w:pPr>
        <w:spacing w:after="0" w:line="9" w:lineRule="exact"/>
        <w:rPr>
          <w:rFonts w:ascii="Arial" w:cs="Arial" w:eastAsia="Arial" w:hAnsi="Arial"/>
          <w:sz w:val="18"/>
          <w:szCs w:val="18"/>
          <w:color w:val="auto"/>
        </w:rPr>
      </w:pPr>
    </w:p>
    <w:p>
      <w:pPr>
        <w:ind w:left="700" w:hanging="1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7"/>
          <w:szCs w:val="17"/>
          <w:color w:val="auto"/>
        </w:rPr>
        <w:t>our ability to develop, formulate, manufacture and commercialize our product candidates;</w:t>
      </w:r>
    </w:p>
    <w:p>
      <w:pPr>
        <w:spacing w:after="0" w:line="9" w:lineRule="exact"/>
        <w:rPr>
          <w:rFonts w:ascii="Arial" w:cs="Arial" w:eastAsia="Arial" w:hAnsi="Arial"/>
          <w:sz w:val="18"/>
          <w:szCs w:val="18"/>
          <w:color w:val="auto"/>
        </w:rPr>
      </w:pPr>
    </w:p>
    <w:p>
      <w:pPr>
        <w:jc w:val="both"/>
        <w:ind w:left="540" w:right="59" w:hanging="4"/>
        <w:spacing w:after="0" w:line="247" w:lineRule="auto"/>
        <w:tabs>
          <w:tab w:leader="none" w:pos="702" w:val="left"/>
        </w:tabs>
        <w:numPr>
          <w:ilvl w:val="0"/>
          <w:numId w:val="4"/>
        </w:numPr>
        <w:rPr>
          <w:rFonts w:ascii="Arial" w:cs="Arial" w:eastAsia="Arial" w:hAnsi="Arial"/>
          <w:sz w:val="18"/>
          <w:szCs w:val="18"/>
          <w:color w:val="auto"/>
        </w:rPr>
      </w:pPr>
      <w:r>
        <w:rPr>
          <w:rFonts w:ascii="Arial" w:cs="Arial" w:eastAsia="Arial" w:hAnsi="Arial"/>
          <w:sz w:val="17"/>
          <w:szCs w:val="17"/>
          <w:color w:val="auto"/>
        </w:rPr>
        <w:t>our ability to establish and maintain contractual relationships and partnerships, on commercially reasonable terms, with third parties for manufacturing, distribution, marketing and supply, and a range of other support functions for our clinical development and commercialization efforts;</w:t>
      </w:r>
    </w:p>
    <w:p>
      <w:pPr>
        <w:spacing w:after="0" w:line="1" w:lineRule="exact"/>
        <w:rPr>
          <w:rFonts w:ascii="Arial" w:cs="Arial" w:eastAsia="Arial" w:hAnsi="Arial"/>
          <w:sz w:val="18"/>
          <w:szCs w:val="18"/>
          <w:color w:val="auto"/>
        </w:rPr>
      </w:pPr>
    </w:p>
    <w:p>
      <w:pPr>
        <w:ind w:left="700" w:hanging="1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7"/>
          <w:szCs w:val="17"/>
          <w:color w:val="auto"/>
        </w:rPr>
        <w:t>the implementation of our business model and, strategic plans for our business and drug candidates;</w:t>
      </w:r>
    </w:p>
    <w:p>
      <w:pPr>
        <w:spacing w:after="0" w:line="13" w:lineRule="exact"/>
        <w:rPr>
          <w:rFonts w:ascii="Arial" w:cs="Arial" w:eastAsia="Arial" w:hAnsi="Arial"/>
          <w:sz w:val="18"/>
          <w:szCs w:val="18"/>
          <w:color w:val="auto"/>
        </w:rPr>
      </w:pPr>
    </w:p>
    <w:p>
      <w:pPr>
        <w:ind w:left="540" w:right="59" w:hanging="4"/>
        <w:spacing w:after="0" w:line="247" w:lineRule="auto"/>
        <w:tabs>
          <w:tab w:leader="none" w:pos="702" w:val="left"/>
        </w:tabs>
        <w:numPr>
          <w:ilvl w:val="0"/>
          <w:numId w:val="4"/>
        </w:numPr>
        <w:rPr>
          <w:rFonts w:ascii="Arial" w:cs="Arial" w:eastAsia="Arial" w:hAnsi="Arial"/>
          <w:sz w:val="18"/>
          <w:szCs w:val="18"/>
          <w:color w:val="auto"/>
        </w:rPr>
      </w:pPr>
      <w:r>
        <w:rPr>
          <w:rFonts w:ascii="Arial" w:cs="Arial" w:eastAsia="Arial" w:hAnsi="Arial"/>
          <w:sz w:val="17"/>
          <w:szCs w:val="17"/>
          <w:color w:val="auto"/>
        </w:rPr>
        <w:t>the scope of protection we are able to establish and maintain for intellectual property rights covering our product and product candidates;</w:t>
      </w:r>
    </w:p>
    <w:p>
      <w:pPr>
        <w:ind w:left="700" w:hanging="1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7"/>
          <w:szCs w:val="17"/>
          <w:color w:val="auto"/>
        </w:rPr>
        <w:t>estimates of our expenses, future revenues, capital requirements and our needs for additional financing;</w:t>
      </w:r>
    </w:p>
    <w:p>
      <w:pPr>
        <w:spacing w:after="0" w:line="13" w:lineRule="exact"/>
        <w:rPr>
          <w:rFonts w:ascii="Arial" w:cs="Arial" w:eastAsia="Arial" w:hAnsi="Arial"/>
          <w:sz w:val="18"/>
          <w:szCs w:val="18"/>
          <w:color w:val="auto"/>
        </w:rPr>
      </w:pPr>
    </w:p>
    <w:p>
      <w:pPr>
        <w:ind w:left="700" w:hanging="1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7"/>
          <w:szCs w:val="17"/>
          <w:color w:val="auto"/>
        </w:rPr>
        <w:t>our ability to maintain and establish collaborations and enter into strategic arrangements, if desired;</w:t>
      </w:r>
    </w:p>
    <w:p>
      <w:pPr>
        <w:spacing w:after="0" w:line="9" w:lineRule="exact"/>
        <w:rPr>
          <w:rFonts w:ascii="Arial" w:cs="Arial" w:eastAsia="Arial" w:hAnsi="Arial"/>
          <w:sz w:val="18"/>
          <w:szCs w:val="18"/>
          <w:color w:val="auto"/>
        </w:rPr>
      </w:pPr>
    </w:p>
    <w:p>
      <w:pPr>
        <w:ind w:left="540" w:right="59" w:hanging="4"/>
        <w:spacing w:after="0" w:line="247" w:lineRule="auto"/>
        <w:tabs>
          <w:tab w:leader="none" w:pos="702" w:val="left"/>
        </w:tabs>
        <w:numPr>
          <w:ilvl w:val="0"/>
          <w:numId w:val="4"/>
        </w:numPr>
        <w:rPr>
          <w:rFonts w:ascii="Arial" w:cs="Arial" w:eastAsia="Arial" w:hAnsi="Arial"/>
          <w:sz w:val="18"/>
          <w:szCs w:val="18"/>
          <w:color w:val="auto"/>
        </w:rPr>
      </w:pPr>
      <w:r>
        <w:rPr>
          <w:rFonts w:ascii="Arial" w:cs="Arial" w:eastAsia="Arial" w:hAnsi="Arial"/>
          <w:sz w:val="17"/>
          <w:szCs w:val="17"/>
          <w:color w:val="auto"/>
        </w:rPr>
        <w:t>our ability to meet any of our financial projections or guidance, including without limitation short and long-term revenue projections or guidance and changes to the assumptions underlying those projections or guidance;</w:t>
      </w:r>
    </w:p>
    <w:p>
      <w:pPr>
        <w:ind w:left="700" w:hanging="1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7"/>
          <w:szCs w:val="17"/>
          <w:color w:val="auto"/>
        </w:rPr>
        <w:t>our ability to obtain sufficient capital to fund our planned operations;</w:t>
      </w:r>
    </w:p>
    <w:p>
      <w:pPr>
        <w:spacing w:after="0" w:line="13" w:lineRule="exact"/>
        <w:rPr>
          <w:rFonts w:ascii="Arial" w:cs="Arial" w:eastAsia="Arial" w:hAnsi="Arial"/>
          <w:sz w:val="18"/>
          <w:szCs w:val="18"/>
          <w:color w:val="auto"/>
        </w:rPr>
      </w:pPr>
    </w:p>
    <w:p>
      <w:pPr>
        <w:ind w:left="700" w:hanging="1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7"/>
          <w:szCs w:val="17"/>
          <w:color w:val="auto"/>
        </w:rPr>
        <w:t>our financial performance and cash burn management;</w:t>
      </w:r>
    </w:p>
    <w:p>
      <w:pPr>
        <w:spacing w:after="0" w:line="9" w:lineRule="exact"/>
        <w:rPr>
          <w:rFonts w:ascii="Arial" w:cs="Arial" w:eastAsia="Arial" w:hAnsi="Arial"/>
          <w:sz w:val="18"/>
          <w:szCs w:val="18"/>
          <w:color w:val="auto"/>
        </w:rPr>
      </w:pPr>
    </w:p>
    <w:p>
      <w:pPr>
        <w:ind w:left="700" w:hanging="1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7"/>
          <w:szCs w:val="17"/>
          <w:color w:val="auto"/>
        </w:rPr>
        <w:t>our ability to maintain or obtain adequate product liability and other insurance coverage; and</w:t>
      </w:r>
    </w:p>
    <w:p>
      <w:pPr>
        <w:spacing w:after="0" w:line="9" w:lineRule="exact"/>
        <w:rPr>
          <w:rFonts w:ascii="Arial" w:cs="Arial" w:eastAsia="Arial" w:hAnsi="Arial"/>
          <w:sz w:val="18"/>
          <w:szCs w:val="18"/>
          <w:color w:val="auto"/>
        </w:rPr>
      </w:pPr>
    </w:p>
    <w:p>
      <w:pPr>
        <w:ind w:left="700" w:hanging="16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7"/>
          <w:szCs w:val="17"/>
          <w:color w:val="auto"/>
        </w:rPr>
        <w:t>developments relating to our competitors and our industry.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SUMMARY RISK FACTORS</w:t>
      </w:r>
    </w:p>
    <w:p>
      <w:pPr>
        <w:spacing w:after="0" w:line="119"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IA, and the other reports and documents that we have filed with the Securities and Exchange Commission (SEC).</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Commercialization</w:t>
      </w:r>
    </w:p>
    <w:p>
      <w:pPr>
        <w:spacing w:after="0" w:line="25"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maintain current approval of BRIUMVI our business will be materially harmed.</w:t>
      </w:r>
    </w:p>
    <w:p>
      <w:pPr>
        <w:spacing w:after="0" w:line="7" w:lineRule="exact"/>
        <w:rPr>
          <w:rFonts w:ascii="Arial" w:cs="Arial" w:eastAsia="Arial" w:hAnsi="Arial"/>
          <w:sz w:val="17"/>
          <w:szCs w:val="17"/>
          <w:color w:val="auto"/>
        </w:rPr>
      </w:pPr>
    </w:p>
    <w:p>
      <w:pPr>
        <w:ind w:left="380" w:right="59" w:hanging="330"/>
        <w:spacing w:after="0" w:line="248"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cannot predict when or if we will obtain regulatory approval to commercialize our product candidates, including TG-1701 and TG-1801 in B-cell disorders.</w:t>
      </w:r>
    </w:p>
    <w:p>
      <w:pPr>
        <w:spacing w:after="0" w:line="1" w:lineRule="exact"/>
        <w:rPr>
          <w:rFonts w:ascii="Arial" w:cs="Arial" w:eastAsia="Arial" w:hAnsi="Arial"/>
          <w:sz w:val="17"/>
          <w:szCs w:val="17"/>
          <w:color w:val="auto"/>
        </w:rPr>
      </w:pPr>
    </w:p>
    <w:p>
      <w:pPr>
        <w:ind w:left="380" w:right="59" w:hanging="330"/>
        <w:spacing w:after="0" w:line="248"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limited experience operating as a commercial company, and, as a result, the marketing and sale of BRIUMVI in RMS may be less successful than anticipated.</w:t>
      </w:r>
    </w:p>
    <w:p>
      <w:pPr>
        <w:spacing w:after="0" w:line="1" w:lineRule="exact"/>
        <w:rPr>
          <w:rFonts w:ascii="Arial" w:cs="Arial" w:eastAsia="Arial" w:hAnsi="Arial"/>
          <w:sz w:val="17"/>
          <w:szCs w:val="17"/>
          <w:color w:val="auto"/>
        </w:rPr>
      </w:pPr>
    </w:p>
    <w:p>
      <w:pPr>
        <w:ind w:left="380" w:right="59" w:hanging="330"/>
        <w:spacing w:after="0" w:line="264"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BRIUMVI or any of our future product candidates (if approved) do not achieve broad market acceptance among physicians, patients, payors, or the medical community, the revenues that we generate from product sales will be limited.</w:t>
      </w:r>
    </w:p>
    <w:p>
      <w:pPr>
        <w:jc w:val="both"/>
        <w:ind w:left="380" w:right="59" w:hanging="330"/>
        <w:spacing w:after="0" w:line="248"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the market opportunities for BRIUMVI and any future products for which we may receive approval, including TG-1701 or TG-1801 in B-cell disorders, are smaller than we estimate or if any approval we obtain is based on a narrower patient population or the labeling includes warnings or limitations that are not acceptable to patients or healthcare providers, our revenue will be adversely affected.</w:t>
      </w:r>
    </w:p>
    <w:p>
      <w:pPr>
        <w:spacing w:after="0" w:line="2" w:lineRule="exact"/>
        <w:rPr>
          <w:rFonts w:ascii="Arial" w:cs="Arial" w:eastAsia="Arial" w:hAnsi="Arial"/>
          <w:sz w:val="17"/>
          <w:szCs w:val="17"/>
          <w:color w:val="auto"/>
        </w:rPr>
      </w:pPr>
    </w:p>
    <w:p>
      <w:pPr>
        <w:jc w:val="both"/>
        <w:ind w:left="380" w:right="59" w:hanging="330"/>
        <w:spacing w:after="0" w:line="248"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substantial competition for treatments for our target indications, including from companies with greater resources than we have, which may result in others commercializing drugs before or more successfully than we do, which could result in the reduction or elimination of our commercial opportunity.</w:t>
      </w:r>
    </w:p>
    <w:p>
      <w:pPr>
        <w:spacing w:after="0" w:line="1" w:lineRule="exact"/>
        <w:rPr>
          <w:rFonts w:ascii="Arial" w:cs="Arial" w:eastAsia="Arial" w:hAnsi="Arial"/>
          <w:sz w:val="17"/>
          <w:szCs w:val="17"/>
          <w:color w:val="auto"/>
        </w:rPr>
      </w:pPr>
    </w:p>
    <w:p>
      <w:pPr>
        <w:ind w:left="380" w:hanging="330"/>
        <w:spacing w:after="0"/>
        <w:tabs>
          <w:tab w:leader="none" w:pos="380"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we are unable to generate sufficient revenue, we may need to raise substantial additional capital to sustain our business.</w:t>
      </w:r>
    </w:p>
    <w:p>
      <w:pPr>
        <w:spacing w:after="0" w:line="30" w:lineRule="exact"/>
        <w:rPr>
          <w:rFonts w:ascii="Arial" w:cs="Arial" w:eastAsia="Arial" w:hAnsi="Arial"/>
          <w:sz w:val="15"/>
          <w:szCs w:val="15"/>
          <w:color w:val="auto"/>
        </w:rPr>
      </w:pPr>
    </w:p>
    <w:p>
      <w:pPr>
        <w:ind w:left="380" w:hanging="330"/>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Product liability lawsuits could cause us to incur substantial liabilities and limit product commercialization.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Drug Development and Regulatory Approval</w:t>
      </w:r>
    </w:p>
    <w:p>
      <w:pPr>
        <w:spacing w:after="0" w:line="25" w:lineRule="exact"/>
        <w:rPr>
          <w:sz w:val="20"/>
          <w:szCs w:val="20"/>
          <w:color w:val="auto"/>
        </w:rPr>
      </w:pPr>
    </w:p>
    <w:p>
      <w:pPr>
        <w:jc w:val="both"/>
        <w:ind w:left="380" w:right="59" w:hanging="330"/>
        <w:spacing w:after="0" w:line="243"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are unable to obtain or maintain regulatory approval for our product or product candidates and ultimately cannot commercialize one or more of them, or if we experience significant delays in doing so, our business will be materially harmed.</w:t>
      </w:r>
    </w:p>
    <w:p>
      <w:pPr>
        <w:jc w:val="both"/>
        <w:ind w:left="380" w:right="59" w:hanging="330"/>
        <w:spacing w:after="0" w:line="24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product and product candidates may cause undesirable side effects that could delay or prevent their regulatory approval or significantly limit their commercial profile following marketing approval, if any, or result in withdrawal from the market if approved.</w:t>
      </w:r>
    </w:p>
    <w:p>
      <w:pPr>
        <w:spacing w:after="0" w:line="1" w:lineRule="exact"/>
        <w:rPr>
          <w:rFonts w:ascii="Arial" w:cs="Arial" w:eastAsia="Arial" w:hAnsi="Arial"/>
          <w:sz w:val="17"/>
          <w:szCs w:val="17"/>
          <w:color w:val="auto"/>
        </w:rPr>
      </w:pPr>
    </w:p>
    <w:p>
      <w:pPr>
        <w:jc w:val="both"/>
        <w:ind w:left="380" w:right="59" w:hanging="330"/>
        <w:spacing w:after="0" w:line="24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Because results of preclinical studies and early clinical trials are not necessarily predictive of future results, any product candidate we advance may not have favorable results in later clinical trials. Moreover, interim, “top-line,” and preliminary data from our clinical trials that we announce or publish may change, or the perceived product profile may be impacted, as more patient data or additional endpoints are analyzed.</w:t>
      </w:r>
    </w:p>
    <w:p>
      <w:pPr>
        <w:spacing w:after="0" w:line="2" w:lineRule="exact"/>
        <w:rPr>
          <w:rFonts w:ascii="Arial" w:cs="Arial" w:eastAsia="Arial" w:hAnsi="Arial"/>
          <w:sz w:val="17"/>
          <w:szCs w:val="17"/>
          <w:color w:val="auto"/>
        </w:rPr>
      </w:pPr>
    </w:p>
    <w:p>
      <w:pPr>
        <w:ind w:left="380" w:right="59" w:hanging="330"/>
        <w:spacing w:after="0" w:line="288"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Governmental Regulation of the Pharmaceutical Industry</w:t>
      </w:r>
    </w:p>
    <w:p>
      <w:pPr>
        <w:spacing w:after="0" w:line="25" w:lineRule="exact"/>
        <w:rPr>
          <w:sz w:val="20"/>
          <w:szCs w:val="20"/>
          <w:color w:val="auto"/>
        </w:rPr>
      </w:pPr>
    </w:p>
    <w:p>
      <w:pPr>
        <w:jc w:val="both"/>
        <w:ind w:left="380" w:right="59" w:hanging="330"/>
        <w:spacing w:after="0" w:line="248"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subject to extensive regulation, including new legislative and regulatory proposals, including efforts to control, set or cap pricing for approved drugs, which may increase our compliance costs and adversely affect our ability to market our products, obtain collaborators and raise capital.</w:t>
      </w:r>
    </w:p>
    <w:p>
      <w:pPr>
        <w:spacing w:after="0" w:line="1" w:lineRule="exact"/>
        <w:rPr>
          <w:rFonts w:ascii="Arial" w:cs="Arial" w:eastAsia="Arial" w:hAnsi="Arial"/>
          <w:sz w:val="17"/>
          <w:szCs w:val="17"/>
          <w:color w:val="auto"/>
        </w:rPr>
      </w:pPr>
    </w:p>
    <w:p>
      <w:pPr>
        <w:ind w:left="380" w:right="59" w:hanging="330"/>
        <w:spacing w:after="0" w:line="248"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fail to comply with various healthcare laws and regulations, we may incur losses or be subject to civil or criminal liability.</w:t>
      </w:r>
    </w:p>
    <w:p>
      <w:pPr>
        <w:spacing w:after="0" w:line="1" w:lineRule="exact"/>
        <w:rPr>
          <w:rFonts w:ascii="Arial" w:cs="Arial" w:eastAsia="Arial" w:hAnsi="Arial"/>
          <w:sz w:val="17"/>
          <w:szCs w:val="17"/>
          <w:color w:val="auto"/>
        </w:rPr>
      </w:pPr>
    </w:p>
    <w:p>
      <w:pPr>
        <w:jc w:val="both"/>
        <w:ind w:left="380" w:right="59" w:hanging="330"/>
        <w:spacing w:after="0" w:line="252"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fail to comply with regulatory requirements, any product candidate may fail to receive regulatory approval and any product for which we obtain marketing approval could be subject to restrictions or withdrawal from the market and we may be subject to penalties.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5" w:lineRule="exact"/>
        <w:rPr>
          <w:sz w:val="20"/>
          <w:szCs w:val="20"/>
          <w:color w:val="auto"/>
        </w:rPr>
      </w:pPr>
    </w:p>
    <w:p>
      <w:pPr>
        <w:jc w:val="both"/>
        <w:ind w:left="380" w:right="59" w:hanging="330"/>
        <w:spacing w:after="0" w:line="248"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reliance on third parties for commercial and clinical supply of our product and product candidates increases the risk that we will not have sufficient quantities of our product or product candidates or such quantities at an acceptable cost or quality, which could delay, prevent or impair our development or commercialization efforts.</w:t>
      </w:r>
    </w:p>
    <w:p>
      <w:pPr>
        <w:spacing w:after="0" w:line="1" w:lineRule="exact"/>
        <w:rPr>
          <w:rFonts w:ascii="Arial" w:cs="Arial" w:eastAsia="Arial" w:hAnsi="Arial"/>
          <w:sz w:val="17"/>
          <w:szCs w:val="17"/>
          <w:color w:val="auto"/>
        </w:rPr>
      </w:pPr>
    </w:p>
    <w:p>
      <w:pPr>
        <w:jc w:val="both"/>
        <w:ind w:left="380" w:right="59" w:hanging="330"/>
        <w:spacing w:after="0" w:line="248"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or product candidates when expected or at all.</w:t>
      </w:r>
    </w:p>
    <w:p>
      <w:pPr>
        <w:spacing w:after="0" w:line="1" w:lineRule="exact"/>
        <w:rPr>
          <w:rFonts w:ascii="Arial" w:cs="Arial" w:eastAsia="Arial" w:hAnsi="Arial"/>
          <w:sz w:val="17"/>
          <w:szCs w:val="17"/>
          <w:color w:val="auto"/>
        </w:rPr>
      </w:pPr>
    </w:p>
    <w:p>
      <w:pPr>
        <w:ind w:left="380" w:right="59" w:hanging="330"/>
        <w:spacing w:after="0" w:line="257" w:lineRule="auto"/>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Because we have in-licensed our product and product candidates from third parties, any dispute with, or non-performance by our licensors will adversely affect our ability to develop and commercialize the applicable product.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5" w:lineRule="exact"/>
        <w:rPr>
          <w:sz w:val="20"/>
          <w:szCs w:val="20"/>
          <w:color w:val="auto"/>
        </w:rPr>
      </w:pPr>
    </w:p>
    <w:p>
      <w:pPr>
        <w:jc w:val="both"/>
        <w:ind w:left="380" w:right="59" w:hanging="330"/>
        <w:spacing w:after="0" w:line="248"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success depends upon our ability to obtain and protect our intellectual property, and if the scope of our patent protection obtained is not sufficiently broad, our competitors could develop and commercialize products similar or identical to ours, and our ability to successfully commercialize our products may be impaired.</w:t>
      </w:r>
    </w:p>
    <w:p>
      <w:pPr>
        <w:spacing w:after="0" w:line="1" w:lineRule="exact"/>
        <w:rPr>
          <w:rFonts w:ascii="Arial" w:cs="Arial" w:eastAsia="Arial" w:hAnsi="Arial"/>
          <w:sz w:val="17"/>
          <w:szCs w:val="17"/>
          <w:color w:val="auto"/>
        </w:rPr>
      </w:pPr>
    </w:p>
    <w:p>
      <w:pPr>
        <w:ind w:left="380" w:right="59" w:hanging="330"/>
        <w:spacing w:after="0" w:line="248"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patent protection could be reduced or eliminated for non-compliance with various procedural and other requirements imposed by governmental patent agencies.</w:t>
      </w:r>
    </w:p>
    <w:p>
      <w:pPr>
        <w:spacing w:after="0" w:line="1" w:lineRule="exact"/>
        <w:rPr>
          <w:rFonts w:ascii="Arial" w:cs="Arial" w:eastAsia="Arial" w:hAnsi="Arial"/>
          <w:sz w:val="17"/>
          <w:szCs w:val="17"/>
          <w:color w:val="auto"/>
        </w:rPr>
      </w:pPr>
    </w:p>
    <w:p>
      <w:pPr>
        <w:ind w:left="380" w:right="59" w:hanging="330"/>
        <w:spacing w:after="0" w:line="248"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need to license certain intellectual property from third parties, and such licenses may not be available or may not be available on commercially reasonable terms.</w:t>
      </w:r>
    </w:p>
    <w:p>
      <w:pPr>
        <w:spacing w:after="0" w:line="1" w:lineRule="exact"/>
        <w:rPr>
          <w:rFonts w:ascii="Arial" w:cs="Arial" w:eastAsia="Arial" w:hAnsi="Arial"/>
          <w:sz w:val="17"/>
          <w:szCs w:val="17"/>
          <w:color w:val="auto"/>
        </w:rPr>
      </w:pPr>
    </w:p>
    <w:p>
      <w:pPr>
        <w:jc w:val="both"/>
        <w:ind w:left="380" w:right="59" w:hanging="330"/>
        <w:spacing w:after="0" w:line="248"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or our partners are sued for infringing intellectual property rights of third parties, it will be costly and time consuming to defend against such lawsuits, and an unfavorable outcome in any such lawsuit would have a material adverse effect on our business.</w:t>
      </w:r>
    </w:p>
    <w:p>
      <w:pPr>
        <w:spacing w:after="0" w:line="1" w:lineRule="exact"/>
        <w:rPr>
          <w:rFonts w:ascii="Arial" w:cs="Arial" w:eastAsia="Arial" w:hAnsi="Arial"/>
          <w:sz w:val="17"/>
          <w:szCs w:val="17"/>
          <w:color w:val="auto"/>
        </w:rPr>
      </w:pPr>
    </w:p>
    <w:p>
      <w:pPr>
        <w:ind w:left="380" w:hanging="330"/>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unable to protect the confidentiality of our trade secrets, our business may be significantly harmed.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25" w:lineRule="exact"/>
        <w:rPr>
          <w:sz w:val="20"/>
          <w:szCs w:val="20"/>
          <w:color w:val="auto"/>
        </w:rPr>
      </w:pPr>
    </w:p>
    <w:p>
      <w:pPr>
        <w:ind w:left="380" w:right="59" w:hanging="330"/>
        <w:spacing w:after="0" w:line="248"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anticipate that we will continue to incur losses for the foreseeable future.</w:t>
      </w:r>
    </w:p>
    <w:p>
      <w:pPr>
        <w:spacing w:after="0" w:line="1" w:lineRule="exact"/>
        <w:rPr>
          <w:rFonts w:ascii="Arial" w:cs="Arial" w:eastAsia="Arial" w:hAnsi="Arial"/>
          <w:sz w:val="17"/>
          <w:szCs w:val="17"/>
          <w:color w:val="auto"/>
        </w:rPr>
      </w:pPr>
    </w:p>
    <w:p>
      <w:pPr>
        <w:ind w:left="380" w:right="59" w:hanging="330"/>
        <w:spacing w:after="0" w:line="248"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need to raise substantial additional funding. If we are unable to raise capital, if needed, we may be required to delay, limit, reduce, or eliminate some of our drug development programs or commercialization efforts.</w:t>
      </w:r>
    </w:p>
    <w:p>
      <w:pPr>
        <w:spacing w:after="0" w:line="1" w:lineRule="exact"/>
        <w:rPr>
          <w:rFonts w:ascii="Arial" w:cs="Arial" w:eastAsia="Arial" w:hAnsi="Arial"/>
          <w:sz w:val="17"/>
          <w:szCs w:val="17"/>
          <w:color w:val="auto"/>
        </w:rPr>
      </w:pPr>
    </w:p>
    <w:p>
      <w:pPr>
        <w:ind w:left="380" w:right="59" w:hanging="330"/>
        <w:spacing w:after="0" w:line="257"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level of indebtedness and debt service obligations could adversely affect our financial condition and may make it more difficult for us to fund our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General Risk Factors</w:t>
      </w:r>
    </w:p>
    <w:p>
      <w:pPr>
        <w:spacing w:after="0" w:line="25" w:lineRule="exact"/>
        <w:rPr>
          <w:sz w:val="20"/>
          <w:szCs w:val="20"/>
          <w:color w:val="auto"/>
        </w:rPr>
      </w:pPr>
    </w:p>
    <w:p>
      <w:pPr>
        <w:ind w:left="380" w:right="59" w:hanging="330"/>
        <w:spacing w:after="0" w:line="264"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Public health issues including an epidemic or global pandemic, and specifically the pandemic caused by COVID-19, could have an adverse impact on our financial condition and results of operations and other aspects of our business.</w:t>
      </w:r>
    </w:p>
    <w:p>
      <w:pPr>
        <w:jc w:val="both"/>
        <w:ind w:left="380" w:right="59" w:hanging="330"/>
        <w:spacing w:after="0" w:line="248"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Patients and healthcare providers have raised concerns that immunosuppressive products, like anti-CD20 antibodies and other B-cell targeted agents, may increase the risk of acquiring COVID-19 or lead to more severe complications upon infection. These concerns may impact the commercial potential for BRIUMVI and other immunosuppressive products that we have in development.</w:t>
      </w:r>
    </w:p>
    <w:p>
      <w:pPr>
        <w:spacing w:after="0" w:line="2" w:lineRule="exact"/>
        <w:rPr>
          <w:rFonts w:ascii="Arial" w:cs="Arial" w:eastAsia="Arial" w:hAnsi="Arial"/>
          <w:sz w:val="17"/>
          <w:szCs w:val="17"/>
          <w:color w:val="auto"/>
        </w:rPr>
      </w:pPr>
    </w:p>
    <w:p>
      <w:pPr>
        <w:ind w:left="380" w:right="59" w:hanging="330"/>
        <w:spacing w:after="0" w:line="248"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will need to develop and expand our business, and we may encounter difficulties in managing this development and expansion.</w:t>
      </w:r>
    </w:p>
    <w:p>
      <w:pPr>
        <w:spacing w:after="0" w:line="1" w:lineRule="exact"/>
        <w:rPr>
          <w:rFonts w:ascii="Arial" w:cs="Arial" w:eastAsia="Arial" w:hAnsi="Arial"/>
          <w:sz w:val="17"/>
          <w:szCs w:val="17"/>
          <w:color w:val="auto"/>
        </w:rPr>
      </w:pPr>
    </w:p>
    <w:p>
      <w:pPr>
        <w:ind w:left="380" w:right="59" w:hanging="330"/>
        <w:spacing w:after="0" w:line="248"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continue our clinical development and commercialization activities will depend on our ability to attract and maintain key management and other personnel.</w:t>
      </w:r>
    </w:p>
    <w:p>
      <w:pPr>
        <w:spacing w:after="0" w:line="1" w:lineRule="exact"/>
        <w:rPr>
          <w:rFonts w:ascii="Arial" w:cs="Arial" w:eastAsia="Arial" w:hAnsi="Arial"/>
          <w:sz w:val="17"/>
          <w:szCs w:val="17"/>
          <w:color w:val="auto"/>
        </w:rPr>
      </w:pPr>
    </w:p>
    <w:p>
      <w:pPr>
        <w:ind w:left="380" w:right="59" w:hanging="330"/>
        <w:spacing w:after="0" w:line="264" w:lineRule="auto"/>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Certain of our executive officers, directors and other stockholders own more than 5% of our outstanding common stock and may be able to influence our management and the outcome of matters submitted to shareholders for approval.</w:t>
      </w:r>
    </w:p>
    <w:p>
      <w:pPr>
        <w:ind w:left="380" w:right="59" w:hanging="330"/>
        <w:spacing w:after="0" w:line="248"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Certain anti-takeover provisions in our charter documents and Delaware law could make a third-party acquisition more difficult, which could limit the price investors might be willing to pay for our common stock.</w:t>
      </w:r>
    </w:p>
    <w:p>
      <w:pPr>
        <w:spacing w:after="0" w:line="1" w:lineRule="exact"/>
        <w:rPr>
          <w:rFonts w:ascii="Arial" w:cs="Arial" w:eastAsia="Arial" w:hAnsi="Arial"/>
          <w:sz w:val="17"/>
          <w:szCs w:val="17"/>
          <w:color w:val="auto"/>
        </w:rPr>
      </w:pPr>
    </w:p>
    <w:p>
      <w:pPr>
        <w:ind w:left="380" w:right="59" w:hanging="330"/>
        <w:spacing w:after="0" w:line="248"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stock price is, and we expect it to remain, volatile, which could limit investors’ ability to sell stock at a profit and could subject us to securities and shareholder derivative litigation.</w:t>
      </w:r>
    </w:p>
    <w:p>
      <w:pPr>
        <w:spacing w:after="0" w:line="1" w:lineRule="exact"/>
        <w:rPr>
          <w:rFonts w:ascii="Arial" w:cs="Arial" w:eastAsia="Arial" w:hAnsi="Arial"/>
          <w:sz w:val="17"/>
          <w:szCs w:val="17"/>
          <w:color w:val="auto"/>
        </w:rPr>
      </w:pPr>
    </w:p>
    <w:p>
      <w:pPr>
        <w:ind w:left="380" w:right="59" w:hanging="330"/>
        <w:spacing w:after="0" w:line="257"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Significant disruptions of information technology systems, breaches of data security, or unauthorized disclosures of sensitive data could harm our business and subject us to liability or reputational damage.</w:t>
      </w:r>
    </w:p>
    <w:p>
      <w:pPr>
        <w:spacing w:after="0" w:line="175" w:lineRule="exact"/>
        <w:rPr>
          <w:sz w:val="20"/>
          <w:szCs w:val="20"/>
          <w:color w:val="auto"/>
        </w:rPr>
      </w:pPr>
    </w:p>
    <w:p>
      <w:pPr>
        <w:ind w:left="60" w:right="439" w:firstLine="648"/>
        <w:spacing w:after="0" w:line="306" w:lineRule="auto"/>
        <w:rPr>
          <w:sz w:val="20"/>
          <w:szCs w:val="20"/>
          <w:color w:val="auto"/>
        </w:rPr>
      </w:pPr>
      <w:r>
        <w:rPr>
          <w:rFonts w:ascii="Arial" w:cs="Arial" w:eastAsia="Arial" w:hAnsi="Arial"/>
          <w:sz w:val="16"/>
          <w:szCs w:val="16"/>
          <w:color w:val="auto"/>
        </w:rPr>
        <w:t>The foregoing is only a summary of some of our risks. These and other risks are discussed more fully in the section entitled “Risk Factors” in Part II, Item IA and elsewhere in this Quarterly Report on Form 10-Q (our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2023</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2022</w:t>
            </w:r>
          </w:p>
        </w:tc>
      </w:tr>
      <w:tr>
        <w:trPr>
          <w:trHeight w:val="169"/>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2"/>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1"/>
              <w:spacing w:after="0"/>
              <w:rPr>
                <w:sz w:val="20"/>
                <w:szCs w:val="20"/>
                <w:color w:val="auto"/>
              </w:rPr>
            </w:pPr>
            <w:r>
              <w:rPr>
                <w:rFonts w:ascii="Arial" w:cs="Arial" w:eastAsia="Arial" w:hAnsi="Arial"/>
                <w:sz w:val="14"/>
                <w:szCs w:val="14"/>
                <w:b w:val="1"/>
                <w:bCs w:val="1"/>
                <w:color w:val="auto"/>
                <w:w w:val="92"/>
              </w:rPr>
              <w:t>(Note 1)</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102,304</w:t>
            </w: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Short-term investment securities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59,374</w:t>
            </w: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research and development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r>
      <w:tr>
        <w:trPr>
          <w:trHeight w:val="210"/>
        </w:trPr>
        <w:tc>
          <w:tcPr>
            <w:tcW w:w="6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168,274</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 securities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12,404</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Right of use assets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8,888</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interest, net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Equipment, net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16"/>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10"/>
        </w:trPr>
        <w:tc>
          <w:tcPr>
            <w:tcW w:w="668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220,854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193,572</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62,945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42,019</w:t>
            </w: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Lease liability – current portion</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1,581</w:t>
            </w:r>
          </w:p>
        </w:tc>
      </w:tr>
      <w:tr>
        <w:trPr>
          <w:trHeight w:val="216"/>
        </w:trPr>
        <w:tc>
          <w:tcPr>
            <w:tcW w:w="6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w:t>
            </w:r>
          </w:p>
        </w:tc>
      </w:tr>
      <w:tr>
        <w:trPr>
          <w:trHeight w:val="209"/>
        </w:trPr>
        <w:tc>
          <w:tcPr>
            <w:tcW w:w="668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53,201</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Loan payable – non-current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97,700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71,135</w:t>
            </w:r>
          </w:p>
        </w:tc>
      </w:tr>
      <w:tr>
        <w:trPr>
          <w:trHeight w:val="216"/>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 – non-current</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10,344</w:t>
            </w:r>
          </w:p>
        </w:tc>
      </w:tr>
      <w:tr>
        <w:trPr>
          <w:trHeight w:val="209"/>
        </w:trPr>
        <w:tc>
          <w:tcPr>
            <w:tcW w:w="668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180,401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134,985</w:t>
            </w: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2"/>
        </w:trPr>
        <w:tc>
          <w:tcPr>
            <w:tcW w:w="668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Common stock, $0.001 par value per share (175,000,000 shares authorized,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150,969,323 and 146,426,697 shares issued, 150,928,014 and 146,385,388 shares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at June 30, 2023 and December 31, 2022, respectively)</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1,654,411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1,585,708</w:t>
            </w: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Treasury stock, at cost, 41,309 shares at June 30, 2023 and December 31, 2022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(1,613,875)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(1,527,033)</w:t>
            </w:r>
          </w:p>
        </w:tc>
      </w:tr>
      <w:tr>
        <w:trPr>
          <w:trHeight w:val="210"/>
        </w:trPr>
        <w:tc>
          <w:tcPr>
            <w:tcW w:w="66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58,587</w:t>
            </w:r>
          </w:p>
        </w:tc>
      </w:tr>
      <w:tr>
        <w:trPr>
          <w:trHeight w:val="209"/>
        </w:trPr>
        <w:tc>
          <w:tcPr>
            <w:tcW w:w="668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220,854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193,572</w:t>
            </w:r>
          </w:p>
        </w:tc>
      </w:tr>
      <w:tr>
        <w:trPr>
          <w:trHeight w:val="20"/>
        </w:trPr>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87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9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5"/>
        </w:trPr>
        <w:tc>
          <w:tcPr>
            <w:tcW w:w="3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20"/>
              <w:spacing w:after="0"/>
              <w:rPr>
                <w:sz w:val="20"/>
                <w:szCs w:val="20"/>
                <w:color w:val="auto"/>
              </w:rPr>
            </w:pPr>
            <w:r>
              <w:rPr>
                <w:rFonts w:ascii="Arial" w:cs="Arial" w:eastAsia="Arial" w:hAnsi="Arial"/>
                <w:sz w:val="18"/>
                <w:szCs w:val="18"/>
                <w:color w:val="auto"/>
              </w:rPr>
              <w:t>Product revenue,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23,801</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 revenue</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16,074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research and development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70,693</w:t>
            </w: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research and development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74,916</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selling, 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36,324</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selling, general and administrative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w:t>
            </w: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60,748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105,542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108,423</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(81,665)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(105,813)</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(86,841)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(109,523)</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89"/>
              </w:rPr>
              <w:t>Weighted-average shares used in computing basic and</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141,503,738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134,779,904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140,911,295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134,591,250</w:t>
            </w: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diluted net loss per common share</w:t>
            </w: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TG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Consolidated Statements of Changes in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 except share and per share amounts)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Additional</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53"/>
        </w:trPr>
        <w:tc>
          <w:tcPr>
            <w:tcW w:w="370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paid-in</w:t>
            </w:r>
          </w:p>
        </w:tc>
        <w:tc>
          <w:tcPr>
            <w:tcW w:w="1220" w:type="dxa"/>
            <w:vAlign w:val="bottom"/>
            <w:gridSpan w:val="5"/>
          </w:tcPr>
          <w:p>
            <w:pPr>
              <w:ind w:left="140"/>
              <w:spacing w:after="0"/>
              <w:rPr>
                <w:sz w:val="20"/>
                <w:szCs w:val="20"/>
                <w:color w:val="auto"/>
              </w:rPr>
            </w:pPr>
            <w:r>
              <w:rPr>
                <w:rFonts w:ascii="Arial" w:cs="Arial" w:eastAsia="Arial" w:hAnsi="Arial"/>
                <w:sz w:val="13"/>
                <w:szCs w:val="13"/>
                <w:b w:val="1"/>
                <w:bCs w:val="1"/>
                <w:color w:val="auto"/>
              </w:rPr>
              <w:t>Treasury Stock</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29"/>
        </w:trPr>
        <w:tc>
          <w:tcPr>
            <w:tcW w:w="370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Shares</w:t>
            </w: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1"/>
                <w:szCs w:val="11"/>
                <w:color w:val="auto"/>
              </w:rPr>
            </w:pPr>
          </w:p>
        </w:tc>
        <w:tc>
          <w:tcPr>
            <w:tcW w:w="76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1"/>
                <w:szCs w:val="11"/>
                <w:color w:val="auto"/>
              </w:rPr>
            </w:pPr>
          </w:p>
        </w:tc>
        <w:tc>
          <w:tcPr>
            <w:tcW w:w="3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w w:val="89"/>
              </w:rPr>
              <w:t>Total</w:t>
            </w:r>
          </w:p>
        </w:tc>
        <w:tc>
          <w:tcPr>
            <w:tcW w:w="480" w:type="dxa"/>
            <w:vAlign w:val="bottom"/>
            <w:tcBorders>
              <w:bottom w:val="single" w:sz="8" w:color="auto"/>
            </w:tcBorders>
          </w:tcPr>
          <w:p>
            <w:pPr>
              <w:spacing w:after="0"/>
              <w:rPr>
                <w:sz w:val="11"/>
                <w:szCs w:val="11"/>
                <w:color w:val="auto"/>
              </w:rPr>
            </w:pPr>
          </w:p>
        </w:tc>
      </w:tr>
      <w:tr>
        <w:trPr>
          <w:trHeight w:val="128"/>
        </w:trPr>
        <w:tc>
          <w:tcPr>
            <w:tcW w:w="3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January 1, 2022</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143,292,043</w:t>
            </w:r>
          </w:p>
        </w:tc>
        <w:tc>
          <w:tcPr>
            <w:tcW w:w="380" w:type="dxa"/>
            <w:vAlign w:val="bottom"/>
            <w:gridSpan w:val="2"/>
            <w:shd w:val="clear" w:color="auto" w:fill="CCEEFF"/>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143</w:t>
            </w: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$ 1,565,942</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280" w:type="dxa"/>
            <w:vAlign w:val="bottom"/>
            <w:gridSpan w:val="2"/>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(234)</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  (1,328,698)</w:t>
            </w:r>
          </w:p>
        </w:tc>
        <w:tc>
          <w:tcPr>
            <w:tcW w:w="440" w:type="dxa"/>
            <w:vAlign w:val="bottom"/>
            <w:gridSpan w:val="2"/>
            <w:shd w:val="clear" w:color="auto" w:fill="CCEEFF"/>
          </w:tcPr>
          <w:p>
            <w:pPr>
              <w:ind w:left="120"/>
              <w:spacing w:after="0" w:line="129"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237,153</w:t>
            </w:r>
          </w:p>
        </w:tc>
      </w:tr>
      <w:tr>
        <w:trPr>
          <w:trHeight w:val="135"/>
        </w:trPr>
        <w:tc>
          <w:tcPr>
            <w:tcW w:w="3700" w:type="dxa"/>
            <w:vAlign w:val="bottom"/>
          </w:tcPr>
          <w:p>
            <w:pPr>
              <w:ind w:left="20"/>
              <w:spacing w:after="0" w:line="135" w:lineRule="exact"/>
              <w:rPr>
                <w:sz w:val="20"/>
                <w:szCs w:val="20"/>
                <w:color w:val="auto"/>
              </w:rPr>
            </w:pPr>
            <w:r>
              <w:rPr>
                <w:rFonts w:ascii="Arial" w:cs="Arial" w:eastAsia="Arial" w:hAnsi="Arial"/>
                <w:sz w:val="13"/>
                <w:szCs w:val="13"/>
                <w:color w:val="auto"/>
                <w:w w:val="98"/>
              </w:rPr>
              <w:t>Issuance of common stock in connection with exercise of options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30,411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125</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125</w:t>
            </w:r>
          </w:p>
        </w:tc>
      </w:tr>
      <w:tr>
        <w:trPr>
          <w:trHeight w:val="135"/>
        </w:trPr>
        <w:tc>
          <w:tcPr>
            <w:tcW w:w="37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1,852,626</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70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(591,746)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7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5"/>
              </w:rPr>
              <w:t>Compensation in respect of restricted stock granted to employees,</w:t>
            </w: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9"/>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directors and consultants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2,121</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w:t>
            </w:r>
          </w:p>
        </w:tc>
      </w:tr>
      <w:tr>
        <w:trPr>
          <w:trHeight w:val="135"/>
        </w:trPr>
        <w:tc>
          <w:tcPr>
            <w:tcW w:w="370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(69,013)</w:t>
            </w: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4"/>
              </w:rPr>
              <w:t>(69,013)</w:t>
            </w:r>
          </w:p>
        </w:tc>
      </w:tr>
      <w:tr>
        <w:trPr>
          <w:trHeight w:val="128"/>
        </w:trPr>
        <w:tc>
          <w:tcPr>
            <w:tcW w:w="3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March 31, 2022</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144,583,334</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145</w:t>
            </w: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1,568,186</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(234)</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(1,397,711)</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170,386</w:t>
            </w:r>
          </w:p>
        </w:tc>
      </w:tr>
      <w:tr>
        <w:trPr>
          <w:trHeight w:val="148"/>
        </w:trPr>
        <w:tc>
          <w:tcPr>
            <w:tcW w:w="3700" w:type="dxa"/>
            <w:vAlign w:val="bottom"/>
          </w:tcPr>
          <w:p>
            <w:pPr>
              <w:ind w:left="20"/>
              <w:spacing w:after="0"/>
              <w:rPr>
                <w:sz w:val="20"/>
                <w:szCs w:val="20"/>
                <w:color w:val="auto"/>
              </w:rPr>
            </w:pPr>
            <w:r>
              <w:rPr>
                <w:rFonts w:ascii="Arial" w:cs="Arial" w:eastAsia="Arial" w:hAnsi="Arial"/>
                <w:sz w:val="13"/>
                <w:szCs w:val="13"/>
                <w:color w:val="auto"/>
                <w:w w:val="98"/>
              </w:rPr>
              <w:t>Issuance of common stock in connection with exercise of options</w:t>
            </w:r>
          </w:p>
        </w:tc>
        <w:tc>
          <w:tcPr>
            <w:tcW w:w="780" w:type="dxa"/>
            <w:vAlign w:val="bottom"/>
          </w:tcPr>
          <w:p>
            <w:pPr>
              <w:jc w:val="right"/>
              <w:spacing w:after="0"/>
              <w:rPr>
                <w:sz w:val="20"/>
                <w:szCs w:val="20"/>
                <w:color w:val="auto"/>
              </w:rPr>
            </w:pPr>
            <w:r>
              <w:rPr>
                <w:rFonts w:ascii="Arial" w:cs="Arial" w:eastAsia="Arial" w:hAnsi="Arial"/>
                <w:sz w:val="13"/>
                <w:szCs w:val="13"/>
                <w:color w:val="auto"/>
              </w:rPr>
              <w:t>33,044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135</w:t>
            </w:r>
          </w:p>
        </w:tc>
      </w:tr>
      <w:tr>
        <w:trPr>
          <w:trHeight w:val="135"/>
        </w:trPr>
        <w:tc>
          <w:tcPr>
            <w:tcW w:w="37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1,830,320</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70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(1,248,640)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r>
      <w:tr>
        <w:trPr>
          <w:trHeight w:val="121"/>
        </w:trPr>
        <w:tc>
          <w:tcPr>
            <w:tcW w:w="37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5"/>
              </w:rPr>
              <w:t>Compensation in respect of restricted stock granted to employees,</w:t>
            </w: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9"/>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directors and consultants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(975)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w:t>
            </w:r>
          </w:p>
        </w:tc>
      </w:tr>
      <w:tr>
        <w:trPr>
          <w:trHeight w:val="135"/>
        </w:trPr>
        <w:tc>
          <w:tcPr>
            <w:tcW w:w="370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(40,510)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w w:val="94"/>
              </w:rPr>
              <w:t>(40,510)</w:t>
            </w:r>
          </w:p>
        </w:tc>
      </w:tr>
      <w:tr>
        <w:trPr>
          <w:trHeight w:val="128"/>
        </w:trPr>
        <w:tc>
          <w:tcPr>
            <w:tcW w:w="37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June 30, 2022</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145,198,058</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1,567,345</w:t>
            </w: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(1,438,221)</w:t>
            </w: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129,035</w:t>
            </w:r>
          </w:p>
        </w:tc>
      </w:tr>
    </w:tbl>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1500" w:type="dxa"/>
            <w:vAlign w:val="bottom"/>
            <w:gridSpan w:val="4"/>
            <w:vMerge w:val="restart"/>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1180" w:type="dxa"/>
            <w:vAlign w:val="bottom"/>
            <w:gridSpan w:val="4"/>
            <w:vMerge w:val="restart"/>
          </w:tcPr>
          <w:p>
            <w:pPr>
              <w:jc w:val="right"/>
              <w:ind w:right="137"/>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740" w:type="dxa"/>
            <w:vAlign w:val="bottom"/>
          </w:tcPr>
          <w:p>
            <w:pPr>
              <w:spacing w:after="0"/>
              <w:rPr>
                <w:sz w:val="12"/>
                <w:szCs w:val="12"/>
                <w:color w:val="auto"/>
              </w:rPr>
            </w:pPr>
          </w:p>
        </w:tc>
        <w:tc>
          <w:tcPr>
            <w:tcW w:w="150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89"/>
              </w:rPr>
              <w:t>paid-in</w:t>
            </w:r>
          </w:p>
        </w:tc>
        <w:tc>
          <w:tcPr>
            <w:tcW w:w="118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0"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80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7"/>
              </w:rPr>
              <w:t>capital</w:t>
            </w:r>
          </w:p>
        </w:tc>
        <w:tc>
          <w:tcPr>
            <w:tcW w:w="140" w:type="dxa"/>
            <w:vAlign w:val="bottom"/>
          </w:tcPr>
          <w:p>
            <w:pPr>
              <w:spacing w:after="0"/>
              <w:rPr>
                <w:sz w:val="11"/>
                <w:szCs w:val="11"/>
                <w:color w:val="auto"/>
              </w:rPr>
            </w:pP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11"/>
                <w:szCs w:val="11"/>
                <w:color w:val="auto"/>
              </w:rPr>
            </w:pPr>
          </w:p>
        </w:tc>
        <w:tc>
          <w:tcPr>
            <w:tcW w:w="560" w:type="dxa"/>
            <w:vAlign w:val="bottom"/>
            <w:tcBorders>
              <w:bottom w:val="single" w:sz="8" w:color="auto"/>
            </w:tcBorders>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1"/>
                <w:szCs w:val="11"/>
                <w:color w:val="auto"/>
              </w:rPr>
            </w:pPr>
          </w:p>
        </w:tc>
        <w:tc>
          <w:tcPr>
            <w:tcW w:w="76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3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January 1, 2023</w:t>
            </w: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146,426,697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146</w:t>
            </w: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$ 1,585,708</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320" w:type="dxa"/>
            <w:vAlign w:val="bottom"/>
            <w:gridSpan w:val="2"/>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8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  (1,527,033)</w:t>
            </w:r>
          </w:p>
        </w:tc>
        <w:tc>
          <w:tcPr>
            <w:tcW w:w="6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  58,587</w:t>
            </w:r>
          </w:p>
        </w:tc>
        <w:tc>
          <w:tcPr>
            <w:tcW w:w="0" w:type="dxa"/>
            <w:vAlign w:val="bottom"/>
          </w:tcPr>
          <w:p>
            <w:pPr>
              <w:spacing w:after="0"/>
              <w:rPr>
                <w:sz w:val="1"/>
                <w:szCs w:val="1"/>
                <w:color w:val="auto"/>
              </w:rPr>
            </w:pPr>
          </w:p>
        </w:tc>
      </w:tr>
      <w:tr>
        <w:trPr>
          <w:trHeight w:val="149"/>
        </w:trPr>
        <w:tc>
          <w:tcPr>
            <w:tcW w:w="3740" w:type="dxa"/>
            <w:vAlign w:val="bottom"/>
          </w:tcPr>
          <w:p>
            <w:pPr>
              <w:ind w:left="20"/>
              <w:spacing w:after="0"/>
              <w:rPr>
                <w:sz w:val="20"/>
                <w:szCs w:val="20"/>
                <w:color w:val="auto"/>
              </w:rPr>
            </w:pPr>
            <w:r>
              <w:rPr>
                <w:rFonts w:ascii="Arial" w:cs="Arial" w:eastAsia="Arial" w:hAnsi="Arial"/>
                <w:sz w:val="13"/>
                <w:szCs w:val="13"/>
                <w:color w:val="auto"/>
                <w:w w:val="99"/>
              </w:rPr>
              <w:t>Issuance of common stock in connection with exercise of options</w:t>
            </w:r>
          </w:p>
        </w:tc>
        <w:tc>
          <w:tcPr>
            <w:tcW w:w="800" w:type="dxa"/>
            <w:vAlign w:val="bottom"/>
          </w:tcPr>
          <w:p>
            <w:pPr>
              <w:jc w:val="right"/>
              <w:spacing w:after="0"/>
              <w:rPr>
                <w:sz w:val="20"/>
                <w:szCs w:val="20"/>
                <w:color w:val="auto"/>
              </w:rPr>
            </w:pPr>
            <w:r>
              <w:rPr>
                <w:rFonts w:ascii="Arial" w:cs="Arial" w:eastAsia="Arial" w:hAnsi="Arial"/>
                <w:sz w:val="13"/>
                <w:szCs w:val="13"/>
                <w:color w:val="auto"/>
              </w:rPr>
              <w:t>66,701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363</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135"/>
        </w:trPr>
        <w:tc>
          <w:tcPr>
            <w:tcW w:w="3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3,017,736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94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740" w:type="dxa"/>
            <w:vAlign w:val="bottom"/>
          </w:tcPr>
          <w:p>
            <w:pPr>
              <w:ind w:left="20"/>
              <w:spacing w:after="0" w:line="135" w:lineRule="exact"/>
              <w:rPr>
                <w:sz w:val="20"/>
                <w:szCs w:val="20"/>
                <w:color w:val="auto"/>
              </w:rPr>
            </w:pPr>
            <w:r>
              <w:rPr>
                <w:rFonts w:ascii="Arial" w:cs="Arial" w:eastAsia="Arial" w:hAnsi="Arial"/>
                <w:sz w:val="13"/>
                <w:szCs w:val="13"/>
                <w:color w:val="auto"/>
              </w:rPr>
              <w:t>Warrants issued with debt financing</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595</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595</w:t>
            </w:r>
          </w:p>
        </w:tc>
        <w:tc>
          <w:tcPr>
            <w:tcW w:w="0" w:type="dxa"/>
            <w:vAlign w:val="bottom"/>
          </w:tcPr>
          <w:p>
            <w:pPr>
              <w:spacing w:after="0"/>
              <w:rPr>
                <w:sz w:val="1"/>
                <w:szCs w:val="1"/>
                <w:color w:val="auto"/>
              </w:rPr>
            </w:pPr>
          </w:p>
        </w:tc>
      </w:tr>
      <w:tr>
        <w:trPr>
          <w:trHeight w:val="135"/>
        </w:trPr>
        <w:tc>
          <w:tcPr>
            <w:tcW w:w="3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(73,787)</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740" w:type="dxa"/>
            <w:vAlign w:val="bottom"/>
          </w:tcPr>
          <w:p>
            <w:pPr>
              <w:ind w:left="20"/>
              <w:spacing w:after="0" w:line="121" w:lineRule="exact"/>
              <w:rPr>
                <w:sz w:val="20"/>
                <w:szCs w:val="20"/>
                <w:color w:val="auto"/>
              </w:rPr>
            </w:pPr>
            <w:r>
              <w:rPr>
                <w:rFonts w:ascii="Arial" w:cs="Arial" w:eastAsia="Arial" w:hAnsi="Arial"/>
                <w:sz w:val="13"/>
                <w:szCs w:val="13"/>
                <w:color w:val="auto"/>
                <w:w w:val="96"/>
              </w:rPr>
              <w:t>Compensation in respect of restricted stock granted to employees,</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tcPr>
          <w:p>
            <w:pPr>
              <w:ind w:left="20"/>
              <w:spacing w:after="0"/>
              <w:rPr>
                <w:sz w:val="20"/>
                <w:szCs w:val="20"/>
                <w:color w:val="auto"/>
              </w:rPr>
            </w:pPr>
            <w:r>
              <w:rPr>
                <w:rFonts w:ascii="Arial" w:cs="Arial" w:eastAsia="Arial" w:hAnsi="Arial"/>
                <w:sz w:val="13"/>
                <w:szCs w:val="13"/>
                <w:color w:val="auto"/>
              </w:rPr>
              <w:t>directors and consultants</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7,120</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7,120</w:t>
            </w:r>
          </w:p>
        </w:tc>
        <w:tc>
          <w:tcPr>
            <w:tcW w:w="0" w:type="dxa"/>
            <w:vAlign w:val="bottom"/>
          </w:tcPr>
          <w:p>
            <w:pPr>
              <w:spacing w:after="0"/>
              <w:rPr>
                <w:sz w:val="1"/>
                <w:szCs w:val="1"/>
                <w:color w:val="auto"/>
              </w:rPr>
            </w:pPr>
          </w:p>
        </w:tc>
      </w:tr>
      <w:tr>
        <w:trPr>
          <w:trHeight w:val="135"/>
        </w:trPr>
        <w:tc>
          <w:tcPr>
            <w:tcW w:w="3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(39,232)</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(39,232)</w:t>
            </w:r>
          </w:p>
        </w:tc>
        <w:tc>
          <w:tcPr>
            <w:tcW w:w="0" w:type="dxa"/>
            <w:vAlign w:val="bottom"/>
          </w:tcPr>
          <w:p>
            <w:pPr>
              <w:spacing w:after="0"/>
              <w:rPr>
                <w:sz w:val="1"/>
                <w:szCs w:val="1"/>
                <w:color w:val="auto"/>
              </w:rPr>
            </w:pPr>
          </w:p>
        </w:tc>
      </w:tr>
      <w:tr>
        <w:trPr>
          <w:trHeight w:val="129"/>
        </w:trPr>
        <w:tc>
          <w:tcPr>
            <w:tcW w:w="3740" w:type="dxa"/>
            <w:vAlign w:val="bottom"/>
          </w:tcPr>
          <w:p>
            <w:pPr>
              <w:ind w:left="20"/>
              <w:spacing w:after="0" w:line="129" w:lineRule="exact"/>
              <w:rPr>
                <w:sz w:val="20"/>
                <w:szCs w:val="20"/>
                <w:color w:val="auto"/>
              </w:rPr>
            </w:pPr>
            <w:r>
              <w:rPr>
                <w:rFonts w:ascii="Arial" w:cs="Arial" w:eastAsia="Arial" w:hAnsi="Arial"/>
                <w:sz w:val="13"/>
                <w:szCs w:val="13"/>
                <w:color w:val="auto"/>
              </w:rPr>
              <w:t>Balance at March 31, 2023</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149,437,347</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149</w:t>
            </w:r>
          </w:p>
        </w:tc>
        <w:tc>
          <w:tcPr>
            <w:tcW w:w="120" w:type="dxa"/>
            <w:vAlign w:val="bottom"/>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1,593,783</w:t>
            </w:r>
          </w:p>
        </w:tc>
        <w:tc>
          <w:tcPr>
            <w:tcW w:w="14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2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(1,566,265)</w:t>
            </w:r>
          </w:p>
        </w:tc>
        <w:tc>
          <w:tcPr>
            <w:tcW w:w="12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27,433</w:t>
            </w:r>
          </w:p>
        </w:tc>
        <w:tc>
          <w:tcPr>
            <w:tcW w:w="0" w:type="dxa"/>
            <w:vAlign w:val="bottom"/>
          </w:tcPr>
          <w:p>
            <w:pPr>
              <w:spacing w:after="0"/>
              <w:rPr>
                <w:sz w:val="1"/>
                <w:szCs w:val="1"/>
                <w:color w:val="auto"/>
              </w:rPr>
            </w:pPr>
          </w:p>
        </w:tc>
      </w:tr>
      <w:tr>
        <w:trPr>
          <w:trHeight w:val="135"/>
        </w:trPr>
        <w:tc>
          <w:tcPr>
            <w:tcW w:w="3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9"/>
              </w:rPr>
              <w:t>Issuance of common stock in connection with exercise of options</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76,955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751</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751</w:t>
            </w:r>
          </w:p>
        </w:tc>
        <w:tc>
          <w:tcPr>
            <w:tcW w:w="0" w:type="dxa"/>
            <w:vAlign w:val="bottom"/>
          </w:tcPr>
          <w:p>
            <w:pPr>
              <w:spacing w:after="0"/>
              <w:rPr>
                <w:sz w:val="1"/>
                <w:szCs w:val="1"/>
                <w:color w:val="auto"/>
              </w:rPr>
            </w:pPr>
          </w:p>
        </w:tc>
      </w:tr>
      <w:tr>
        <w:trPr>
          <w:trHeight w:val="135"/>
        </w:trPr>
        <w:tc>
          <w:tcPr>
            <w:tcW w:w="3740" w:type="dxa"/>
            <w:vAlign w:val="bottom"/>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95,000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(25,679)</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740" w:type="dxa"/>
            <w:vAlign w:val="bottom"/>
          </w:tcPr>
          <w:p>
            <w:pPr>
              <w:ind w:left="20"/>
              <w:spacing w:after="0" w:line="121" w:lineRule="exact"/>
              <w:rPr>
                <w:sz w:val="20"/>
                <w:szCs w:val="20"/>
                <w:color w:val="auto"/>
              </w:rPr>
            </w:pPr>
            <w:r>
              <w:rPr>
                <w:rFonts w:ascii="Arial" w:cs="Arial" w:eastAsia="Arial" w:hAnsi="Arial"/>
                <w:sz w:val="13"/>
                <w:szCs w:val="13"/>
                <w:color w:val="auto"/>
                <w:w w:val="95"/>
              </w:rPr>
              <w:t>Issuance of common stock in public offering (net of offering costs of</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tcPr>
          <w:p>
            <w:pPr>
              <w:ind w:left="20"/>
              <w:spacing w:after="0"/>
              <w:rPr>
                <w:sz w:val="20"/>
                <w:szCs w:val="20"/>
                <w:color w:val="auto"/>
              </w:rPr>
            </w:pPr>
            <w:r>
              <w:rPr>
                <w:rFonts w:ascii="Arial" w:cs="Arial" w:eastAsia="Arial" w:hAnsi="Arial"/>
                <w:sz w:val="13"/>
                <w:szCs w:val="13"/>
                <w:color w:val="auto"/>
              </w:rPr>
              <w:t>$0.8 million)</w:t>
            </w:r>
          </w:p>
        </w:tc>
        <w:tc>
          <w:tcPr>
            <w:tcW w:w="800" w:type="dxa"/>
            <w:vAlign w:val="bottom"/>
          </w:tcPr>
          <w:p>
            <w:pPr>
              <w:jc w:val="right"/>
              <w:spacing w:after="0"/>
              <w:rPr>
                <w:sz w:val="20"/>
                <w:szCs w:val="20"/>
                <w:color w:val="auto"/>
              </w:rPr>
            </w:pPr>
            <w:r>
              <w:rPr>
                <w:rFonts w:ascii="Arial" w:cs="Arial" w:eastAsia="Arial" w:hAnsi="Arial"/>
                <w:sz w:val="13"/>
                <w:szCs w:val="13"/>
                <w:color w:val="auto"/>
              </w:rPr>
              <w:t>1,385,700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46,295</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46,297</w:t>
            </w:r>
          </w:p>
        </w:tc>
        <w:tc>
          <w:tcPr>
            <w:tcW w:w="0" w:type="dxa"/>
            <w:vAlign w:val="bottom"/>
          </w:tcPr>
          <w:p>
            <w:pPr>
              <w:spacing w:after="0"/>
              <w:rPr>
                <w:sz w:val="1"/>
                <w:szCs w:val="1"/>
                <w:color w:val="auto"/>
              </w:rPr>
            </w:pPr>
          </w:p>
        </w:tc>
      </w:tr>
      <w:tr>
        <w:trPr>
          <w:trHeight w:val="121"/>
        </w:trPr>
        <w:tc>
          <w:tcPr>
            <w:tcW w:w="37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6"/>
              </w:rPr>
              <w:t>Compensation in respect of restricted stock granted to employees,</w:t>
            </w: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directors and consultants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13,582</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13,582</w:t>
            </w:r>
          </w:p>
        </w:tc>
        <w:tc>
          <w:tcPr>
            <w:tcW w:w="0" w:type="dxa"/>
            <w:vAlign w:val="bottom"/>
          </w:tcPr>
          <w:p>
            <w:pPr>
              <w:spacing w:after="0"/>
              <w:rPr>
                <w:sz w:val="1"/>
                <w:szCs w:val="1"/>
                <w:color w:val="auto"/>
              </w:rPr>
            </w:pPr>
          </w:p>
        </w:tc>
      </w:tr>
      <w:tr>
        <w:trPr>
          <w:trHeight w:val="135"/>
        </w:trPr>
        <w:tc>
          <w:tcPr>
            <w:tcW w:w="374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(47,610)</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(47,610)</w:t>
            </w:r>
          </w:p>
        </w:tc>
        <w:tc>
          <w:tcPr>
            <w:tcW w:w="0" w:type="dxa"/>
            <w:vAlign w:val="bottom"/>
          </w:tcPr>
          <w:p>
            <w:pPr>
              <w:spacing w:after="0"/>
              <w:rPr>
                <w:sz w:val="1"/>
                <w:szCs w:val="1"/>
                <w:color w:val="auto"/>
              </w:rPr>
            </w:pPr>
          </w:p>
        </w:tc>
      </w:tr>
      <w:tr>
        <w:trPr>
          <w:trHeight w:val="128"/>
        </w:trPr>
        <w:tc>
          <w:tcPr>
            <w:tcW w:w="3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June 30, 2023</w:t>
            </w: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150,969,323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151</w:t>
            </w: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1,654,411</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8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(1,613,875)</w:t>
            </w:r>
          </w:p>
        </w:tc>
        <w:tc>
          <w:tcPr>
            <w:tcW w:w="6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40,453</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*Amount less than one thousand dollars</w:t>
      </w:r>
    </w:p>
    <w:p>
      <w:pPr>
        <w:spacing w:after="0" w:line="117" w:lineRule="exact"/>
        <w:rPr>
          <w:sz w:val="20"/>
          <w:szCs w:val="20"/>
          <w:color w:val="auto"/>
        </w:rPr>
      </w:pPr>
    </w:p>
    <w:p>
      <w:pPr>
        <w:ind w:left="2640"/>
        <w:spacing w:after="0"/>
        <w:rPr>
          <w:sz w:val="20"/>
          <w:szCs w:val="20"/>
          <w:color w:val="auto"/>
        </w:rPr>
      </w:pPr>
      <w:r>
        <w:rPr>
          <w:rFonts w:ascii="Arial" w:cs="Arial" w:eastAsia="Arial" w:hAnsi="Arial"/>
          <w:sz w:val="11"/>
          <w:szCs w:val="11"/>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right"/>
              <w:ind w:right="448"/>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2022</w:t>
            </w:r>
          </w:p>
        </w:tc>
      </w:tr>
      <w:tr>
        <w:trPr>
          <w:trHeight w:val="142"/>
        </w:trPr>
        <w:tc>
          <w:tcPr>
            <w:tcW w:w="60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OPERATING ACTIVITIES</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8"/>
        </w:trPr>
        <w:tc>
          <w:tcPr>
            <w:tcW w:w="6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(86,841)</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(109,523)</w:t>
            </w:r>
          </w:p>
        </w:tc>
      </w:tr>
      <w:tr>
        <w:trPr>
          <w:trHeight w:val="162"/>
        </w:trPr>
        <w:tc>
          <w:tcPr>
            <w:tcW w:w="608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stock compensation expense</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19,364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w:t>
            </w:r>
          </w:p>
        </w:tc>
      </w:tr>
      <w:tr>
        <w:trPr>
          <w:trHeight w:val="148"/>
        </w:trPr>
        <w:tc>
          <w:tcPr>
            <w:tcW w:w="6080" w:type="dxa"/>
            <w:vAlign w:val="bottom"/>
          </w:tcPr>
          <w:p>
            <w:pPr>
              <w:ind w:left="20"/>
              <w:spacing w:after="0" w:line="149" w:lineRule="exact"/>
              <w:rPr>
                <w:sz w:val="20"/>
                <w:szCs w:val="20"/>
                <w:color w:val="auto"/>
              </w:rPr>
            </w:pPr>
            <w:r>
              <w:rPr>
                <w:rFonts w:ascii="Arial" w:cs="Arial" w:eastAsia="Arial" w:hAnsi="Arial"/>
                <w:sz w:val="14"/>
                <w:szCs w:val="14"/>
                <w:color w:val="auto"/>
              </w:rPr>
              <w:t>Depreciation and amortization</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r>
      <w:tr>
        <w:trPr>
          <w:trHeight w:val="148"/>
        </w:trPr>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premium (discount) on investment securities</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r>
      <w:tr>
        <w:trPr>
          <w:trHeight w:val="148"/>
        </w:trPr>
        <w:tc>
          <w:tcPr>
            <w:tcW w:w="6080" w:type="dxa"/>
            <w:vAlign w:val="bottom"/>
          </w:tcPr>
          <w:p>
            <w:pPr>
              <w:ind w:left="20"/>
              <w:spacing w:after="0" w:line="149" w:lineRule="exact"/>
              <w:rPr>
                <w:sz w:val="20"/>
                <w:szCs w:val="20"/>
                <w:color w:val="auto"/>
              </w:rPr>
            </w:pPr>
            <w:r>
              <w:rPr>
                <w:rFonts w:ascii="Arial" w:cs="Arial" w:eastAsia="Arial" w:hAnsi="Arial"/>
                <w:sz w:val="14"/>
                <w:szCs w:val="14"/>
                <w:color w:val="auto"/>
              </w:rPr>
              <w:t>Amortization of debt issuance costs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922</w:t>
            </w:r>
          </w:p>
        </w:tc>
      </w:tr>
      <w:tr>
        <w:trPr>
          <w:trHeight w:val="148"/>
        </w:trPr>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leasehold interest</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r>
      <w:tr>
        <w:trPr>
          <w:trHeight w:val="148"/>
        </w:trPr>
        <w:tc>
          <w:tcPr>
            <w:tcW w:w="6080" w:type="dxa"/>
            <w:vAlign w:val="bottom"/>
          </w:tcPr>
          <w:p>
            <w:pPr>
              <w:ind w:left="20"/>
              <w:spacing w:after="0" w:line="149" w:lineRule="exact"/>
              <w:rPr>
                <w:sz w:val="20"/>
                <w:szCs w:val="20"/>
                <w:color w:val="auto"/>
              </w:rPr>
            </w:pPr>
            <w:r>
              <w:rPr>
                <w:rFonts w:ascii="Arial" w:cs="Arial" w:eastAsia="Arial" w:hAnsi="Arial"/>
                <w:sz w:val="14"/>
                <w:szCs w:val="14"/>
                <w:color w:val="auto"/>
              </w:rPr>
              <w:t>Noncash change in lease liability and right of use asset</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1,014</w:t>
            </w:r>
          </w:p>
        </w:tc>
      </w:tr>
      <w:tr>
        <w:trPr>
          <w:trHeight w:val="149"/>
        </w:trPr>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 in fair value of notes payable</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r>
      <w:tr>
        <w:trPr>
          <w:trHeight w:val="148"/>
        </w:trPr>
        <w:tc>
          <w:tcPr>
            <w:tcW w:w="6080" w:type="dxa"/>
            <w:vAlign w:val="bottom"/>
          </w:tcPr>
          <w:p>
            <w:pPr>
              <w:ind w:left="20"/>
              <w:spacing w:after="0" w:line="149" w:lineRule="exact"/>
              <w:rPr>
                <w:sz w:val="20"/>
                <w:szCs w:val="20"/>
                <w:color w:val="auto"/>
              </w:rPr>
            </w:pPr>
            <w:r>
              <w:rPr>
                <w:rFonts w:ascii="Arial" w:cs="Arial" w:eastAsia="Arial" w:hAnsi="Arial"/>
                <w:sz w:val="14"/>
                <w:szCs w:val="14"/>
                <w:color w:val="auto"/>
              </w:rPr>
              <w:t>Changes in assets and liabilities: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60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Increase in inventory</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(28,896)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080" w:type="dxa"/>
            <w:vAlign w:val="bottom"/>
          </w:tcPr>
          <w:p>
            <w:pPr>
              <w:ind w:left="220"/>
              <w:spacing w:after="0" w:line="149" w:lineRule="exact"/>
              <w:rPr>
                <w:sz w:val="20"/>
                <w:szCs w:val="20"/>
                <w:color w:val="auto"/>
              </w:rPr>
            </w:pPr>
            <w:r>
              <w:rPr>
                <w:rFonts w:ascii="Arial" w:cs="Arial" w:eastAsia="Arial" w:hAnsi="Arial"/>
                <w:sz w:val="14"/>
                <w:szCs w:val="14"/>
                <w:color w:val="auto"/>
              </w:rPr>
              <w:t>(Increase) decrease in other current assets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8,054</w:t>
            </w:r>
          </w:p>
        </w:tc>
      </w:tr>
      <w:tr>
        <w:trPr>
          <w:trHeight w:val="148"/>
        </w:trPr>
        <w:tc>
          <w:tcPr>
            <w:tcW w:w="60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(Increase) decrease in accounts receivable</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(17,484)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w:t>
            </w:r>
          </w:p>
        </w:tc>
      </w:tr>
      <w:tr>
        <w:trPr>
          <w:trHeight w:val="149"/>
        </w:trPr>
        <w:tc>
          <w:tcPr>
            <w:tcW w:w="6080" w:type="dxa"/>
            <w:vAlign w:val="bottom"/>
          </w:tcPr>
          <w:p>
            <w:pPr>
              <w:ind w:left="220"/>
              <w:spacing w:after="0" w:line="149" w:lineRule="exact"/>
              <w:rPr>
                <w:sz w:val="20"/>
                <w:szCs w:val="20"/>
                <w:color w:val="auto"/>
              </w:rPr>
            </w:pPr>
            <w:r>
              <w:rPr>
                <w:rFonts w:ascii="Arial" w:cs="Arial" w:eastAsia="Arial" w:hAnsi="Arial"/>
                <w:sz w:val="14"/>
                <w:szCs w:val="14"/>
                <w:color w:val="auto"/>
              </w:rPr>
              <w:t>Increase (decrease) in accounts payable and accrued expenses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19,136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(21,355)</w:t>
            </w:r>
          </w:p>
        </w:tc>
      </w:tr>
      <w:tr>
        <w:trPr>
          <w:trHeight w:val="148"/>
        </w:trPr>
        <w:tc>
          <w:tcPr>
            <w:tcW w:w="60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 lease liabilities</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w:t>
            </w:r>
          </w:p>
        </w:tc>
      </w:tr>
      <w:tr>
        <w:trPr>
          <w:trHeight w:val="148"/>
        </w:trPr>
        <w:tc>
          <w:tcPr>
            <w:tcW w:w="6080" w:type="dxa"/>
            <w:vAlign w:val="bottom"/>
          </w:tcPr>
          <w:p>
            <w:pPr>
              <w:ind w:left="220"/>
              <w:spacing w:after="0" w:line="149" w:lineRule="exact"/>
              <w:rPr>
                <w:sz w:val="20"/>
                <w:szCs w:val="20"/>
                <w:color w:val="auto"/>
              </w:rPr>
            </w:pPr>
            <w:r>
              <w:rPr>
                <w:rFonts w:ascii="Arial" w:cs="Arial" w:eastAsia="Arial" w:hAnsi="Arial"/>
                <w:sz w:val="14"/>
                <w:szCs w:val="14"/>
                <w:color w:val="auto"/>
              </w:rPr>
              <w:t>Increase in other current liabilities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1,740</w:t>
            </w:r>
          </w:p>
        </w:tc>
      </w:tr>
      <w:tr>
        <w:trPr>
          <w:trHeight w:val="148"/>
        </w:trPr>
        <w:tc>
          <w:tcPr>
            <w:tcW w:w="60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 deferred revenue</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r>
      <w:tr>
        <w:trPr>
          <w:trHeight w:val="20"/>
        </w:trPr>
        <w:tc>
          <w:tcPr>
            <w:tcW w:w="60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56"/>
        </w:trPr>
        <w:tc>
          <w:tcPr>
            <w:tcW w:w="6080" w:type="dxa"/>
            <w:vAlign w:val="bottom"/>
          </w:tcPr>
          <w:p>
            <w:pPr>
              <w:ind w:left="20"/>
              <w:spacing w:after="0" w:line="155" w:lineRule="exact"/>
              <w:rPr>
                <w:sz w:val="20"/>
                <w:szCs w:val="20"/>
                <w:color w:val="auto"/>
              </w:rPr>
            </w:pPr>
            <w:r>
              <w:rPr>
                <w:rFonts w:ascii="Arial" w:cs="Arial" w:eastAsia="Arial" w:hAnsi="Arial"/>
                <w:sz w:val="14"/>
                <w:szCs w:val="14"/>
                <w:color w:val="auto"/>
              </w:rPr>
              <w:t>Net cash used in operating activities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(101,907)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(117,805)</w:t>
            </w:r>
          </w:p>
        </w:tc>
      </w:tr>
      <w:tr>
        <w:trPr>
          <w:trHeight w:val="142"/>
        </w:trPr>
        <w:tc>
          <w:tcPr>
            <w:tcW w:w="60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r>
      <w:tr>
        <w:trPr>
          <w:trHeight w:val="148"/>
        </w:trPr>
        <w:tc>
          <w:tcPr>
            <w:tcW w:w="6080" w:type="dxa"/>
            <w:vAlign w:val="bottom"/>
          </w:tcPr>
          <w:p>
            <w:pPr>
              <w:ind w:left="20"/>
              <w:spacing w:after="0" w:line="149" w:lineRule="exact"/>
              <w:rPr>
                <w:sz w:val="20"/>
                <w:szCs w:val="20"/>
                <w:color w:val="auto"/>
              </w:rPr>
            </w:pPr>
            <w:r>
              <w:rPr>
                <w:rFonts w:ascii="Arial" w:cs="Arial" w:eastAsia="Arial" w:hAnsi="Arial"/>
                <w:sz w:val="14"/>
                <w:szCs w:val="14"/>
                <w:color w:val="auto"/>
              </w:rPr>
              <w:t>CASH FLOWS FROM INVESTING ACTIVITIES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maturity of short-term securities</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38,525</w:t>
            </w:r>
          </w:p>
        </w:tc>
      </w:tr>
      <w:tr>
        <w:trPr>
          <w:trHeight w:val="148"/>
        </w:trPr>
        <w:tc>
          <w:tcPr>
            <w:tcW w:w="6080" w:type="dxa"/>
            <w:vAlign w:val="bottom"/>
          </w:tcPr>
          <w:p>
            <w:pPr>
              <w:ind w:left="20"/>
              <w:spacing w:after="0" w:line="149" w:lineRule="exact"/>
              <w:rPr>
                <w:sz w:val="20"/>
                <w:szCs w:val="20"/>
                <w:color w:val="auto"/>
              </w:rPr>
            </w:pPr>
            <w:r>
              <w:rPr>
                <w:rFonts w:ascii="Arial" w:cs="Arial" w:eastAsia="Arial" w:hAnsi="Arial"/>
                <w:sz w:val="14"/>
                <w:szCs w:val="14"/>
                <w:color w:val="auto"/>
              </w:rPr>
              <w:t>Investment in held-to-maturity securities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(22,168)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(71,810)</w:t>
            </w:r>
          </w:p>
        </w:tc>
      </w:tr>
      <w:tr>
        <w:trPr>
          <w:trHeight w:val="148"/>
        </w:trPr>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Purchases of PPE</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r>
      <w:tr>
        <w:trPr>
          <w:trHeight w:val="142"/>
        </w:trPr>
        <w:tc>
          <w:tcPr>
            <w:tcW w:w="608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7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24,333</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(33,292)</w:t>
            </w:r>
          </w:p>
        </w:tc>
      </w:tr>
      <w:tr>
        <w:trPr>
          <w:trHeight w:val="142"/>
        </w:trPr>
        <w:tc>
          <w:tcPr>
            <w:tcW w:w="6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8"/>
        </w:trPr>
        <w:tc>
          <w:tcPr>
            <w:tcW w:w="6080" w:type="dxa"/>
            <w:vAlign w:val="bottom"/>
          </w:tcPr>
          <w:p>
            <w:pPr>
              <w:ind w:left="20"/>
              <w:spacing w:after="0" w:line="149" w:lineRule="exact"/>
              <w:rPr>
                <w:sz w:val="20"/>
                <w:szCs w:val="20"/>
                <w:color w:val="auto"/>
              </w:rPr>
            </w:pPr>
            <w:r>
              <w:rPr>
                <w:rFonts w:ascii="Arial" w:cs="Arial" w:eastAsia="Arial" w:hAnsi="Arial"/>
                <w:sz w:val="14"/>
                <w:szCs w:val="14"/>
                <w:color w:val="auto"/>
              </w:rPr>
              <w:t>CASH FLOWS FROM FINANCING ACTIVITIES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Payment of loan payable</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w:t>
            </w:r>
          </w:p>
        </w:tc>
      </w:tr>
      <w:tr>
        <w:trPr>
          <w:trHeight w:val="149"/>
        </w:trPr>
        <w:tc>
          <w:tcPr>
            <w:tcW w:w="608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net</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46,296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exercise of options</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r>
      <w:tr>
        <w:trPr>
          <w:trHeight w:val="149"/>
        </w:trPr>
        <w:tc>
          <w:tcPr>
            <w:tcW w:w="6080" w:type="dxa"/>
            <w:vAlign w:val="bottom"/>
          </w:tcPr>
          <w:p>
            <w:pPr>
              <w:ind w:left="20"/>
              <w:spacing w:after="0" w:line="149" w:lineRule="exact"/>
              <w:rPr>
                <w:sz w:val="20"/>
                <w:szCs w:val="20"/>
                <w:color w:val="auto"/>
              </w:rPr>
            </w:pPr>
            <w:r>
              <w:rPr>
                <w:rFonts w:ascii="Arial" w:cs="Arial" w:eastAsia="Arial" w:hAnsi="Arial"/>
                <w:sz w:val="14"/>
                <w:szCs w:val="14"/>
                <w:color w:val="auto"/>
              </w:rPr>
              <w:t>Proceeds from debt financings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Financing costs paid</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6080" w:type="dxa"/>
            <w:vAlign w:val="bottom"/>
            <w:tcBorders>
              <w:top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740" w:type="dxa"/>
            <w:vAlign w:val="bottom"/>
            <w:tcBorders>
              <w:top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72,285</w:t>
            </w: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(715)</w:t>
            </w:r>
          </w:p>
        </w:tc>
      </w:tr>
      <w:tr>
        <w:trPr>
          <w:trHeight w:val="142"/>
        </w:trPr>
        <w:tc>
          <w:tcPr>
            <w:tcW w:w="6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62"/>
        </w:trPr>
        <w:tc>
          <w:tcPr>
            <w:tcW w:w="6080" w:type="dxa"/>
            <w:vAlign w:val="bottom"/>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(5,289)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(151,812)</w:t>
            </w:r>
          </w:p>
        </w:tc>
      </w:tr>
      <w:tr>
        <w:trPr>
          <w:trHeight w:val="149"/>
        </w:trPr>
        <w:tc>
          <w:tcPr>
            <w:tcW w:w="6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8"/>
        </w:trPr>
        <w:tc>
          <w:tcPr>
            <w:tcW w:w="608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7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103,577</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300,151</w:t>
            </w:r>
          </w:p>
        </w:tc>
      </w:tr>
      <w:tr>
        <w:trPr>
          <w:trHeight w:val="142"/>
        </w:trPr>
        <w:tc>
          <w:tcPr>
            <w:tcW w:w="6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88"/>
        </w:trPr>
        <w:tc>
          <w:tcPr>
            <w:tcW w:w="6080" w:type="dxa"/>
            <w:vAlign w:val="bottom"/>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98,288</w:t>
            </w:r>
          </w:p>
        </w:tc>
        <w:tc>
          <w:tcPr>
            <w:tcW w:w="120" w:type="dxa"/>
            <w:vAlign w:val="bottom"/>
          </w:tcPr>
          <w:p>
            <w:pPr>
              <w:spacing w:after="0"/>
              <w:rPr>
                <w:sz w:val="16"/>
                <w:szCs w:val="16"/>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148,339</w:t>
            </w:r>
          </w:p>
        </w:tc>
      </w:tr>
      <w:tr>
        <w:trPr>
          <w:trHeight w:val="129"/>
        </w:trPr>
        <w:tc>
          <w:tcPr>
            <w:tcW w:w="60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r>
      <w:tr>
        <w:trPr>
          <w:trHeight w:val="148"/>
        </w:trPr>
        <w:tc>
          <w:tcPr>
            <w:tcW w:w="6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Reconciliation to amounts on condensed consolidated balance sheets:</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8"/>
        </w:trPr>
        <w:tc>
          <w:tcPr>
            <w:tcW w:w="6080" w:type="dxa"/>
            <w:vAlign w:val="bottom"/>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97,009</w:t>
            </w:r>
          </w:p>
        </w:tc>
        <w:tc>
          <w:tcPr>
            <w:tcW w:w="1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147,073</w:t>
            </w:r>
          </w:p>
        </w:tc>
      </w:tr>
      <w:tr>
        <w:trPr>
          <w:trHeight w:val="148"/>
        </w:trPr>
        <w:tc>
          <w:tcPr>
            <w:tcW w:w="608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7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1,279</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1,266</w:t>
            </w:r>
          </w:p>
        </w:tc>
      </w:tr>
      <w:tr>
        <w:trPr>
          <w:trHeight w:val="142"/>
        </w:trPr>
        <w:tc>
          <w:tcPr>
            <w:tcW w:w="6080" w:type="dxa"/>
            <w:vAlign w:val="bottom"/>
          </w:tcPr>
          <w:p>
            <w:pPr>
              <w:ind w:left="120"/>
              <w:spacing w:after="0" w:line="129" w:lineRule="exact"/>
              <w:rPr>
                <w:sz w:val="20"/>
                <w:szCs w:val="20"/>
                <w:color w:val="auto"/>
              </w:rPr>
            </w:pPr>
            <w:r>
              <w:rPr>
                <w:rFonts w:ascii="Arial" w:cs="Arial" w:eastAsia="Arial" w:hAnsi="Arial"/>
                <w:sz w:val="14"/>
                <w:szCs w:val="14"/>
                <w:color w:val="auto"/>
              </w:rPr>
              <w:t>Total cash, cash equivalents and restricted cash</w:t>
            </w:r>
          </w:p>
        </w:tc>
        <w:tc>
          <w:tcPr>
            <w:tcW w:w="940" w:type="dxa"/>
            <w:vAlign w:val="bottom"/>
            <w:gridSpan w:val="2"/>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auto"/>
              </w:rPr>
              <w:t>98,288</w:t>
            </w:r>
          </w:p>
        </w:tc>
        <w:tc>
          <w:tcPr>
            <w:tcW w:w="120" w:type="dxa"/>
            <w:vAlign w:val="bottom"/>
          </w:tcPr>
          <w:p>
            <w:pPr>
              <w:spacing w:after="0"/>
              <w:rPr>
                <w:sz w:val="12"/>
                <w:szCs w:val="12"/>
                <w:color w:val="auto"/>
              </w:rPr>
            </w:pPr>
          </w:p>
        </w:tc>
        <w:tc>
          <w:tcPr>
            <w:tcW w:w="28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148,339</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60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r>
      <w:tr>
        <w:trPr>
          <w:trHeight w:val="148"/>
        </w:trPr>
        <w:tc>
          <w:tcPr>
            <w:tcW w:w="6080" w:type="dxa"/>
            <w:vAlign w:val="bottom"/>
          </w:tcPr>
          <w:p>
            <w:pPr>
              <w:ind w:left="20"/>
              <w:spacing w:after="0" w:line="149" w:lineRule="exact"/>
              <w:rPr>
                <w:sz w:val="20"/>
                <w:szCs w:val="20"/>
                <w:color w:val="auto"/>
              </w:rPr>
            </w:pPr>
            <w:r>
              <w:rPr>
                <w:rFonts w:ascii="Arial" w:cs="Arial" w:eastAsia="Arial" w:hAnsi="Arial"/>
                <w:sz w:val="14"/>
                <w:szCs w:val="14"/>
                <w:color w:val="auto"/>
              </w:rPr>
              <w:t>Cash paid for:</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60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3,929</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2,622</w:t>
            </w:r>
          </w:p>
        </w:tc>
      </w:tr>
      <w:tr>
        <w:trPr>
          <w:trHeight w:val="148"/>
        </w:trPr>
        <w:tc>
          <w:tcPr>
            <w:tcW w:w="6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TRANSACTIONS</w:t>
            </w: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62"/>
        </w:trPr>
        <w:tc>
          <w:tcPr>
            <w:tcW w:w="608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1,238</w:t>
            </w:r>
          </w:p>
        </w:tc>
        <w:tc>
          <w:tcPr>
            <w:tcW w:w="12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6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Warrants issued with debt financing</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and our subsidiaries.</w:t>
      </w:r>
    </w:p>
    <w:p>
      <w:pPr>
        <w:spacing w:after="0" w:line="126" w:lineRule="exact"/>
        <w:rPr>
          <w:sz w:val="20"/>
          <w:szCs w:val="20"/>
          <w:color w:val="auto"/>
        </w:rPr>
      </w:pPr>
    </w:p>
    <w:p>
      <w:pPr>
        <w:ind w:left="60" w:right="1699"/>
        <w:spacing w:after="0" w:line="464"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b w:val="1"/>
          <w:bCs w:val="1"/>
          <w:i w:val="1"/>
          <w:iCs w:val="1"/>
          <w:color w:val="auto"/>
        </w:rPr>
        <w:t>Description of Business</w:t>
      </w:r>
    </w:p>
    <w:p>
      <w:pPr>
        <w:jc w:val="both"/>
        <w:ind w:left="60" w:right="59" w:firstLine="648"/>
        <w:spacing w:after="0" w:line="284" w:lineRule="auto"/>
        <w:rPr>
          <w:sz w:val="20"/>
          <w:szCs w:val="20"/>
          <w:color w:val="auto"/>
        </w:rPr>
      </w:pPr>
      <w:r>
        <w:rPr>
          <w:rFonts w:ascii="Arial" w:cs="Arial" w:eastAsia="Arial" w:hAnsi="Arial"/>
          <w:sz w:val="16"/>
          <w:szCs w:val="16"/>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United States Food and Drug Administration (FDA) for BRIUMVI (ublituximab-xiiy) for the treatment of adult patients with relapsing forms of multiple sclerosis (RMS), to include clinically isolated syndrome, relapsing-remitting disease, and active secondary progressive disease, in adults. TG has also received approval for BRIUMVI by the European Commission (EC) for the treatment of adult patients with RMS who have active disease defined by clinical or imaging features. TG continues to actively evaluate complementary products, technologies and companies for in-licensing, partnership, acquisition and/or investment opportunities.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1" w:lineRule="exact"/>
        <w:rPr>
          <w:sz w:val="20"/>
          <w:szCs w:val="20"/>
          <w:color w:val="auto"/>
        </w:rPr>
      </w:pPr>
    </w:p>
    <w:p>
      <w:pPr>
        <w:jc w:val="both"/>
        <w:ind w:left="60" w:right="59" w:firstLine="492"/>
        <w:spacing w:after="0" w:line="288"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2022. The accompanying condensed December 31, 2022 balance sheet has been derived from these statements. The results of operations for the three and six months ended June 30, 2023 are not necessarily indicative of the results that may be expected for the entire fiscal year or any other interim period.</w:t>
      </w:r>
    </w:p>
    <w:p>
      <w:pPr>
        <w:spacing w:after="0" w:line="60"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In December 2018, the Company created an Australian corporation, TG Therapeutics AUS Pty Ltd. (TG AUS), as a wholly-owned subsidiary. This corporation’s functional currency, the Australian dollar, is also its reporting currency, and its financial statements are translated to U.S. dollars, the Company’s reporting currency, prior to consolidation. The activities of TG AUS result in immaterial currency translation adjustments and, thus, are included in Other Income/Expense on the Company’s condensed consolidated statement of operations. The accompanying condensed consolidated financial statements include the accounts of the Company and its subsidiaries, and all intercompany accounts and transactions have been eliminated in consolidation.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jc w:val="both"/>
        <w:ind w:left="60" w:right="59" w:firstLine="492"/>
        <w:spacing w:after="0" w:line="342" w:lineRule="auto"/>
        <w:rPr>
          <w:sz w:val="20"/>
          <w:szCs w:val="20"/>
          <w:color w:val="auto"/>
        </w:rPr>
      </w:pPr>
      <w:r>
        <w:rPr>
          <w:rFonts w:ascii="Arial" w:cs="Arial" w:eastAsia="Arial" w:hAnsi="Arial"/>
          <w:sz w:val="16"/>
          <w:szCs w:val="16"/>
          <w:color w:val="auto"/>
        </w:rPr>
        <w:t>We have incurred operating losses since our inception and expect to continue to incur operating losses for the foreseeable future and may never become profitable. As of June 30, 2023, we have an accumulated deficit of $1.6 billion.</w:t>
      </w:r>
    </w:p>
    <w:p>
      <w:pPr>
        <w:spacing w:after="0" w:line="97"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color w:val="auto"/>
        </w:rPr>
        <w:t>Our major sources of cash have been proceeds from private placement and public offering of equity securities, from our loan and security agreements executed with Hercules Capital, Inc. (Hercules) (see Note 7 for more information), and from our commercialization agreement executed with Neuraxpharm Pharmaceuticals, S.L. (Neuraxpharm) (see Note 11 for more information).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As of June 30, 2023, we had generated $23.8 million in revenue from drug sales of BRIUMVI. BRIUMVI first became commercially available in the United States in January of 2023. Even with the commercialization of BRIUMVI and the possible future commercialization of our other drug candidates, we may not become profitable. Our ability to achieve profitability depends on our ability to generate revenue and many other factors, including our ability to successfully commercialize our drug candidates alone or in partnership; successfully complete any post-approval regulatory obligations; and our ability to</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maintain or obtain regulatory approval for our drug candidates. We may continue to incur substantial operating losses even if we begin to generate revenues from our drug candidates.</w:t>
      </w:r>
    </w:p>
    <w:p>
      <w:pPr>
        <w:spacing w:after="0" w:line="143"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As of June 30, 2023, we had $144.9 million in cash and cash equivalents, and investment securities. We anticipate that our cash, cash equivalents, and investment securities as of June 30, 2023, combined with the upfront payment of $140.0 million in July 2023 as part of our commercialization agreement with Neuraxpharm and projected revenues associated with the sale of BRIUMVI in the U.S. and ex-U.S., will provide sufficient liquidity for more than a twelve-month period from the date of filing of this Quarterly Report on Form 10-Q.</w:t>
      </w:r>
    </w:p>
    <w:p>
      <w:pPr>
        <w:spacing w:after="0" w:line="147" w:lineRule="exact"/>
        <w:rPr>
          <w:sz w:val="20"/>
          <w:szCs w:val="20"/>
          <w:color w:val="auto"/>
        </w:rPr>
      </w:pPr>
    </w:p>
    <w:p>
      <w:pPr>
        <w:jc w:val="both"/>
        <w:ind w:left="60" w:right="59" w:firstLine="543"/>
        <w:spacing w:after="0" w:line="257" w:lineRule="auto"/>
        <w:rPr>
          <w:sz w:val="20"/>
          <w:szCs w:val="20"/>
          <w:color w:val="auto"/>
        </w:rPr>
      </w:pPr>
      <w:r>
        <w:rPr>
          <w:rFonts w:ascii="Arial" w:cs="Arial" w:eastAsia="Arial" w:hAnsi="Arial"/>
          <w:sz w:val="18"/>
          <w:szCs w:val="18"/>
          <w:color w:val="auto"/>
        </w:rPr>
        <w:t>The actual amount of cash that we will need to operate is subject to many factors, including, but not limited to, our commercialization efforts for BRIUMVI, preparations for the potential commercialization of our other drug candidates, and the timing, design and conduct of clinical trials for our drug candidates. We may be dependent upon significant future financing to provide the cash necessary to execute our ongoing and future operations, including the commercialization of any of our drug candidates.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common stock is quoted on the Nasdaq Capital Market and trades under the symbol “TGTX.”</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85"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Our significant accounting policies are described in Note 1 of Notes to Consolidated Financial Statements included in our 2022 Annual Report on Form 10-K, except updated herein or as it relates to revenue recognition, accounts receivable, inventory, cost of product revenue, and the adoption of new accounting standards during the six months ended June 30, 2023. Management does not believe that any recently issued, but not yet effective, accounting pronouncements, if currently adopted, would have a material effect on the Company’s consolidated financial statements.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Pursuant to Topic 606, we recognize revenue to depict the transfer of promised goods or services to customers in an amount that reflects the consideration to which we expect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5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146"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Product Revenue, Net -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trade discounts and allowances, product returns, and co-payment assistance.</w:t>
      </w:r>
    </w:p>
    <w:p>
      <w:pPr>
        <w:spacing w:after="0" w:line="151" w:lineRule="exact"/>
        <w:rPr>
          <w:sz w:val="20"/>
          <w:szCs w:val="20"/>
          <w:color w:val="auto"/>
        </w:rPr>
      </w:pPr>
    </w:p>
    <w:p>
      <w:pPr>
        <w:jc w:val="both"/>
        <w:ind w:left="60" w:right="59" w:firstLine="492"/>
        <w:spacing w:after="0" w:line="289" w:lineRule="auto"/>
        <w:rPr>
          <w:sz w:val="20"/>
          <w:szCs w:val="20"/>
          <w:color w:val="auto"/>
        </w:rPr>
      </w:pPr>
      <w:r>
        <w:rPr>
          <w:rFonts w:ascii="Arial" w:cs="Arial" w:eastAsia="Arial" w:hAnsi="Arial"/>
          <w:sz w:val="16"/>
          <w:szCs w:val="16"/>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and statutory requirements, specific known market events and trends, industry data, and forecasted customer buying and payment patterns.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amounts of consideration received may ultimately differ from the Company’s estimates. If actual results vary, the Company adjusts these estimates, which could have an effect on earnings in the period of adjustment.</w:t>
      </w:r>
    </w:p>
    <w:p>
      <w:pPr>
        <w:spacing w:after="0" w:line="143"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Chargebacks: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w:t>
      </w:r>
    </w:p>
    <w:p>
      <w:pPr>
        <w:spacing w:after="0" w:line="121"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Government Rebates: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spacing w:after="0" w:line="108"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Trade Discounts and Allowances: The Company provides its customers with discounts that are explicitly stated in the contracts and are recorded in the period the related product revenue is recognized. In addition, the Company also receives sales order management, inventory management, and data services from its customers in exchange for certain fees.</w:t>
      </w:r>
    </w:p>
    <w:p>
      <w:pPr>
        <w:spacing w:after="0" w:line="122"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Product Returns: Consistent with industry practice, the Company generally offers customers a limited right of return for product that has been purchased from the Company. The Company estimates the amount of its product sales that may 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spacing w:after="0" w:line="136"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Subject to certain limitations, the Company’s return policy allows for eligible returns of BRIUMVI for credit under the following circumstances:</w:t>
      </w:r>
    </w:p>
    <w:p>
      <w:pPr>
        <w:spacing w:after="0" w:line="130" w:lineRule="exact"/>
        <w:rPr>
          <w:sz w:val="20"/>
          <w:szCs w:val="20"/>
          <w:color w:val="auto"/>
        </w:rPr>
      </w:pPr>
    </w:p>
    <w:p>
      <w:pPr>
        <w:ind w:left="700" w:hanging="15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receipt of damaged product;</w:t>
      </w:r>
    </w:p>
    <w:p>
      <w:pPr>
        <w:spacing w:after="0" w:line="198" w:lineRule="exact"/>
        <w:rPr>
          <w:rFonts w:ascii="Arial" w:cs="Arial" w:eastAsia="Arial" w:hAnsi="Arial"/>
          <w:sz w:val="18"/>
          <w:szCs w:val="18"/>
          <w:color w:val="auto"/>
        </w:rPr>
      </w:pPr>
    </w:p>
    <w:p>
      <w:pPr>
        <w:ind w:left="700" w:hanging="15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shipment errors that were a result of an error by the Company;</w:t>
      </w:r>
    </w:p>
    <w:p>
      <w:pPr>
        <w:spacing w:after="0" w:line="184" w:lineRule="exact"/>
        <w:rPr>
          <w:rFonts w:ascii="Arial" w:cs="Arial" w:eastAsia="Arial" w:hAnsi="Arial"/>
          <w:sz w:val="18"/>
          <w:szCs w:val="18"/>
          <w:color w:val="auto"/>
        </w:rPr>
      </w:pPr>
    </w:p>
    <w:p>
      <w:pPr>
        <w:ind w:left="60" w:right="59" w:firstLine="483"/>
        <w:spacing w:after="0" w:line="277" w:lineRule="auto"/>
        <w:tabs>
          <w:tab w:leader="none" w:pos="7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expired product that is returned during the period beginning three months prior to the product’s expiration and ending six months after the expiration date;</w:t>
      </w:r>
    </w:p>
    <w:p>
      <w:pPr>
        <w:spacing w:after="0" w:line="129" w:lineRule="exact"/>
        <w:rPr>
          <w:rFonts w:ascii="Arial" w:cs="Arial" w:eastAsia="Arial" w:hAnsi="Arial"/>
          <w:sz w:val="18"/>
          <w:szCs w:val="18"/>
          <w:color w:val="auto"/>
        </w:rPr>
      </w:pPr>
    </w:p>
    <w:p>
      <w:pPr>
        <w:ind w:left="700" w:hanging="15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subject to a recall; and</w:t>
      </w:r>
    </w:p>
    <w:p>
      <w:pPr>
        <w:spacing w:after="0" w:line="198" w:lineRule="exact"/>
        <w:rPr>
          <w:rFonts w:ascii="Arial" w:cs="Arial" w:eastAsia="Arial" w:hAnsi="Arial"/>
          <w:sz w:val="18"/>
          <w:szCs w:val="18"/>
          <w:color w:val="auto"/>
        </w:rPr>
      </w:pPr>
    </w:p>
    <w:p>
      <w:pPr>
        <w:ind w:left="700" w:hanging="157"/>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that the Company, at its sole discretion, has specified can be returned for credit.</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June 30, 2023, the Company has not received any returns related to sales of BRIUMVI.</w:t>
      </w:r>
    </w:p>
    <w:p>
      <w:pPr>
        <w:spacing w:after="0" w:line="185"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Co-Payment Assistance Programs: Co-payment assistance is provided to qualified patients with commercial insurance, whereby the Company may provide financial assistance to patients with prescription drug co-payments required by the patient's insurance provider. Reserves for co-payment assistance are recorded in the same period the related revenue is recognized.</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In general, accounts receivable consists of amounts due from customers, net of customer allowances for cash discounts, product returns and chargebacks. Our contracts with customers have standard payment terms. We analyze accounts that are past due for collectability, and regularly evaluate the creditworthiness of our customers so that we can properly assess and respond to changes in their credit profiles. As of June 30, 2023, we determined an allowance for expected credit losses related to outstanding accounts receivable was currently not required based upon our review of contractual payment terms and individual customer circumstances.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9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Cost of product revenue consists primarily of third-party manufacturing costs, distribution, overhead and royalties owed to our licensing partner for BRIUMVI sales. Cost of sales may also include costs related to excess or obsolete inventory adjustment charges, abnormal costs, unabsorbed manufacturing and overhead costs, and manufacturing variances. Based on our policy to expense costs associated with the manufacture of our products prior to regulatory approval, a portion of the costs of producing BRIUMVI sold to date was expensed as research and development prior to the FDA approval of BRIUMVI and therefore it is not reflected in the cost of product revenue.</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185"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Prior to regulatory approval, we expense costs relating to the production of inventory as research and development expense in the period incurred. Following regulatory approval, costs to manufacture those approved products will be capitalized. Inventories are stated at the lower of cost or estimated net realizable value with cost based on the first-in-first-out method (FIFO). Inventory that can be used in either the production of clinical or commercial products is expensed as research and development costs when identified for use in clinical trials.</w:t>
      </w:r>
    </w:p>
    <w:p>
      <w:pPr>
        <w:spacing w:after="0" w:line="14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Prior to the approval of BRIUMVI, all manufacturing and other potential costs related to the commercial launch of BRIUMVI were expensed to research and development expense in the period incurred.</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85"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restricted stock,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cumulative amounts of potentially dilutive securities excluded from the calculation were 13,456,358 and 13,512,092 for the six months ended June 30, 2023 and 2022, respectively.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our potentially dilutive securities at June 30, 2023 and 2022: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Six Months Ended</w:t>
      </w:r>
    </w:p>
    <w:tbl>
      <w:tblPr>
        <w:tblLayout w:type="fixed"/>
        <w:tblInd w:w="40" w:type="dxa"/>
        <w:tblCellMar>
          <w:top w:w="0" w:type="dxa"/>
          <w:left w:w="0" w:type="dxa"/>
          <w:bottom w:w="0" w:type="dxa"/>
          <w:right w:w="0" w:type="dxa"/>
        </w:tblCellMar>
      </w:tblPr>
      <w:tr>
        <w:trPr>
          <w:trHeight w:val="159"/>
        </w:trPr>
        <w:tc>
          <w:tcPr>
            <w:tcW w:w="6480" w:type="dxa"/>
            <w:vAlign w:val="bottom"/>
          </w:tcPr>
          <w:p>
            <w:pPr>
              <w:spacing w:after="0"/>
              <w:rPr>
                <w:sz w:val="13"/>
                <w:szCs w:val="13"/>
                <w:color w:val="auto"/>
              </w:rPr>
            </w:pPr>
          </w:p>
        </w:tc>
        <w:tc>
          <w:tcPr>
            <w:tcW w:w="1360" w:type="dxa"/>
            <w:vAlign w:val="bottom"/>
            <w:tcBorders>
              <w:bottom w:val="single" w:sz="8" w:color="auto"/>
            </w:tcBorders>
            <w:gridSpan w:val="3"/>
          </w:tcPr>
          <w:p>
            <w:pPr>
              <w:ind w:left="840"/>
              <w:spacing w:after="0" w:line="159" w:lineRule="exact"/>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42"/>
        </w:trPr>
        <w:tc>
          <w:tcPr>
            <w:tcW w:w="6480" w:type="dxa"/>
            <w:vAlign w:val="bottom"/>
          </w:tcPr>
          <w:p>
            <w:pPr>
              <w:spacing w:after="0"/>
              <w:rPr>
                <w:sz w:val="12"/>
                <w:szCs w:val="12"/>
                <w:color w:val="auto"/>
              </w:rPr>
            </w:pPr>
          </w:p>
        </w:tc>
        <w:tc>
          <w:tcPr>
            <w:tcW w:w="9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r>
      <w:tr>
        <w:trPr>
          <w:trHeight w:val="210"/>
        </w:trPr>
        <w:tc>
          <w:tcPr>
            <w:tcW w:w="64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Unvested restricted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8,324,240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10,004,825</w:t>
            </w:r>
          </w:p>
        </w:tc>
        <w:tc>
          <w:tcPr>
            <w:tcW w:w="200" w:type="dxa"/>
            <w:vAlign w:val="bottom"/>
            <w:shd w:val="clear" w:color="auto" w:fill="CCEEFF"/>
          </w:tcPr>
          <w:p>
            <w:pPr>
              <w:spacing w:after="0"/>
              <w:rPr>
                <w:sz w:val="18"/>
                <w:szCs w:val="18"/>
                <w:color w:val="auto"/>
              </w:rPr>
            </w:pPr>
          </w:p>
        </w:tc>
      </w:tr>
      <w:tr>
        <w:trPr>
          <w:trHeight w:val="216"/>
        </w:trPr>
        <w:tc>
          <w:tcPr>
            <w:tcW w:w="6480" w:type="dxa"/>
            <w:vAlign w:val="bottom"/>
          </w:tcPr>
          <w:p>
            <w:pPr>
              <w:ind w:left="60"/>
              <w:spacing w:after="0"/>
              <w:rPr>
                <w:sz w:val="20"/>
                <w:szCs w:val="20"/>
                <w:color w:val="auto"/>
              </w:rPr>
            </w:pPr>
            <w:r>
              <w:rPr>
                <w:rFonts w:ascii="Arial" w:cs="Arial" w:eastAsia="Arial" w:hAnsi="Arial"/>
                <w:sz w:val="18"/>
                <w:szCs w:val="18"/>
                <w:color w:val="auto"/>
              </w:rPr>
              <w:t>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4,799,523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3,225,515</w:t>
            </w:r>
          </w:p>
        </w:tc>
        <w:tc>
          <w:tcPr>
            <w:tcW w:w="200" w:type="dxa"/>
            <w:vAlign w:val="bottom"/>
          </w:tcPr>
          <w:p>
            <w:pPr>
              <w:spacing w:after="0"/>
              <w:rPr>
                <w:sz w:val="18"/>
                <w:szCs w:val="18"/>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262,100</w:t>
            </w:r>
          </w:p>
        </w:tc>
        <w:tc>
          <w:tcPr>
            <w:tcW w:w="200" w:type="dxa"/>
            <w:vAlign w:val="bottom"/>
            <w:shd w:val="clear" w:color="auto" w:fill="CCEEFF"/>
          </w:tcPr>
          <w:p>
            <w:pPr>
              <w:spacing w:after="0"/>
              <w:rPr>
                <w:sz w:val="18"/>
                <w:szCs w:val="18"/>
                <w:color w:val="auto"/>
              </w:rPr>
            </w:pPr>
          </w:p>
        </w:tc>
      </w:tr>
      <w:tr>
        <w:trPr>
          <w:trHeight w:val="230"/>
        </w:trPr>
        <w:tc>
          <w:tcPr>
            <w:tcW w:w="64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Shares issuable upon note conversion</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20,323</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19,652</w:t>
            </w:r>
          </w:p>
        </w:tc>
        <w:tc>
          <w:tcPr>
            <w:tcW w:w="200" w:type="dxa"/>
            <w:vAlign w:val="bottom"/>
            <w:tcBorders>
              <w:bottom w:val="single" w:sz="8" w:color="CCEEFF"/>
            </w:tcBorders>
          </w:tcPr>
          <w:p>
            <w:pPr>
              <w:spacing w:after="0"/>
              <w:rPr>
                <w:sz w:val="19"/>
                <w:szCs w:val="19"/>
                <w:color w:val="auto"/>
              </w:rPr>
            </w:pPr>
          </w:p>
        </w:tc>
      </w:tr>
      <w:tr>
        <w:trPr>
          <w:trHeight w:val="210"/>
        </w:trPr>
        <w:tc>
          <w:tcPr>
            <w:tcW w:w="6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13,456,358</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13,512,092</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NET PRODUCT REVENUE</w:t>
      </w:r>
    </w:p>
    <w:p>
      <w:pPr>
        <w:spacing w:after="0" w:line="20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For the three and six months ended June 30, 2023 our only source of product revenue has been from U.S. sales of BRIUMVI which we began shipping to our customers in January 2023. For the three and six months ended June 30, 2022 our only source of product revenue was from the U.S. sales of UKONIQ, which we began shipping to our customers in February 2021. The voluntary withdrawal of UKONIQ from the U.S. market was announced on April 15, 2022. Effective May 31, 2022, UKONIQ was officially withdrawn from the market.</w:t>
      </w:r>
    </w:p>
    <w:p>
      <w:pPr>
        <w:spacing w:after="0" w:line="1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June 30, 2023, approximately $3.8 million of estimated gross-to-net accruals have been recorded as a reduction of accounts receivable, net and within accounts payable and accrued expenses on the condensed consolidated balance sheets.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INVESTMENT SECURITIES</w:t>
      </w:r>
    </w:p>
    <w:p>
      <w:pPr>
        <w:spacing w:after="0" w:line="189" w:lineRule="exact"/>
        <w:rPr>
          <w:sz w:val="20"/>
          <w:szCs w:val="20"/>
          <w:color w:val="auto"/>
        </w:rPr>
      </w:pPr>
    </w:p>
    <w:p>
      <w:pPr>
        <w:ind w:left="60" w:right="379" w:firstLine="492"/>
        <w:spacing w:after="0" w:line="277" w:lineRule="auto"/>
        <w:rPr>
          <w:sz w:val="20"/>
          <w:szCs w:val="20"/>
          <w:color w:val="auto"/>
        </w:rPr>
      </w:pPr>
      <w:r>
        <w:rPr>
          <w:rFonts w:ascii="Arial" w:cs="Arial" w:eastAsia="Arial" w:hAnsi="Arial"/>
          <w:sz w:val="18"/>
          <w:szCs w:val="18"/>
          <w:color w:val="auto"/>
        </w:rPr>
        <w:t>Our investments as of June 30, 2023 and December 31, 2022 are classified as held-to-maturity. Held-to-maturity investments are recorded at amortized cost.</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summarize our investment securities at June 30, 2023 and December 31,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wp:posOffset>
            </wp:positionV>
            <wp:extent cx="56578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Short-term investments:</w:t>
      </w:r>
    </w:p>
    <w:p>
      <w:pPr>
        <w:spacing w:after="0" w:line="7" w:lineRule="exact"/>
        <w:rPr>
          <w:sz w:val="20"/>
          <w:szCs w:val="20"/>
          <w:color w:val="auto"/>
        </w:rPr>
      </w:pPr>
    </w:p>
    <w:p>
      <w:pPr>
        <w:ind w:left="60"/>
        <w:spacing w:after="0" w:line="257" w:lineRule="auto"/>
        <w:rPr>
          <w:sz w:val="20"/>
          <w:szCs w:val="20"/>
          <w:color w:val="auto"/>
        </w:rPr>
      </w:pPr>
      <w:r>
        <w:rPr>
          <w:rFonts w:ascii="Arial" w:cs="Arial" w:eastAsia="Arial" w:hAnsi="Arial"/>
          <w:sz w:val="18"/>
          <w:szCs w:val="18"/>
          <w:color w:val="auto"/>
        </w:rPr>
        <w:t>Obligations of domestic governmental agencies (maturing between July 2023 and February 2024) (held-to-maturity)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5785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625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Total short-term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563245</wp:posOffset>
            </wp:positionV>
            <wp:extent cx="565785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June 30, 2023</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4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ind w:left="300"/>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cost, as</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adjusted</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holding gains</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holding losses</w:t>
            </w:r>
          </w:p>
        </w:tc>
        <w:tc>
          <w:tcPr>
            <w:tcW w:w="160" w:type="dxa"/>
            <w:vAlign w:val="bottom"/>
          </w:tcPr>
          <w:p>
            <w:pPr>
              <w:spacing w:after="0"/>
              <w:rPr>
                <w:sz w:val="14"/>
                <w:szCs w:val="14"/>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47,896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579</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47,317</w:t>
            </w:r>
          </w:p>
        </w:tc>
        <w:tc>
          <w:tcPr>
            <w:tcW w:w="0" w:type="dxa"/>
            <w:vAlign w:val="bottom"/>
          </w:tcPr>
          <w:p>
            <w:pPr>
              <w:spacing w:after="0"/>
              <w:rPr>
                <w:sz w:val="1"/>
                <w:szCs w:val="1"/>
                <w:color w:val="auto"/>
              </w:rPr>
            </w:pPr>
          </w:p>
        </w:tc>
      </w:tr>
      <w:tr>
        <w:trPr>
          <w:trHeight w:val="209"/>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47,896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47,317</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2"/>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60"/>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Estimated fair</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cost, as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adjusted</w:t>
            </w:r>
          </w:p>
        </w:tc>
        <w:tc>
          <w:tcPr>
            <w:tcW w:w="16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u w:val="single" w:color="auto"/>
                <w:color w:val="auto"/>
                <w:w w:val="90"/>
              </w:rPr>
              <w:t>holding gains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w w:val="83"/>
              </w:rPr>
              <w:t>holding losses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4711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1170" cy="8255"/>
                    </a:xfrm>
                    <a:prstGeom prst="rect">
                      <a:avLst/>
                    </a:prstGeom>
                    <a:noFill/>
                  </pic:spPr>
                </pic:pic>
              </a:graphicData>
            </a:graphic>
          </wp:anchor>
        </w:drawing>
        <w:drawing>
          <wp:anchor simplePos="0" relativeHeight="251657728" behindDoc="1" locked="0" layoutInCell="0" allowOverlap="1">
            <wp:simplePos x="0" y="0"/>
            <wp:positionH relativeFrom="column">
              <wp:posOffset>1863090</wp:posOffset>
            </wp:positionH>
            <wp:positionV relativeFrom="paragraph">
              <wp:posOffset>-8890</wp:posOffset>
            </wp:positionV>
            <wp:extent cx="5740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880" w:space="240"/>
            <w:col w:w="389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200"/>
        </w:trPr>
        <w:tc>
          <w:tcPr>
            <w:tcW w:w="4940" w:type="dxa"/>
            <w:vAlign w:val="bottom"/>
          </w:tcPr>
          <w:p>
            <w:pPr>
              <w:spacing w:after="0" w:line="201" w:lineRule="exact"/>
              <w:rPr>
                <w:sz w:val="20"/>
                <w:szCs w:val="20"/>
                <w:color w:val="auto"/>
              </w:rPr>
            </w:pPr>
            <w:r>
              <w:rPr>
                <w:rFonts w:ascii="Arial" w:cs="Arial" w:eastAsia="Arial" w:hAnsi="Arial"/>
                <w:sz w:val="18"/>
                <w:szCs w:val="18"/>
                <w:color w:val="auto"/>
              </w:rPr>
              <w:t>Short-term investments:</w:t>
            </w: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w w:val="92"/>
              </w:rPr>
              <w:t>Obligations of domestic governmental agencies (maturing between</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January 2023 and December 2023) (held-to-maturity)</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$ 59,374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ind w:left="280"/>
              <w:spacing w:after="0"/>
              <w:rPr>
                <w:sz w:val="20"/>
                <w:szCs w:val="20"/>
                <w:color w:val="auto"/>
              </w:rPr>
            </w:pPr>
            <w:r>
              <w:rPr>
                <w:rFonts w:ascii="Arial" w:cs="Arial" w:eastAsia="Arial" w:hAnsi="Arial"/>
                <w:sz w:val="18"/>
                <w:szCs w:val="18"/>
                <w:color w:val="auto"/>
              </w:rPr>
              <w:t>—   $</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1,053</w:t>
            </w:r>
          </w:p>
        </w:tc>
        <w:tc>
          <w:tcPr>
            <w:tcW w:w="940" w:type="dxa"/>
            <w:vAlign w:val="bottom"/>
          </w:tcPr>
          <w:p>
            <w:pPr>
              <w:jc w:val="right"/>
              <w:spacing w:after="0"/>
              <w:rPr>
                <w:sz w:val="20"/>
                <w:szCs w:val="20"/>
                <w:color w:val="auto"/>
              </w:rPr>
            </w:pPr>
            <w:r>
              <w:rPr>
                <w:rFonts w:ascii="Arial" w:cs="Arial" w:eastAsia="Arial" w:hAnsi="Arial"/>
                <w:sz w:val="18"/>
                <w:szCs w:val="18"/>
                <w:color w:val="auto"/>
              </w:rPr>
              <w:t>$   58,321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0</wp:posOffset>
            </wp:positionV>
            <wp:extent cx="565785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74320"/>
                    </a:xfrm>
                    <a:prstGeom prst="rect">
                      <a:avLst/>
                    </a:prstGeom>
                    <a:noFill/>
                  </pic:spPr>
                </pic:pic>
              </a:graphicData>
            </a:graphic>
          </wp:anchor>
        </w:drawing>
      </w:r>
    </w:p>
    <w:p>
      <w:pPr>
        <w:spacing w:after="0" w:line="3" w:lineRule="exact"/>
        <w:rPr>
          <w:sz w:val="20"/>
          <w:szCs w:val="20"/>
          <w:color w:val="auto"/>
        </w:rPr>
      </w:pPr>
    </w:p>
    <w:p>
      <w:pPr>
        <w:ind w:left="60"/>
        <w:spacing w:after="0" w:line="272" w:lineRule="auto"/>
        <w:rPr>
          <w:sz w:val="20"/>
          <w:szCs w:val="20"/>
          <w:color w:val="auto"/>
        </w:rPr>
      </w:pPr>
      <w:r>
        <w:rPr>
          <w:rFonts w:ascii="Arial" w:cs="Arial" w:eastAsia="Arial" w:hAnsi="Arial"/>
          <w:sz w:val="17"/>
          <w:szCs w:val="17"/>
          <w:color w:val="auto"/>
        </w:rPr>
        <w:t>Obligations of domestic governmental agencies (maturing between January 2024 and February 2024) (held-to-maturity)</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short-term and long-term investment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12,404</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11,975</w:t>
            </w:r>
          </w:p>
        </w:tc>
      </w:tr>
      <w:tr>
        <w:trPr>
          <w:trHeight w:val="210"/>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$ 71,778</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70,296</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80" w:space="240"/>
            <w:col w:w="389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INVENTORY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inventory as of June 30, 2023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65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June 30, 2023</w:t>
            </w: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29,551</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r>
      <w:tr>
        <w:trPr>
          <w:trHeight w:val="24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Inventory</w:t>
            </w: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30,234</w:t>
            </w:r>
          </w:p>
        </w:tc>
      </w:tr>
    </w:tbl>
    <w:p>
      <w:pPr>
        <w:spacing w:after="0" w:line="202" w:lineRule="exact"/>
        <w:rPr>
          <w:sz w:val="20"/>
          <w:szCs w:val="20"/>
          <w:color w:val="auto"/>
        </w:rPr>
      </w:pPr>
    </w:p>
    <w:p>
      <w:pPr>
        <w:ind w:left="60" w:right="139" w:firstLine="492"/>
        <w:spacing w:after="0" w:line="287" w:lineRule="auto"/>
        <w:rPr>
          <w:sz w:val="20"/>
          <w:szCs w:val="20"/>
          <w:color w:val="auto"/>
        </w:rPr>
      </w:pPr>
      <w:r>
        <w:rPr>
          <w:rFonts w:ascii="Arial" w:cs="Arial" w:eastAsia="Arial" w:hAnsi="Arial"/>
          <w:sz w:val="16"/>
          <w:szCs w:val="16"/>
          <w:color w:val="auto"/>
        </w:rPr>
        <w:t>Inventory is stated at the lower of cost or net realizable value and consists of raw materials, work-in-process and finished goods. Cost is determined using a standard cost method, which approximates actual cost, and assumes a FIFO flow of goods. At June 30, 2023, all of our inventory was related to BRIUMVI, which was approved by the FDA on December 28, 2022, at which time we began to capitalize costs to manufacture BRIUMVI. The Company has not recorded any inventory write downs since that time. Prior to the FDA approval of BRIUMVI, all costs related to the manufacturing of BRIUMVI and related material were charged to research and development expense in the period incurred. No costs related to the manufacturing of BRIUMVI and the related material were incurred between the approval date and year end 2022, therefore, inventory is not included in the December 31, 2022 condensed consolidated balance sheets. Inventory that is used for clinical development purposes is expensed to research and development expense when consumed. At June 30, 2023, we determined that a reserve related to BRIUMVI inventory is not required. We currently use a limited number of third-party contract manufacturing organizations (CMOs) to produce our inventory.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FAIR VALUE MEASUREMENTS</w:t>
      </w:r>
    </w:p>
    <w:p>
      <w:pPr>
        <w:spacing w:after="0" w:line="18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46"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and liabilities;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 inputs other than Level 1 quoted prices that are directly or indirectly observable;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184"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We have no obligations under the 5% Notes aside from the conversion feature.</w:t>
      </w:r>
    </w:p>
    <w:p>
      <w:pPr>
        <w:spacing w:after="0" w:line="147"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The Company’s financial instruments include cash, cash equivalents consisting of money market funds, accounts receivable, accounts payable and loan payable. As of June 30, 2023 and December 31, 2022, the fair values of cash and cash equivalents, restricted cash, accounts receivable, and loan and interest payable approximate their carrying value. The carrying value of loan payable on the Company’s balance sheet is estimated to approximate its fair value as the interest rate approximates the market rate for loans with similar terms and risk characteristics.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have no Level 1 or Level 2 instruments. Our Level 3 instrument amounts represent the fair value of the 5% Notes and related accrued interest. The following table summarizes the changes in Level 3 instruments during the six months ended June 30, 2023:</w:t>
      </w:r>
    </w:p>
    <w:p>
      <w:pPr>
        <w:sectPr>
          <w:pgSz w:w="11900" w:h="16838" w:orient="portrait"/>
          <w:cols w:equalWidth="0" w:num="1">
            <w:col w:w="9019"/>
          </w:cols>
          <w:pgMar w:left="1440" w:top="517" w:right="1440" w:bottom="1440" w:gutter="0" w:footer="0" w:header="0"/>
        </w:sect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wp:posOffset>
            </wp:positionV>
            <wp:extent cx="56578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Balance at December 31, 2022</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Interest accrued on face value of 5%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Change in fair value of Level 3 liabilities</w:t>
      </w:r>
    </w:p>
    <w:p>
      <w:pPr>
        <w:spacing w:after="0" w:line="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at June 30, 2023</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762"/>
        <w:spacing w:after="0"/>
        <w:rPr>
          <w:sz w:val="20"/>
          <w:szCs w:val="20"/>
          <w:color w:val="auto"/>
        </w:rPr>
      </w:pPr>
      <w:r>
        <w:rPr>
          <w:rFonts w:ascii="Arial" w:cs="Arial" w:eastAsia="Arial" w:hAnsi="Arial"/>
          <w:sz w:val="18"/>
          <w:szCs w:val="18"/>
          <w:color w:val="auto"/>
        </w:rPr>
        <w:t>243</w:t>
      </w:r>
    </w:p>
    <w:p>
      <w:pPr>
        <w:spacing w:after="0" w:line="23" w:lineRule="exact"/>
        <w:rPr>
          <w:sz w:val="20"/>
          <w:szCs w:val="20"/>
          <w:color w:val="auto"/>
        </w:rPr>
      </w:pPr>
    </w:p>
    <w:p>
      <w:pPr>
        <w:ind w:left="762"/>
        <w:spacing w:after="0"/>
        <w:rPr>
          <w:sz w:val="20"/>
          <w:szCs w:val="20"/>
          <w:color w:val="auto"/>
        </w:rPr>
      </w:pPr>
      <w:r>
        <w:rPr>
          <w:rFonts w:ascii="Arial" w:cs="Arial" w:eastAsia="Arial" w:hAnsi="Arial"/>
          <w:sz w:val="18"/>
          <w:szCs w:val="18"/>
          <w:color w:val="auto"/>
        </w:rPr>
        <w:t>286</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(24)</w:t>
      </w:r>
    </w:p>
    <w:p>
      <w:pPr>
        <w:spacing w:after="0" w:line="9" w:lineRule="exact"/>
        <w:rPr>
          <w:sz w:val="20"/>
          <w:szCs w:val="20"/>
          <w:color w:val="auto"/>
        </w:rPr>
      </w:pPr>
    </w:p>
    <w:p>
      <w:pPr>
        <w:ind w:left="762" w:hanging="762"/>
        <w:spacing w:after="0"/>
        <w:tabs>
          <w:tab w:leader="none" w:pos="7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7029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138" w:space="720"/>
            <w:col w:w="1161"/>
          </w:cols>
          <w:pgMar w:left="1440" w:top="517" w:right="1440" w:bottom="1440" w:gutter="0" w:footer="0" w:header="0"/>
          <w:type w:val="continuous"/>
        </w:sectPr>
      </w:pPr>
    </w:p>
    <w:p>
      <w:pPr>
        <w:spacing w:after="0" w:line="3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STOCKHOLDERS’ EQUITY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Our amended and restated certificate of incorporation authorizes the issuance of up to 175,000,000 shares of $0.001 par value common stock.</w:t>
      </w:r>
    </w:p>
    <w:p>
      <w:pPr>
        <w:spacing w:after="0" w:line="130"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On September 2, 2022, we filed an automatic “shelf registration” statement on Form S-3 (the 2022 WKSI Shelf) as a “well-known seasoned issuer” as defined in Rule 405 under the Securities Act, which registered an unlimited and indeterminate amount of debt or equity securities for future issuance and sale. The 2022 WKSI Shelf was declared effective in September 2022. In connection with the 2022 WKSI Shelf, we entered into an At-the-Market Issuance Sales Agreement (the 2022 ATM) with Cantor Fitzgerald &amp; Co. and B. Riley Securities, Inc. (each a 2022 Agent and collectively, the 2022 Agents), relating to the sale of shares of our common stock. Under the 2022 ATM, we will pay the 2022 Agents a commission rate of up to 3.0% of the gross proceeds from the sale of any shares of common stock.</w:t>
      </w:r>
    </w:p>
    <w:p>
      <w:pPr>
        <w:spacing w:after="0" w:line="150"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During the six months ended June 30, 2023, we sold a total of 1,385,700 shares of common stock under the 2022 ATM for aggregate total gross proceeds of approximately $47.1 million at an average selling price of $34.01 per share, resulting in net proceeds of approximately $46.3 million after deducting commissions and other transactions costs. The 2022 WKSI Shelf is currently our only active shelf-registration statement. We may offer any combination of the securities registered under the 2022 WKSI Shelf from time to time in response to market conditions or other circumstances if we believe such a plan of financing is in the best interests of our stockholders. We may need to file additional shelf-registration statements in the future to provide us with the flexibility to raise additional capital to finance our operations as needed.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85"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The TG Therapeutics, Inc. 2022 Incentive Plan (the 2022 Incentive Plan) was approved by stockholders in June 2022 with 17 million shares available to be issued, of which not more than 10 million shares may be issued pursuant to “full-value awards.” Full-value awards include any award other than an option or stock appreciation right and which is settled by the issuance of stock. As of June 30, 2023, 4,611,910 shares of restricted stock and 2,272,500 options were outstanding and up to an additional 9,175,825 shares were available to be issued under the 2022 Incentive Plan.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TG Therapeutics, Inc. Amended and Restated 2012 Incentive Plan (the 2012 Incentive Plan) was approved by stockholders in June 2020. As of June 30, 2023, 5,212,361 shares of restricted stock and 2,527,029 options were outstanding, and no additional shares were available to be issued under the 2012 Incentive Plan as the 2022 Incentive Plan is now the only active incentive plan.</w:t>
      </w:r>
    </w:p>
    <w:p>
      <w:pPr>
        <w:spacing w:after="0" w:line="160"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Stock-based compensation expense included in the condensed consolidated statements of operations was $19.4 million and $1.1 million for the six months ended June 30, 2023 and 2022, respectively. The $19.4 million for the six months ended June 30, 2023, is net of $1.3 million of stock-based compensation expense that was capitalized into inventory.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Stock Options and Restricted Stock</w:t>
      </w:r>
    </w:p>
    <w:p>
      <w:pPr>
        <w:spacing w:after="0" w:line="200" w:lineRule="exact"/>
        <w:rPr>
          <w:sz w:val="20"/>
          <w:szCs w:val="20"/>
          <w:color w:val="auto"/>
        </w:rPr>
      </w:pPr>
    </w:p>
    <w:p>
      <w:pPr>
        <w:spacing w:after="0" w:line="20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summarizes the activity for stock options and restricted stock for the six months ended June 30,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2023:</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4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Stock Options</w:t>
            </w:r>
          </w:p>
        </w:tc>
        <w:tc>
          <w:tcPr>
            <w:tcW w:w="280" w:type="dxa"/>
            <w:vAlign w:val="bottom"/>
          </w:tcPr>
          <w:p>
            <w:pPr>
              <w:spacing w:after="0"/>
              <w:rPr>
                <w:sz w:val="14"/>
                <w:szCs w:val="14"/>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w w:val="90"/>
              </w:rPr>
              <w:t>Restricted Stock</w:t>
            </w: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awards outstanding, beginning of year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5,135,685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8,732,286</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Changes during the year:</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3,112,736</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Exercised or 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(143,656)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(1,921,285)</w:t>
            </w:r>
          </w:p>
        </w:tc>
      </w:tr>
      <w:tr>
        <w:trPr>
          <w:trHeight w:val="23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 or 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(99,466)</w:t>
            </w:r>
          </w:p>
        </w:tc>
      </w:tr>
      <w:tr>
        <w:trPr>
          <w:trHeight w:val="203"/>
        </w:trPr>
        <w:tc>
          <w:tcPr>
            <w:tcW w:w="568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Equity awards outstanding, end of period</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4,799,529</w:t>
            </w:r>
          </w:p>
        </w:tc>
        <w:tc>
          <w:tcPr>
            <w:tcW w:w="280" w:type="dxa"/>
            <w:vAlign w:val="bottom"/>
            <w:tcBorders>
              <w:top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9,824,271</w:t>
            </w:r>
          </w:p>
        </w:tc>
      </w:tr>
      <w:tr>
        <w:trPr>
          <w:trHeight w:val="20"/>
        </w:trPr>
        <w:tc>
          <w:tcPr>
            <w:tcW w:w="56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June 30, 2023, total compensation cost related to unvested awards not yet recognized and the weighted-average periods over which the awards are expected to be recognized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Stock Options</w:t>
            </w:r>
          </w:p>
        </w:tc>
        <w:tc>
          <w:tcPr>
            <w:tcW w:w="20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Restricted Stock</w:t>
            </w: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compensation cost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5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w w:val="92"/>
              </w:rPr>
              <w:t>Expected weighted-average period in years of compensation cost to be recognized</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Warrants</w:t>
      </w:r>
    </w:p>
    <w:p>
      <w:pPr>
        <w:spacing w:after="0" w:line="198"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The Company’s only outstanding warrants are the warrants issued to Hercules as part of the Loan Agreement, the Amended Loan Agreement and the First Amendment (as such terms are defined below) to purchase 147,058, 115,042 and 50,172 shares of our common stock with exercise prices of $4.08, $17.95 and $14.70, respectively. See Note 7 for further details. There will not be any ongoing stock compensation expense volatility associated with these warrants.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LOAN PAYABLE</w:t>
      </w:r>
    </w:p>
    <w:p>
      <w:pPr>
        <w:spacing w:after="0" w:line="189"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On February 28, 2019 (the Closing Date), we entered into a term loan facility with Hercules Capital, Inc. (Hercules or Lender), which provided us with the capacity to borrow up to an aggregate principal amount of $60.0 million (Term Loan). The Term Loan is governed by a loan and security agreement, dated February 28, 2019 (the Loan Agreement), which provides for up to four separate advances. The first advance of $30.0 million was drawn on the Closing Date. An additional $30.0 million under the Term Loan was previously available upon the completion of different milestones and time points that have now lapsed.</w:t>
      </w:r>
    </w:p>
    <w:p>
      <w:pPr>
        <w:spacing w:after="0" w:line="165" w:lineRule="exact"/>
        <w:rPr>
          <w:sz w:val="20"/>
          <w:szCs w:val="20"/>
          <w:color w:val="auto"/>
        </w:rPr>
      </w:pPr>
    </w:p>
    <w:p>
      <w:pPr>
        <w:jc w:val="both"/>
        <w:ind w:left="60" w:right="59" w:firstLine="492"/>
        <w:spacing w:after="0" w:line="290" w:lineRule="auto"/>
        <w:rPr>
          <w:sz w:val="20"/>
          <w:szCs w:val="20"/>
          <w:color w:val="auto"/>
        </w:rPr>
      </w:pPr>
      <w:r>
        <w:rPr>
          <w:rFonts w:ascii="Arial" w:cs="Arial" w:eastAsia="Arial" w:hAnsi="Arial"/>
          <w:sz w:val="16"/>
          <w:szCs w:val="16"/>
          <w:color w:val="auto"/>
        </w:rPr>
        <w:t>On December 30, 2021 (the Amended Loan Agreement Closing Date), the Company entered into an Amended and Restated Loan and Security Agreement (the Amended Loan Agreement) with Hercules Capital, Inc. The Amended Loan Agreement amended the terms of the Loan Agreement to, among other things, (i) increase the aggregate principal amount of the loan, available at the Company’s option, from $60.0 million to $200.0 million (the Amended Term Loan), (ii) issue a first advance of $70.0 million drawn at the Amended Loan Agreement Closing Date, a portion of which was used to refinance the current outstanding loan balance of approximately $7.8 million and pay for expenses incurred by the Lender in executing the agreements, (iii) change the draw amounts and dates available in subsequent tranches, (iv) extend the maturity date of the facility from the original March 1, 2022 to January 1, 2026, (v) reset and extend the interest only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period from April 1, 2021 to February 1, 2025 and extendable to August 1, 2025 subject to the achievement of certain performance milestones, and (vi) modify the cash interest rate to be the greater of either (a) the “prime rate” as reported in The Wall Street Journal plus 2.15%, and (b) 5.40%. In addition to the cash interest rate, the principal balance accrues paid-in-kind interest at a rate of 3.45%, which amount will be capitalized and added to the outstanding principal balance of the Amended Term Loan and payable at the maturity date of the Amended Loan Agreement.</w:t>
      </w:r>
    </w:p>
    <w:p>
      <w:pPr>
        <w:spacing w:after="0" w:line="134"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color w:val="auto"/>
        </w:rPr>
        <w:t>On March 31, 2023 (the First Amendment Effective Date), the Company entered into a First Amendment to the Amended and Restated Loan and Security Agreement (the First Amendment) with Hercules. The First Amendment amended the terms of the Amended Loan Agreement to, among other things, (i) issue an advance of $25.0 million drawn at the First Amendment Effective Date (the Tranche 3A Advance), (ii) formal expiration of Tranche 2, (iii) change the draw amounts and dates available under subsequent tranches, including splitting the remaining balance of Tranche 3 into two additional advances in an aggregate principal amount of up to $20.0 million, in increments of $10.0 million (each a Tranche 3B Advance and Tranche 3C Advance), decreasing the amount available under Tranche 4 from $65.0 million to $60.0 million, and adding a Tranche 5 of $25.0 million, subject to the achievement of revenue related performance milestones, (iv) extend the interest only period from February 1, 2025 to August 1, 2025, and (v) modify the cash interest rate to be the greater of either (a) the “prime rate” as reported in The Wall Street Journal plus 1.20%, and (b) 8.95%. In addition to the cash interest rate, the principal balance will accrue paid-in-kind interest at a rate of 2.25%, which amount will be capitalized and added to the outstanding principal balance of the Amended Term Loan and payable at the maturity date of the Amended Loan Agreement. The First Amendment requires that the additional financial covenants referenced above apply at all times commencing on July 1, 2023.</w:t>
      </w:r>
    </w:p>
    <w:p>
      <w:pPr>
        <w:spacing w:after="0" w:line="144"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The First Amendment also contains warrant coverage of 2.95% of each advance amount funded. A warrant was issued by the Company to Hercules to purchase 50,172 shares of common stock with an exercise price of $14.70 for the amount funded pertaining to the Tranche 3A Advance (the First Amendment Warrant). The First Amendment Warrant shall be exercisable for seven years from the date of issuance. Hercules may exercise the First Amendment Warrant either by (a) cash or check or (b) through a net issuance conversion.</w:t>
      </w:r>
    </w:p>
    <w:p>
      <w:pPr>
        <w:spacing w:after="0" w:line="147"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addition, the Company is required to pay a final payment fee equal to 5.95% of the aggregate principal amount of the Term Loan Advances (as defined in the Loan Agreement) plus 4.95% of the aggregate principal amount of all other advances.</w:t>
      </w:r>
    </w:p>
    <w:p>
      <w:pPr>
        <w:spacing w:after="0" w:line="157"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Company may, at its option, prepay the Amended Term Loan in full or in part, subject to a prepayment penalty equal to (i) 1.5% of the principal amount prepaid if the prepayment occurs prior to the first anniversary of the First Amendment Effective Date, and (ii) 1.0% of the principal amount prepaid if the prepayment occurs on or after the first anniversary of the First Amendment Effective Date.</w:t>
      </w:r>
    </w:p>
    <w:p>
      <w:pPr>
        <w:spacing w:after="0" w:line="146"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Company evaluated whether the First Amendment represented a debt modification or extinguishment of the Term Loan in accordance with ASC 470-50, Debt – Modifications and Extinguishments. As a result of the modification of terms and no repayment or retirement of the Term Loan, the Term Loan was accounted for by the Company under the modification accounting model. The Company capitalized the facility charge from the First Amendment advance to debt issuance costs and expensed third party fees in the Company’s statement of operations for the six months ended June 30, 2023.</w:t>
      </w:r>
    </w:p>
    <w:p>
      <w:pPr>
        <w:spacing w:after="0" w:line="152"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Company estimated the fair value of the First Amendment Warrant using the Black-Scholes model based on the following key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27"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Amended Term Loan</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3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190"/>
        </w:trPr>
        <w:tc>
          <w:tcPr>
            <w:tcW w:w="3660" w:type="dxa"/>
            <w:vAlign w:val="bottom"/>
          </w:tcPr>
          <w:p>
            <w:pPr>
              <w:ind w:left="20"/>
              <w:spacing w:after="0" w:line="189" w:lineRule="exact"/>
              <w:rPr>
                <w:sz w:val="20"/>
                <w:szCs w:val="20"/>
                <w:color w:val="auto"/>
              </w:rPr>
            </w:pPr>
            <w:r>
              <w:rPr>
                <w:rFonts w:ascii="Arial" w:cs="Arial" w:eastAsia="Arial" w:hAnsi="Arial"/>
                <w:sz w:val="18"/>
                <w:szCs w:val="18"/>
                <w:color w:val="auto"/>
              </w:rPr>
              <w:t>Exercise price</w:t>
            </w:r>
          </w:p>
        </w:tc>
        <w:tc>
          <w:tcPr>
            <w:tcW w:w="394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14.70</w:t>
            </w:r>
          </w:p>
        </w:tc>
        <w:tc>
          <w:tcPr>
            <w:tcW w:w="260" w:type="dxa"/>
            <w:vAlign w:val="bottom"/>
          </w:tcPr>
          <w:p>
            <w:pPr>
              <w:spacing w:after="0"/>
              <w:rPr>
                <w:sz w:val="16"/>
                <w:szCs w:val="16"/>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price on date of issuance</w:t>
            </w:r>
          </w:p>
        </w:tc>
        <w:tc>
          <w:tcPr>
            <w:tcW w:w="3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260" w:type="dxa"/>
            <w:vAlign w:val="bottom"/>
            <w:shd w:val="clear" w:color="auto" w:fill="CCEEFF"/>
          </w:tcPr>
          <w:p>
            <w:pPr>
              <w:spacing w:after="0"/>
              <w:rPr>
                <w:sz w:val="18"/>
                <w:szCs w:val="18"/>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0.88</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term (in years)</w:t>
            </w:r>
          </w:p>
        </w:tc>
        <w:tc>
          <w:tcPr>
            <w:tcW w:w="3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years</w:t>
            </w:r>
          </w:p>
        </w:tc>
        <w:tc>
          <w:tcPr>
            <w:tcW w:w="260" w:type="dxa"/>
            <w:vAlign w:val="bottom"/>
            <w:shd w:val="clear" w:color="auto" w:fill="CCEEFF"/>
          </w:tcPr>
          <w:p>
            <w:pPr>
              <w:spacing w:after="0"/>
              <w:rPr>
                <w:sz w:val="18"/>
                <w:szCs w:val="18"/>
                <w:color w:val="auto"/>
              </w:rPr>
            </w:pPr>
          </w:p>
        </w:tc>
      </w:tr>
      <w:tr>
        <w:trPr>
          <w:trHeight w:val="864"/>
        </w:trPr>
        <w:tc>
          <w:tcPr>
            <w:tcW w:w="3660" w:type="dxa"/>
            <w:vAlign w:val="bottom"/>
          </w:tcPr>
          <w:p>
            <w:pPr>
              <w:spacing w:after="0"/>
              <w:rPr>
                <w:sz w:val="24"/>
                <w:szCs w:val="24"/>
                <w:color w:val="auto"/>
              </w:rPr>
            </w:pPr>
          </w:p>
        </w:tc>
        <w:tc>
          <w:tcPr>
            <w:tcW w:w="3560" w:type="dxa"/>
            <w:vAlign w:val="bottom"/>
          </w:tcPr>
          <w:p>
            <w:pPr>
              <w:jc w:val="right"/>
              <w:ind w:right="257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60"/>
        </w:trPr>
        <w:tc>
          <w:tcPr>
            <w:tcW w:w="36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60" w:firstLine="492"/>
        <w:spacing w:after="0" w:line="254" w:lineRule="auto"/>
        <w:rPr>
          <w:sz w:val="20"/>
          <w:szCs w:val="20"/>
          <w:color w:val="auto"/>
        </w:rPr>
      </w:pPr>
      <w:r>
        <w:rPr>
          <w:rFonts w:ascii="Arial" w:cs="Arial" w:eastAsia="Arial" w:hAnsi="Arial"/>
          <w:sz w:val="18"/>
          <w:szCs w:val="18"/>
          <w:color w:val="auto"/>
        </w:rPr>
        <w:t>The Company incurred financing expenses of $2.0 million (including the fair value of the First Amendment Warrant) related to the First Amendment which are recorded as debt issuance costs and as an offset to loan payable on the Company’s consolidated balance sheet. The debt issuance costs are being amortized over the term of the debt using the straight-line method, which approximates the effective interest method, and will be included in interest expense in the Company’s consolidated statements of operations. Amortization of debt issuance costs was $1.1 million and $0.9 million for the six months ended June 30, 2023, and 2022, respectively. At June 30, 2023, the remaining unamortized balance of debt issuance costs was $6.4 million.</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loan payable as of June 30, 2023 and December 31, 2022, is as follows:</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June 30,</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49"/>
        </w:trPr>
        <w:tc>
          <w:tcPr>
            <w:tcW w:w="494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(in thousands)</w:t>
            </w:r>
          </w:p>
        </w:tc>
        <w:tc>
          <w:tcPr>
            <w:tcW w:w="17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3"/>
              <w:spacing w:after="0" w:line="149"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9" w:lineRule="exact"/>
              <w:rPr>
                <w:sz w:val="20"/>
                <w:szCs w:val="20"/>
                <w:color w:val="auto"/>
              </w:rPr>
            </w:pPr>
            <w:r>
              <w:rPr>
                <w:rFonts w:ascii="Arial" w:cs="Arial" w:eastAsia="Arial" w:hAnsi="Arial"/>
                <w:sz w:val="14"/>
                <w:szCs w:val="14"/>
                <w:b w:val="1"/>
                <w:bCs w:val="1"/>
                <w:color w:val="auto"/>
              </w:rPr>
              <w:t>2022</w:t>
            </w: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payable</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1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Accreted Liability of final payment fee</w:t>
            </w:r>
          </w:p>
        </w:tc>
        <w:tc>
          <w:tcPr>
            <w:tcW w:w="1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w:t>
            </w:r>
          </w:p>
        </w:tc>
      </w:tr>
      <w:tr>
        <w:trPr>
          <w:trHeight w:val="210"/>
        </w:trPr>
        <w:tc>
          <w:tcPr>
            <w:tcW w:w="49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76,667</w:t>
            </w:r>
          </w:p>
        </w:tc>
      </w:tr>
      <w:tr>
        <w:trPr>
          <w:trHeight w:val="21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w:t>
            </w:r>
          </w:p>
        </w:tc>
        <w:tc>
          <w:tcPr>
            <w:tcW w:w="1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w:t>
            </w:r>
          </w:p>
        </w:tc>
      </w:tr>
      <w:tr>
        <w:trPr>
          <w:trHeight w:val="209"/>
        </w:trPr>
        <w:tc>
          <w:tcPr>
            <w:tcW w:w="49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71,135</w:t>
            </w:r>
          </w:p>
        </w:tc>
      </w:tr>
      <w:tr>
        <w:trPr>
          <w:trHeight w:val="21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principal payments</w:t>
            </w:r>
          </w:p>
        </w:tc>
        <w:tc>
          <w:tcPr>
            <w:tcW w:w="1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loan payable</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71,135</w:t>
            </w:r>
          </w:p>
        </w:tc>
      </w:tr>
      <w:tr>
        <w:trPr>
          <w:trHeight w:val="21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1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payable non-current</w:t>
            </w:r>
          </w:p>
        </w:tc>
        <w:tc>
          <w:tcPr>
            <w:tcW w:w="1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71,135</w:t>
            </w:r>
          </w:p>
        </w:tc>
      </w:tr>
      <w:tr>
        <w:trPr>
          <w:trHeight w:val="20"/>
        </w:trPr>
        <w:tc>
          <w:tcPr>
            <w:tcW w:w="4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LEASES</w:t>
      </w:r>
    </w:p>
    <w:p>
      <w:pPr>
        <w:spacing w:after="0" w:line="189" w:lineRule="exact"/>
        <w:rPr>
          <w:sz w:val="20"/>
          <w:szCs w:val="20"/>
          <w:color w:val="auto"/>
        </w:rPr>
      </w:pPr>
    </w:p>
    <w:p>
      <w:pPr>
        <w:jc w:val="both"/>
        <w:ind w:left="60" w:right="60" w:firstLine="492"/>
        <w:spacing w:after="0" w:line="272" w:lineRule="auto"/>
        <w:rPr>
          <w:sz w:val="20"/>
          <w:szCs w:val="20"/>
          <w:color w:val="auto"/>
        </w:rPr>
      </w:pPr>
      <w:r>
        <w:rPr>
          <w:rFonts w:ascii="Arial" w:cs="Arial" w:eastAsia="Arial" w:hAnsi="Arial"/>
          <w:sz w:val="17"/>
          <w:szCs w:val="17"/>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$1.8 million under the Office Agreement. We began to occupy this space in April 2016, with rental payments beginning in the third quarter of 2016. Also in connection with this Office Agreement, we have pledged $1.3 million to secure a line of credit as a security deposit for the Office Agreement, which has been recorded as restricted cash in the accompanying condensed consolidated balance sheets.</w:t>
      </w:r>
    </w:p>
    <w:p>
      <w:pPr>
        <w:spacing w:after="0" w:line="137" w:lineRule="exact"/>
        <w:rPr>
          <w:sz w:val="20"/>
          <w:szCs w:val="20"/>
          <w:color w:val="auto"/>
        </w:rPr>
      </w:pPr>
    </w:p>
    <w:p>
      <w:pPr>
        <w:jc w:val="both"/>
        <w:ind w:left="60" w:right="60" w:firstLine="492"/>
        <w:spacing w:after="0" w:line="259"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 We incurred rental expense of $0.1 million for the six months ended June 30, 2023.</w:t>
      </w:r>
    </w:p>
    <w:p>
      <w:pPr>
        <w:spacing w:after="0" w:line="160" w:lineRule="exact"/>
        <w:rPr>
          <w:sz w:val="20"/>
          <w:szCs w:val="20"/>
          <w:color w:val="auto"/>
        </w:rPr>
      </w:pPr>
    </w:p>
    <w:p>
      <w:pPr>
        <w:jc w:val="both"/>
        <w:ind w:left="60" w:right="60" w:firstLine="492"/>
        <w:spacing w:after="0" w:line="259" w:lineRule="auto"/>
        <w:rPr>
          <w:sz w:val="20"/>
          <w:szCs w:val="20"/>
          <w:color w:val="auto"/>
        </w:rPr>
      </w:pPr>
      <w:r>
        <w:rPr>
          <w:rFonts w:ascii="Arial" w:cs="Arial" w:eastAsia="Arial" w:hAnsi="Arial"/>
          <w:sz w:val="18"/>
          <w:szCs w:val="18"/>
          <w:color w:val="auto"/>
        </w:rPr>
        <w:t>In October 2021, we finalized a five-year lease for office space in North Carolina (the NC Lease). We approximate an average annual rental obligation of $0.2 million under the NC Lease. We took possession of this space in February 2022, with rental payments beginning in April 2022. We incurred rental expense of $0.1 million for the six months ended June 30, 2023.</w:t>
      </w:r>
    </w:p>
    <w:p>
      <w:pPr>
        <w:spacing w:after="0" w:line="146" w:lineRule="exact"/>
        <w:rPr>
          <w:sz w:val="20"/>
          <w:szCs w:val="20"/>
          <w:color w:val="auto"/>
        </w:rPr>
      </w:pPr>
    </w:p>
    <w:p>
      <w:pPr>
        <w:jc w:val="both"/>
        <w:ind w:left="60" w:right="60" w:firstLine="492"/>
        <w:spacing w:after="0" w:line="272" w:lineRule="auto"/>
        <w:rPr>
          <w:sz w:val="20"/>
          <w:szCs w:val="20"/>
          <w:color w:val="auto"/>
        </w:rPr>
      </w:pPr>
      <w:r>
        <w:rPr>
          <w:rFonts w:ascii="Arial" w:cs="Arial" w:eastAsia="Arial" w:hAnsi="Arial"/>
          <w:sz w:val="17"/>
          <w:szCs w:val="17"/>
          <w:color w:val="auto"/>
        </w:rPr>
        <w:t>At January 1, 2019, we recognized a lease liability and corresponding Right-of-Use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$11.3 million and $8.5 million, respectively, as of June 30, 2023. Our leases have remaining lease terms of 2 years to 9 years. One lease has a renewal option to extend the lease for an additional term of two years. The following components of lease expense are included in the Company’s condensed consolidated statements of operations for the three and six months ended June 30, 2023 and 2022:</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8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9"/>
              </w:rPr>
              <w:t>June 30,</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1"/>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7"/>
              </w:rPr>
              <w:t>1,096</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09"/>
        </w:trPr>
        <w:tc>
          <w:tcPr>
            <w:tcW w:w="488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7"/>
              </w:rPr>
              <w:t>1,096</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20"/>
          </w:cols>
          <w:pgMar w:left="1440" w:top="517" w:right="14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As of June 30, 2023, the weighted-average remaining operating lease term was 6.1 years and the weighted-average discount rate for operating leases was 9.98%. Cash paid for amounts included in the measurement of operating lease liabilities during the six months ended June 30, 2023 was $1.2 million. The balance sheet classification of lease liabilities was as follows: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57"/>
              <w:spacing w:after="0"/>
              <w:rPr>
                <w:sz w:val="20"/>
                <w:szCs w:val="20"/>
                <w:color w:val="auto"/>
              </w:rPr>
            </w:pPr>
            <w:r>
              <w:rPr>
                <w:rFonts w:ascii="Arial" w:cs="Arial" w:eastAsia="Arial" w:hAnsi="Arial"/>
                <w:sz w:val="14"/>
                <w:szCs w:val="14"/>
                <w:b w:val="1"/>
                <w:bCs w:val="1"/>
                <w:color w:val="auto"/>
                <w:w w:val="99"/>
              </w:rPr>
              <w:t>June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Lease liability current portion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10,344</w:t>
            </w:r>
          </w:p>
        </w:tc>
        <w:tc>
          <w:tcPr>
            <w:tcW w:w="0" w:type="dxa"/>
            <w:vAlign w:val="bottom"/>
          </w:tcPr>
          <w:p>
            <w:pPr>
              <w:spacing w:after="0"/>
              <w:rPr>
                <w:sz w:val="1"/>
                <w:szCs w:val="1"/>
                <w:color w:val="auto"/>
              </w:rPr>
            </w:pPr>
          </w:p>
        </w:tc>
      </w:tr>
      <w:tr>
        <w:trPr>
          <w:trHeight w:val="209"/>
        </w:trPr>
        <w:tc>
          <w:tcPr>
            <w:tcW w:w="6800" w:type="dxa"/>
            <w:vAlign w:val="bottom"/>
            <w:gridSpan w:val="2"/>
          </w:tcPr>
          <w:p>
            <w:pPr>
              <w:ind w:left="560"/>
              <w:spacing w:after="0"/>
              <w:rPr>
                <w:sz w:val="20"/>
                <w:szCs w:val="20"/>
                <w:color w:val="auto"/>
              </w:rPr>
            </w:pPr>
            <w:r>
              <w:rPr>
                <w:rFonts w:ascii="Arial" w:cs="Arial" w:eastAsia="Arial" w:hAnsi="Arial"/>
                <w:sz w:val="18"/>
                <w:szCs w:val="18"/>
                <w:color w:val="auto"/>
              </w:rPr>
              <w:t>Total lease liability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11,925</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500"/>
              <w:spacing w:after="0"/>
              <w:rPr>
                <w:sz w:val="20"/>
                <w:szCs w:val="20"/>
                <w:color w:val="auto"/>
              </w:rPr>
            </w:pPr>
            <w:r>
              <w:rPr>
                <w:rFonts w:ascii="Arial" w:cs="Arial" w:eastAsia="Arial" w:hAnsi="Arial"/>
                <w:sz w:val="18"/>
                <w:szCs w:val="18"/>
                <w:color w:val="auto"/>
              </w:rPr>
              <w:t>As of June 30, 2023, the maturities of lease liabilities were as follows:</w:t>
            </w: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154"/>
              <w:spacing w:after="0"/>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71"/>
        </w:trPr>
        <w:tc>
          <w:tcPr>
            <w:tcW w:w="6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leases</w:t>
            </w: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2024</w:t>
            </w: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2026</w:t>
            </w: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After 2028</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09"/>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16,212</w:t>
            </w:r>
          </w:p>
        </w:tc>
        <w:tc>
          <w:tcPr>
            <w:tcW w:w="0" w:type="dxa"/>
            <w:vAlign w:val="bottom"/>
          </w:tcPr>
          <w:p>
            <w:pPr>
              <w:spacing w:after="0"/>
              <w:rPr>
                <w:sz w:val="1"/>
                <w:szCs w:val="1"/>
                <w:color w:val="auto"/>
              </w:rPr>
            </w:pPr>
          </w:p>
        </w:tc>
      </w:tr>
      <w:tr>
        <w:trPr>
          <w:trHeight w:val="216"/>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Less: interest</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50"/>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w:t>
            </w:r>
          </w:p>
        </w:tc>
        <w:tc>
          <w:tcPr>
            <w:tcW w:w="0" w:type="dxa"/>
            <w:vAlign w:val="bottom"/>
          </w:tcPr>
          <w:p>
            <w:pPr>
              <w:spacing w:after="0"/>
              <w:rPr>
                <w:sz w:val="1"/>
                <w:szCs w:val="1"/>
                <w:color w:val="auto"/>
              </w:rPr>
            </w:pPr>
          </w:p>
        </w:tc>
      </w:tr>
      <w:tr>
        <w:trPr>
          <w:trHeight w:val="88"/>
        </w:trPr>
        <w:tc>
          <w:tcPr>
            <w:tcW w:w="2240" w:type="dxa"/>
            <w:vAlign w:val="bottom"/>
            <w:tcBorders>
              <w:top w:val="single" w:sz="8" w:color="CCEEFF"/>
              <w:bottom w:val="single" w:sz="8" w:color="auto"/>
            </w:tcBorders>
          </w:tcPr>
          <w:p>
            <w:pPr>
              <w:spacing w:after="0"/>
              <w:rPr>
                <w:sz w:val="7"/>
                <w:szCs w:val="7"/>
                <w:color w:val="auto"/>
              </w:rPr>
            </w:pPr>
          </w:p>
        </w:tc>
        <w:tc>
          <w:tcPr>
            <w:tcW w:w="4560" w:type="dxa"/>
            <w:vAlign w:val="bottom"/>
            <w:tcBorders>
              <w:top w:val="single" w:sz="8" w:color="CCEEFF"/>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820" w:type="dxa"/>
            <w:vAlign w:val="bottom"/>
            <w:tcBorders>
              <w:top w:val="single" w:sz="8" w:color="CCEEFF"/>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339" w:hanging="330"/>
        <w:spacing w:after="0" w:line="25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 through December 31, 2021. We used an incremental borrowing rate of 5.65% for the NC lease.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LICENSE AGREEMENTS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BRIUMVI (Ublituximab)</w:t>
      </w:r>
    </w:p>
    <w:p>
      <w:pPr>
        <w:spacing w:after="0" w:line="185"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In January 2012, we entered into an exclusive license agreement with LFB Biotechnologies, GTC Biotherapeutics and LFB/GTC LLC, all wholly-owned subsidiaries of LFB Group, relating to the development of ublituximab (the LFB License Agreement). Under the terms of the LFB License Agreement, we have acquired the exclusive worldwide rights (exclusive of France/Belgium) for the development and commercialization of ublituximab. As of June 30, 2023, we have incurred approximately $31.0 million in expense related to the achievement of certain milestones of the LFB License Agreement.</w:t>
      </w:r>
    </w:p>
    <w:p>
      <w:pPr>
        <w:spacing w:after="0" w:line="192" w:lineRule="exact"/>
        <w:rPr>
          <w:sz w:val="20"/>
          <w:szCs w:val="20"/>
          <w:color w:val="auto"/>
        </w:rPr>
      </w:pPr>
    </w:p>
    <w:p>
      <w:pPr>
        <w:jc w:val="both"/>
        <w:ind w:left="60" w:right="59" w:firstLine="492"/>
        <w:spacing w:after="0" w:line="285" w:lineRule="auto"/>
        <w:rPr>
          <w:sz w:val="20"/>
          <w:szCs w:val="20"/>
          <w:color w:val="auto"/>
        </w:rPr>
      </w:pPr>
      <w:r>
        <w:rPr>
          <w:rFonts w:ascii="Arial" w:cs="Arial" w:eastAsia="Arial" w:hAnsi="Arial"/>
          <w:sz w:val="16"/>
          <w:szCs w:val="16"/>
          <w:color w:val="auto"/>
        </w:rPr>
        <w:t>LFB Group is eligible to receive future payments of up to an aggregate of approximately $12.0 million upon our successful achievement of certain regulatory milestones, in addition to royalty payments on net sales of ublituximab at a royalty rate that escalates from mid-single digits to high-single digits. The license will terminate on a country-by-country basis upon the expiration of the last licensed patent right or 15 years after the first commercial sale of a product in such country, unless the agreement is earlier terminated (i) by LFB if the Company challenges any of the licensed patent rights,</w:t>
      </w:r>
    </w:p>
    <w:p>
      <w:pPr>
        <w:spacing w:after="0" w:line="2" w:lineRule="exact"/>
        <w:rPr>
          <w:sz w:val="20"/>
          <w:szCs w:val="20"/>
          <w:color w:val="auto"/>
        </w:rPr>
      </w:pPr>
    </w:p>
    <w:p>
      <w:pPr>
        <w:jc w:val="both"/>
        <w:ind w:left="60" w:right="59" w:hanging="10"/>
        <w:spacing w:after="0" w:line="295" w:lineRule="auto"/>
        <w:tabs>
          <w:tab w:leader="none" w:pos="327" w:val="left"/>
        </w:tabs>
        <w:numPr>
          <w:ilvl w:val="0"/>
          <w:numId w:val="16"/>
        </w:numPr>
        <w:rPr>
          <w:rFonts w:ascii="Arial" w:cs="Arial" w:eastAsia="Arial" w:hAnsi="Arial"/>
          <w:sz w:val="16"/>
          <w:szCs w:val="16"/>
          <w:color w:val="auto"/>
        </w:rPr>
      </w:pPr>
      <w:r>
        <w:rPr>
          <w:rFonts w:ascii="Arial" w:cs="Arial" w:eastAsia="Arial" w:hAnsi="Arial"/>
          <w:sz w:val="16"/>
          <w:szCs w:val="16"/>
          <w:color w:val="auto"/>
        </w:rPr>
        <w:t>by either party due to a breach of the agreement, or (iii) by either party in the event of the insolvency of the other party. During the three and six months ended June 30, 2023, the Company recorded $1.5 million and $2.3 million, respectively, related to the worldwide royalty due under the LFB License Agreement in cost of product revenue based on U.S. sales of BRIUMVI. As of June 30, 2023, $1.5 million in royalties were payable under the LFB License Agreement.</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61"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June 30, 2023 and 2022 and approximately $76,000 for each of the six months ended June, 2023 and 2022. At June 30, 2023 and December 31, 2022, we have deferred revenue of approximately $0.4 million and $0.5 million, respectively, associated with this $2 million payment (approximately $0.2 million of which has been classified in current liabilities at June 30, 2023 and December 31, 2022).</w:t>
      </w:r>
    </w:p>
    <w:p>
      <w:pPr>
        <w:spacing w:after="0" w:line="140"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UKONIQ (umbralisib)</w:t>
      </w:r>
    </w:p>
    <w:p>
      <w:pPr>
        <w:spacing w:after="0" w:line="198"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September 2014, we exercised our option to license the global rights to umbralisib, thereby entering into an exclusive licensing agreement (the Umbralisib License) with Rhizen Pharmaceuticals, SA (Rhizen) for the development and commercialization of umbralisib. Prior to this, we had been jointly developing umbralisib in a 50:50 joint venture with Rhizen. As of June 30, 2023, we have incurred approximately $24.0 million in expense related to the achievement of certain milestones of the Umbralisib License.</w:t>
      </w:r>
    </w:p>
    <w:p>
      <w:pPr>
        <w:spacing w:after="0" w:line="188"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Under the terms of the Umbralisib License, Rhizen is eligible to receive approval and sales-based milestone payments in the aggregate of approximately $175 million payable. Additionally, Rhizen receives tiered royalties that escalate from high single digits to low double digits on any net sales of umbralisib. During the year ended December 31, 2022, the Company recorded $0.2 million related to the worldwide royalty due under the Umbralisib License in cost of product revenue based on U.S. sales of UKONIQ and as of December 31, 2022, approximately $3,000 in royalties were payable under the Umbralisib License. As of June 30, 2023, no royalties were payable under the Umbralisib License and as a result of the withdrawal of UKONIQ from the U.S. market and discontinuation of all commercialization activities, we do not expect to incur any additional costs related to this license agreement.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RELATED PARTY TRANSACTIONS</w:t>
      </w:r>
    </w:p>
    <w:p>
      <w:pPr>
        <w:spacing w:after="0" w:line="20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July 2015, we entered into a Shared Services Agreement (the Shared Services Agreement) with FBIO to share the cost of certain services such as facilities use, personnel costs and other overhead and administrative costs. The Shared Services Agreement requires us to pay our respective share of services utilized. In connection with the Shared Services Agreement, we incurred expenses of approximately $0.5 million and $0.4 million for the six months ended June 30, 2023 and 2022, respectively, primarily related to shared personnel. Mr. Weiss, our Chairman and Chief Executive Officer, also serves as a director and Executive Vice Chairman, Strategic Development of FBIO.</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Please refer to Note 8 – Leases for details regarding the Office Agreement with FBIO.</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SUBSEQUENT EVENTS</w:t>
      </w:r>
    </w:p>
    <w:p>
      <w:pPr>
        <w:spacing w:after="0" w:line="18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July 2023, the Company entered into an ex-U.S. commercialization agreement (the Commercialization Agreement) with Neuraxpharm Pharmaceuticals, S.L. (Neuraxpharm). The Company granted Neuraxpharm the exclusive right to commercialize BRIUMVI in territories outside the United States, Canada, and Mexico, which are retained by TG, and excluding certain Asian countries previously partnered. Under the terms of the Commercialization Agreement, the Company received a one-time, non-refundable payment of $140.0 million upon contract execution. The Company is eligible to receive an additional $12.5 million upon first key market commercial launch in the EU and up to an additional $492.5 million in milestone-based payments on achievement of certain launch and commercial milestones. In addition, TG will receive tiered double-digit royalties on net product sales up to 30%. In the event of a change of control of the Company (as defined in the Commercialization Agreement), the Company retains an option to buy back all rights under the Commercialization Agreement for a period of two years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discussion and analysis contain forward-looking statements about our plans and expectations of what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may happen in the future. Forward-looking statements are based on a number of assumptions and estimates that are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inherently subject to significant risks and uncertainties, and our results could differ materially from the results anticipated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by our forward-looking statements as a result of many known or unknown factors, including, but not limited to, those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factors discussed in Risk Factors. See also the Special Cautionary Notice Regarding Forward-Looking Statements set forth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the beginning of this report.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You should read the following discussion and analysis in conjunction with the unaudited, condensed, consolidated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financial statements and the related footnotes thereto appearing elsewhere in this report, and in conjunction with</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management’s discussion and analysis and the audited consolidated financial statements included in our Annual Report 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Form 10-K for the year ended December 31, 2022.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FDA for BRIUMVI (ublituximab-xiiy) for the treatment of adult patients with relapsing forms of multiple sclerosis (RMS), to include clinically isolated syndrome, relapsing-remitting disease, and active secondary progressive disease, in adults. TG has also received approval for BRIUMVI by the EC for the treatment of adult patients with RMS who have active disease defined by clinical or imaging features. TG continues to actively evaluate complementary products, technologies and companies for in-licensing, partnership, acquisition and/or investment opportunities.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Business Updates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European Commission Approval of BRIUMVI &amp; Ex-U.S. Commercialization Plans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On June 1, 2023, we announced that the EC granted approval of BRIUMVI for the treatment of adult patients with RMS who have active disease defined by clinical or imaging features. With this approval, the centralized marketing authorization is valid in all European Union (EU) member states, Iceland, Norway and Liechtenstein.</w:t>
      </w:r>
    </w:p>
    <w:p>
      <w:pPr>
        <w:spacing w:after="0" w:line="16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August 1, 2023, we announced an agreement with Neuraxpharm, a leading European specialty pharmaceutical company focused on the treatment of central nervous system (CNS) disorders, for the ex-U.S. commercialization of BRIUMVI. Under the terms of the commercialization agreement, we received an upfront payment of $140.0 million, and are eligible to receive an additional $12.5 million upon launch in the first EU country and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territories outside the United States, Canada, and Mexico, which are retained by TG, and excluding certain Asian countries previously partnered. We retain an option to buy back all rights under the commercialization agreement for a period of two years in the event of a change in control of TG.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currently license worldwide development and commercial rights, subject to certain limited geographical restrictions, for all of our products under development. The following table summarizes the current clinical trial status for our lead drug candidates as of July 2023.</w:t>
      </w:r>
    </w:p>
    <w:p>
      <w:pPr>
        <w:spacing w:after="0" w:line="205"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312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35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19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Stage of Development</w:t>
            </w:r>
          </w:p>
        </w:tc>
      </w:tr>
      <w:tr>
        <w:trPr>
          <w:trHeight w:val="234"/>
        </w:trPr>
        <w:tc>
          <w:tcPr>
            <w:tcW w:w="31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(molecular target)</w:t>
            </w:r>
          </w:p>
        </w:tc>
        <w:tc>
          <w:tcPr>
            <w:tcW w:w="352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(trial name)</w:t>
            </w:r>
          </w:p>
        </w:tc>
      </w:tr>
      <w:tr>
        <w:trPr>
          <w:trHeight w:val="224"/>
        </w:trPr>
        <w:tc>
          <w:tcPr>
            <w:tcW w:w="31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Ublituximab (anti-CD20 mAb) </w:t>
            </w:r>
          </w:p>
        </w:tc>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Relapsing Forms of Multiple Sclerosis (RMS) </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APPROVED</w:t>
            </w:r>
          </w:p>
        </w:tc>
      </w:tr>
      <w:tr>
        <w:trPr>
          <w:trHeight w:val="26"/>
        </w:trPr>
        <w:tc>
          <w:tcPr>
            <w:tcW w:w="70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224"/>
        </w:trPr>
        <w:tc>
          <w:tcPr>
            <w:tcW w:w="70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2"/>
              </w:rPr>
              <w:t>TG-1701</w:t>
            </w:r>
          </w:p>
        </w:tc>
        <w:tc>
          <w:tcPr>
            <w:tcW w:w="2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(BTK inhibitor)</w:t>
            </w:r>
          </w:p>
        </w:tc>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disorders</w:t>
            </w:r>
          </w:p>
        </w:tc>
        <w:tc>
          <w:tcPr>
            <w:tcW w:w="1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26"/>
        </w:trPr>
        <w:tc>
          <w:tcPr>
            <w:tcW w:w="70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195"/>
        </w:trPr>
        <w:tc>
          <w:tcPr>
            <w:tcW w:w="70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w w:val="92"/>
              </w:rPr>
              <w:t>TG-1801</w:t>
            </w:r>
          </w:p>
        </w:tc>
        <w:tc>
          <w:tcPr>
            <w:tcW w:w="242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(anti-CD47/CD19 bispecific</w:t>
            </w:r>
          </w:p>
        </w:tc>
        <w:tc>
          <w:tcPr>
            <w:tcW w:w="35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B-cell disorders</w:t>
            </w:r>
          </w:p>
        </w:tc>
        <w:tc>
          <w:tcPr>
            <w:tcW w:w="19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1 trial</w:t>
            </w:r>
          </w:p>
        </w:tc>
      </w:tr>
      <w:tr>
        <w:trPr>
          <w:trHeight w:val="230"/>
        </w:trPr>
        <w:tc>
          <w:tcPr>
            <w:tcW w:w="7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mAb)</w:t>
            </w:r>
          </w:p>
        </w:tc>
        <w:tc>
          <w:tcPr>
            <w:tcW w:w="2420" w:type="dxa"/>
            <w:vAlign w:val="bottom"/>
            <w:tcBorders>
              <w:bottom w:val="single" w:sz="8" w:color="auto"/>
              <w:right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BRIUMVI (ublituximab-xiiy) Overview</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BRIUMVI is the first and only anti-CD20 monoclonal antibody approved for the treatment of RMS, to include clinically isolated syndrome, relapsing-remitting disease, and active secondary progressive disease, in adults, that can be administered in a twice yearly, one-hour infusion following the starting dose.</w:t>
      </w:r>
    </w:p>
    <w:p>
      <w:pPr>
        <w:spacing w:after="0" w:line="21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The BRIUMVI approvals were primarily based on the ULTIMATE I and ULTIMATE II Phase 3 trials. Each trial was an independent global, randomized, multi-center, double-blinded, double-dummy, active-controlled study comparing the efficacy and safety/tolerability of ublituximab (450mg dose administered by one-hour intravenous infusion every 6 months, following a day 1 infusion of 150mg over four hours and a day 15 infusion of 450mg over one hour) versus teriflunomide (14mg oral tablets taken once daily) in subjects with RMS. These trials were conducted under a special protocol assessment (SPA) with the FDA. The ULTIMATE I and II trials were led by Lawrence Steinman, MD, Zimmermann Professor of Neurology and Neurological Sciences, Pediatrics, and Genetics at Stanford University. Full enrollment was completed in October 2018, with approximately 1,100 subjects enrolled in both studies combined.</w:t>
      </w:r>
    </w:p>
    <w:p>
      <w:pPr>
        <w:spacing w:after="0" w:line="206" w:lineRule="exact"/>
        <w:rPr>
          <w:sz w:val="20"/>
          <w:szCs w:val="20"/>
          <w:color w:val="auto"/>
        </w:rPr>
      </w:pPr>
    </w:p>
    <w:p>
      <w:pPr>
        <w:ind w:left="1040" w:right="79" w:hanging="315"/>
        <w:spacing w:after="0" w:line="253"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December 2020, we announced positive topline results from the ULTIMATE I &amp; II trials. Both studies met their primary endpoint of significantly reducing ARR over a 96-week period (p&lt;0.005 in each study) with BRIUMVI demonstrating an ARR of &lt;0.10 in each of the studies. Relative reductions of approximately 60% and 50% in ARR over teriflunomide were observed in ULTIMATE I &amp; II, respectively. Key secondary MRI endpoints were also met.</w:t>
      </w:r>
    </w:p>
    <w:p>
      <w:pPr>
        <w:spacing w:after="0" w:line="3" w:lineRule="exact"/>
        <w:rPr>
          <w:rFonts w:ascii="Arial" w:cs="Arial" w:eastAsia="Arial" w:hAnsi="Arial"/>
          <w:sz w:val="18"/>
          <w:szCs w:val="18"/>
          <w:color w:val="auto"/>
        </w:rPr>
      </w:pPr>
    </w:p>
    <w:p>
      <w:pPr>
        <w:ind w:left="1040" w:right="339" w:hanging="315"/>
        <w:spacing w:after="0" w:line="26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August 22, 2022, the full results from the ULTIMATE I &amp; II trials were published in the New England Journal of Medicine.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Commercialization of BRIUMVI</w:t>
      </w:r>
    </w:p>
    <w:p>
      <w:pPr>
        <w:spacing w:after="0" w:line="225" w:lineRule="exact"/>
        <w:rPr>
          <w:sz w:val="20"/>
          <w:szCs w:val="20"/>
          <w:color w:val="auto"/>
        </w:rPr>
      </w:pPr>
    </w:p>
    <w:p>
      <w:pPr>
        <w:ind w:left="60" w:right="399" w:firstLine="648"/>
        <w:spacing w:after="0" w:line="269" w:lineRule="auto"/>
        <w:rPr>
          <w:sz w:val="20"/>
          <w:szCs w:val="20"/>
          <w:color w:val="auto"/>
        </w:rPr>
      </w:pPr>
      <w:r>
        <w:rPr>
          <w:rFonts w:ascii="Arial" w:cs="Arial" w:eastAsia="Arial" w:hAnsi="Arial"/>
          <w:sz w:val="18"/>
          <w:szCs w:val="18"/>
          <w:color w:val="auto"/>
        </w:rPr>
        <w:t>On December 28, 2022, we announced the FDA approval of BRIUMVI for the treatment of RMS, to include clinically isolated syndrome, relapsing-remitting disease, and active secondary progressive disease, in adults, primarily based on results from the ULTIMATE I &amp; II Phase 3 trials. On January 26, 2023, we announced the U.S. commercial launch of BRIUMVI, making it available to physicians and patients.</w:t>
      </w:r>
    </w:p>
    <w:p>
      <w:pPr>
        <w:spacing w:after="0" w:line="179" w:lineRule="exact"/>
        <w:rPr>
          <w:sz w:val="20"/>
          <w:szCs w:val="20"/>
          <w:color w:val="auto"/>
        </w:rPr>
      </w:pPr>
    </w:p>
    <w:p>
      <w:pPr>
        <w:jc w:val="both"/>
        <w:ind w:left="1040" w:right="59" w:hanging="315"/>
        <w:spacing w:after="0" w:line="25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commercialization efforts focused on engaging targeted neurology accounts with multi-channel promotional programming, sales engagements, infusion training and education. We also worked closely with payers to begin to secure insurance coverage for BRIUMVI. The first patient received a BRIUMVI infusion on February 1, 2023.</w:t>
      </w:r>
    </w:p>
    <w:p>
      <w:pPr>
        <w:spacing w:after="0" w:line="2"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July 1, 2023, the permanent J-Code for BRIUMVI (J2329) became effective.</w:t>
      </w:r>
    </w:p>
    <w:p>
      <w:pPr>
        <w:spacing w:after="0" w:line="211"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For more information, please refer to our Annual Report on Form 10-K for the quarter and year ended December 31,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summarizes the results of operations for the three months ended June 30, 2023 and 2022:</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1420" w:type="dxa"/>
            <w:vAlign w:val="bottom"/>
          </w:tcPr>
          <w:p>
            <w:pPr>
              <w:spacing w:after="0"/>
              <w:rPr>
                <w:sz w:val="20"/>
                <w:szCs w:val="20"/>
                <w:color w:val="auto"/>
              </w:rPr>
            </w:pPr>
          </w:p>
        </w:tc>
      </w:tr>
      <w:tr>
        <w:trPr>
          <w:trHeight w:val="21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 thousands)</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09"/>
        </w:trPr>
        <w:tc>
          <w:tcPr>
            <w:tcW w:w="5120" w:type="dxa"/>
            <w:vAlign w:val="bottom"/>
          </w:tcPr>
          <w:p>
            <w:pPr>
              <w:ind w:left="120"/>
              <w:spacing w:after="0"/>
              <w:rPr>
                <w:sz w:val="20"/>
                <w:szCs w:val="20"/>
                <w:color w:val="auto"/>
              </w:rPr>
            </w:pPr>
            <w:r>
              <w:rPr>
                <w:rFonts w:ascii="Arial" w:cs="Arial" w:eastAsia="Arial" w:hAnsi="Arial"/>
                <w:sz w:val="18"/>
                <w:szCs w:val="18"/>
                <w:color w:val="auto"/>
              </w:rPr>
              <w:t>Product revenue, net</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16,036</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16"/>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License Revenue</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51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16,074</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16"/>
        </w:trPr>
        <w:tc>
          <w:tcPr>
            <w:tcW w:w="5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revenue</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Other research and development</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22,458</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24,546</w:t>
            </w:r>
          </w:p>
        </w:tc>
      </w:tr>
      <w:tr>
        <w:trPr>
          <w:trHeight w:val="20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28,122</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r>
      <w:tr>
        <w:trPr>
          <w:trHeight w:val="210"/>
        </w:trPr>
        <w:tc>
          <w:tcPr>
            <w:tcW w:w="5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6,877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(3,304)</w:t>
            </w:r>
          </w:p>
        </w:tc>
      </w:tr>
      <w:tr>
        <w:trPr>
          <w:trHeight w:val="216"/>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selling, general and administrative</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23,838</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15,942</w:t>
            </w:r>
          </w:p>
        </w:tc>
      </w:tr>
      <w:tr>
        <w:trPr>
          <w:trHeight w:val="210"/>
        </w:trPr>
        <w:tc>
          <w:tcPr>
            <w:tcW w:w="5120" w:type="dxa"/>
            <w:vAlign w:val="bottom"/>
          </w:tcPr>
          <w:p>
            <w:pPr>
              <w:ind w:left="20"/>
              <w:spacing w:after="0"/>
              <w:rPr>
                <w:sz w:val="20"/>
                <w:szCs w:val="20"/>
                <w:color w:val="auto"/>
              </w:rPr>
            </w:pPr>
            <w:r>
              <w:rPr>
                <w:rFonts w:ascii="Arial" w:cs="Arial" w:eastAsia="Arial" w:hAnsi="Arial"/>
                <w:sz w:val="18"/>
                <w:szCs w:val="18"/>
                <w:color w:val="auto"/>
              </w:rPr>
              <w:t>Total general and administrative</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12,638</w:t>
            </w:r>
          </w:p>
        </w:tc>
      </w:tr>
      <w:tr>
        <w:trPr>
          <w:trHeight w:val="209"/>
        </w:trPr>
        <w:tc>
          <w:tcPr>
            <w:tcW w:w="5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60,748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39,535</w:t>
            </w:r>
          </w:p>
        </w:tc>
      </w:tr>
      <w:tr>
        <w:trPr>
          <w:trHeight w:val="210"/>
        </w:trPr>
        <w:tc>
          <w:tcPr>
            <w:tcW w:w="5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3,627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3,017</w:t>
            </w:r>
          </w:p>
        </w:tc>
      </w:tr>
      <w:tr>
        <w:trPr>
          <w:trHeight w:val="216"/>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r>
      <w:tr>
        <w:trPr>
          <w:trHeight w:val="210"/>
        </w:trPr>
        <w:tc>
          <w:tcPr>
            <w:tcW w:w="512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r>
      <w:tr>
        <w:trPr>
          <w:trHeight w:val="210"/>
        </w:trPr>
        <w:tc>
          <w:tcPr>
            <w:tcW w:w="5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(47,610)</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(40,510)</w:t>
            </w:r>
          </w:p>
        </w:tc>
      </w:tr>
      <w:tr>
        <w:trPr>
          <w:trHeight w:val="20"/>
        </w:trPr>
        <w:tc>
          <w:tcPr>
            <w:tcW w:w="5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b w:val="1"/>
          <w:bCs w:val="1"/>
          <w:i w:val="1"/>
          <w:iCs w:val="1"/>
          <w:color w:val="auto"/>
        </w:rPr>
        <w:t>Product Revenue, net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revenue, net was approximately $16.0 million for the three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compared to $0.6 million for the three months ended June 30, 2022. Product revenue, net for the three months ended June 30, 2023, consisted of net product sales of BRIUMVI in the United States. In January 2023, we began commercial sales of BRIUMVI within the U.S. following FDA approval. Product revenue, net for the three months ended June 30, 2022, consisted of net product sales of UKONIQ, which was officially withdrawn from the market in May of 2022.</w:t>
      </w:r>
    </w:p>
    <w:p>
      <w:pPr>
        <w:spacing w:after="0" w:line="16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b w:val="1"/>
          <w:bCs w:val="1"/>
          <w:i w:val="1"/>
          <w:iCs w:val="1"/>
          <w:color w:val="auto"/>
        </w:rPr>
        <w:t>License Revenue</w:t>
      </w:r>
      <w:r>
        <w:rPr>
          <w:rFonts w:ascii="Arial" w:cs="Arial" w:eastAsia="Arial" w:hAnsi="Arial"/>
          <w:sz w:val="17"/>
          <w:szCs w:val="17"/>
          <w:color w:val="auto"/>
        </w:rPr>
        <w:t>. License revenue was less than $0.1 million for both the three months ended June 30, 2023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2022. License revenue for both the three months ended June 30, 2023 and June 30, 2022 is comprised of recognition of a portion of the upfront payment from the ublituximab sublicense agreement with Ildong.</w:t>
      </w:r>
    </w:p>
    <w:p>
      <w:pPr>
        <w:spacing w:after="0" w:line="16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b w:val="1"/>
          <w:bCs w:val="1"/>
          <w:i w:val="1"/>
          <w:iCs w:val="1"/>
          <w:color w:val="auto"/>
        </w:rPr>
        <w:t>Cost of Product Revenue</w:t>
      </w:r>
      <w:r>
        <w:rPr>
          <w:rFonts w:ascii="Arial" w:cs="Arial" w:eastAsia="Arial" w:hAnsi="Arial"/>
          <w:sz w:val="17"/>
          <w:szCs w:val="17"/>
          <w:color w:val="auto"/>
        </w:rPr>
        <w:t>. Cost of product revenue for the three months ended June 30, 2023 was $1.9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approximately $23,000 for the three months ended June 30, 2022. Cost of product revenue for the three months ended June 30, 2023 consists primarily of third-party manufacturing, distribution, overhead costs and royalties owed to our licensing partner for BRIUMVI sales. A portion of the costs of producing BRIUMVI sold to date was expensed as research and development prior to the FDA approval of BRIUMVI and therefore it is not reflected in the cost of product revenue. We expect the cost of product revenue for BRIUMVI to increase in relation to product revenues as we deplete these inventories and we expect to use the remaining pre-commercialization inventory for product sales through the end of 2024. Cost of product revenue for the three months ended June 30, 2022 primarily relates to freight and royalties owed to our licensing partner for UKONIQ sales.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b w:val="1"/>
          <w:bCs w:val="1"/>
          <w:i w:val="1"/>
          <w:iCs w:val="1"/>
          <w:color w:val="auto"/>
        </w:rPr>
        <w:t>Noncash Compensation Expense (Research and Development)</w:t>
      </w:r>
      <w:r>
        <w:rPr>
          <w:rFonts w:ascii="Arial" w:cs="Arial" w:eastAsia="Arial" w:hAnsi="Arial"/>
          <w:sz w:val="18"/>
          <w:szCs w:val="18"/>
          <w:color w:val="auto"/>
        </w:rPr>
        <w:t>. Noncash compensation expense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related to equity incentive grants totaled $5.7 million for the three months ended June 30, 2023, as compared to $2.3 million during the comparable period ended June 30, 2022. The increase in noncash compensation expense was primarily due to vesting of milestone-based grants and a decrease in forfeitures during the three months ended June 30, 2023 compared to the three months ended June 30, 2022.</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b w:val="1"/>
          <w:bCs w:val="1"/>
          <w:i w:val="1"/>
          <w:iCs w:val="1"/>
          <w:color w:val="auto"/>
        </w:rPr>
        <w:t>Other Research and Development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research and development expense decreased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2023, by approximately $2.0 million to $22.5 million as compared to the comparable period ended June 30, 2022. The decrease in R&amp;D expense during the three months ended June 30, 2023 was primarily attributable to reduced manufacturing expense and clinical trial related expenses. Prior to the approval of BRIUMVI, manufacturing costs pertaining to BRIUMVI were expensed to research and development expense in the period incurred, and following approval are reflected in inventory. These decreased costs were offset by license milestones incurred during the three months ended June 30, 2023.</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b w:val="1"/>
          <w:bCs w:val="1"/>
          <w:i w:val="1"/>
          <w:iCs w:val="1"/>
          <w:color w:val="auto"/>
        </w:rPr>
        <w:t>Noncash Compensation Expense (Selling, General and Administrative)</w:t>
      </w:r>
      <w:r>
        <w:rPr>
          <w:rFonts w:ascii="Arial" w:cs="Arial" w:eastAsia="Arial" w:hAnsi="Arial"/>
          <w:sz w:val="18"/>
          <w:szCs w:val="18"/>
          <w:color w:val="auto"/>
        </w:rPr>
        <w:t>. Noncash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related to equity incentive grants totaled $6.9 million for the three months ended June 30, 2023, as compared to $(3.3) million during the comparable period ended June 30, 2022. The increase in noncash compensation expense was primarily due to vesting of milestone-based grants and a decrease in forfeitures during the three months ended June 30, 2023 compared to the three months ended June 30, 2022. The three months ended June 30, 2022 included forfeitures in excess of noncash compensation expense recognized, which resulted in income recognized for the period.</w:t>
      </w:r>
    </w:p>
    <w:p>
      <w:pPr>
        <w:spacing w:after="0" w:line="19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b w:val="1"/>
          <w:bCs w:val="1"/>
          <w:i w:val="1"/>
          <w:iCs w:val="1"/>
          <w:color w:val="auto"/>
        </w:rPr>
        <w:t>Other Selling, General and Administrative</w:t>
      </w:r>
      <w:r>
        <w:rPr>
          <w:rFonts w:ascii="Arial" w:cs="Arial" w:eastAsia="Arial" w:hAnsi="Arial"/>
          <w:sz w:val="16"/>
          <w:szCs w:val="16"/>
          <w:color w:val="auto"/>
        </w:rPr>
        <w:t>. Other selling, general and administrative expenses totaled $23.8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June 30, 2023, as compared to $15.9 million during the comparable period ended June 30, 2022. The increase was primarily due to other selling, general and administrative costs, including personnel and consultants, associated with the commercialization of BRIUMVI during the three months ended June, 30, 2023.</w:t>
      </w:r>
    </w:p>
    <w:p>
      <w:pPr>
        <w:spacing w:after="0" w:line="15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by $0.6 million to $3.6 million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as compared to $3.0 million for the three months ended June 30, 2022.</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Other Income</w:t>
      </w:r>
      <w:r>
        <w:rPr>
          <w:rFonts w:ascii="Arial" w:cs="Arial" w:eastAsia="Arial" w:hAnsi="Arial"/>
          <w:sz w:val="16"/>
          <w:szCs w:val="16"/>
          <w:color w:val="auto"/>
        </w:rPr>
        <w:t>. Other income decreased by $0.8 million to $0.7 million for the three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summarizes the results of operations for the six months ended June 30, 2023 and 2022:</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40" w:type="dxa"/>
            <w:vAlign w:val="bottom"/>
            <w:gridSpan w:val="4"/>
          </w:tcPr>
          <w:p>
            <w:pPr>
              <w:jc w:val="center"/>
              <w:ind w:left="810"/>
              <w:spacing w:after="0"/>
              <w:rPr>
                <w:sz w:val="20"/>
                <w:szCs w:val="20"/>
                <w:color w:val="auto"/>
              </w:rPr>
            </w:pPr>
            <w:r>
              <w:rPr>
                <w:rFonts w:ascii="Arial" w:cs="Arial" w:eastAsia="Arial" w:hAnsi="Arial"/>
                <w:sz w:val="18"/>
                <w:szCs w:val="18"/>
                <w:b w:val="1"/>
                <w:bCs w:val="1"/>
                <w:color w:val="auto"/>
                <w:w w:val="87"/>
              </w:rPr>
              <w:t>Six months ended</w:t>
            </w:r>
          </w:p>
        </w:tc>
        <w:tc>
          <w:tcPr>
            <w:tcW w:w="104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40" w:type="dxa"/>
            <w:vAlign w:val="bottom"/>
            <w:gridSpan w:val="4"/>
          </w:tcPr>
          <w:p>
            <w:pPr>
              <w:jc w:val="center"/>
              <w:ind w:left="790"/>
              <w:spacing w:after="0"/>
              <w:rPr>
                <w:sz w:val="20"/>
                <w:szCs w:val="20"/>
                <w:color w:val="auto"/>
              </w:rPr>
            </w:pPr>
            <w:r>
              <w:rPr>
                <w:rFonts w:ascii="Arial" w:cs="Arial" w:eastAsia="Arial" w:hAnsi="Arial"/>
                <w:sz w:val="18"/>
                <w:szCs w:val="18"/>
                <w:b w:val="1"/>
                <w:bCs w:val="1"/>
                <w:color w:val="auto"/>
                <w:w w:val="86"/>
              </w:rPr>
              <w:t>June 30</w:t>
            </w:r>
          </w:p>
        </w:tc>
        <w:tc>
          <w:tcPr>
            <w:tcW w:w="1040" w:type="dxa"/>
            <w:vAlign w:val="bottom"/>
          </w:tcPr>
          <w:p>
            <w:pPr>
              <w:spacing w:after="0"/>
              <w:rPr>
                <w:sz w:val="20"/>
                <w:szCs w:val="20"/>
                <w:color w:val="auto"/>
              </w:rPr>
            </w:pPr>
          </w:p>
        </w:tc>
      </w:tr>
      <w:tr>
        <w:trPr>
          <w:trHeight w:val="21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 thousands)</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94"/>
              </w:rPr>
              <w:t>2022</w:t>
            </w:r>
          </w:p>
        </w:tc>
      </w:tr>
      <w:tr>
        <w:trPr>
          <w:trHeight w:val="209"/>
        </w:trPr>
        <w:tc>
          <w:tcPr>
            <w:tcW w:w="5120" w:type="dxa"/>
            <w:vAlign w:val="bottom"/>
          </w:tcPr>
          <w:p>
            <w:pPr>
              <w:ind w:left="120"/>
              <w:spacing w:after="0"/>
              <w:rPr>
                <w:sz w:val="20"/>
                <w:szCs w:val="20"/>
                <w:color w:val="auto"/>
              </w:rPr>
            </w:pPr>
            <w:r>
              <w:rPr>
                <w:rFonts w:ascii="Arial" w:cs="Arial" w:eastAsia="Arial" w:hAnsi="Arial"/>
                <w:sz w:val="18"/>
                <w:szCs w:val="18"/>
                <w:color w:val="auto"/>
              </w:rPr>
              <w:t>Product revenue, net</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23,801</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2,534</w:t>
            </w:r>
          </w:p>
        </w:tc>
      </w:tr>
      <w:tr>
        <w:trPr>
          <w:trHeight w:val="216"/>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License Revenue</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23,877</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2,610</w:t>
            </w:r>
          </w:p>
        </w:tc>
      </w:tr>
      <w:tr>
        <w:trPr>
          <w:trHeight w:val="229"/>
        </w:trPr>
        <w:tc>
          <w:tcPr>
            <w:tcW w:w="5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revenue</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r>
      <w:tr>
        <w:trPr>
          <w:trHeight w:val="216"/>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research and development</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36,744</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70,693</w:t>
            </w: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research and development</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43,991</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74,916</w:t>
            </w:r>
          </w:p>
        </w:tc>
      </w:tr>
      <w:tr>
        <w:trPr>
          <w:trHeight w:val="209"/>
        </w:trPr>
        <w:tc>
          <w:tcPr>
            <w:tcW w:w="5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12,117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(3,077)</w:t>
            </w:r>
          </w:p>
        </w:tc>
      </w:tr>
      <w:tr>
        <w:trPr>
          <w:trHeight w:val="216"/>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selling, general and administrative</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46,666</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36,324</w:t>
            </w: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Total general and administrative</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58,783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w:t>
            </w:r>
          </w:p>
        </w:tc>
      </w:tr>
      <w:tr>
        <w:trPr>
          <w:trHeight w:val="210"/>
        </w:trPr>
        <w:tc>
          <w:tcPr>
            <w:tcW w:w="5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105,542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108,423</w:t>
            </w:r>
          </w:p>
        </w:tc>
      </w:tr>
      <w:tr>
        <w:trPr>
          <w:trHeight w:val="209"/>
        </w:trPr>
        <w:tc>
          <w:tcPr>
            <w:tcW w:w="5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6,471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5,681</w:t>
            </w:r>
          </w:p>
        </w:tc>
      </w:tr>
      <w:tr>
        <w:trPr>
          <w:trHeight w:val="230"/>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r>
      <w:tr>
        <w:trPr>
          <w:trHeight w:val="21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w:t>
            </w:r>
          </w:p>
        </w:tc>
      </w:tr>
      <w:tr>
        <w:trPr>
          <w:trHeight w:val="210"/>
        </w:trPr>
        <w:tc>
          <w:tcPr>
            <w:tcW w:w="5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(86,841)</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(109,523)</w:t>
            </w:r>
          </w:p>
        </w:tc>
      </w:tr>
      <w:tr>
        <w:trPr>
          <w:trHeight w:val="20"/>
        </w:trPr>
        <w:tc>
          <w:tcPr>
            <w:tcW w:w="5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b w:val="1"/>
          <w:bCs w:val="1"/>
          <w:i w:val="1"/>
          <w:iCs w:val="1"/>
          <w:color w:val="auto"/>
        </w:rPr>
        <w:t>Product Revenue, net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revenue, net was approximately $23.8 million for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compared to $2.5 million for the six months ended June 30, 2022. Product revenue, net for the six months ended June 30, 2023, consisted of net product sales of BRIUMVI in the United States. In January 2023, we began commercial sales of BRIUMVI within the U.S. following FDA approval. Product revenue, net for the six months ended June 30, 2022, consisted of net product sales of UKONIQ, which was officially withdrawn from the market in May of 2022.</w:t>
      </w:r>
    </w:p>
    <w:p>
      <w:pPr>
        <w:spacing w:after="0" w:line="16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b w:val="1"/>
          <w:bCs w:val="1"/>
          <w:i w:val="1"/>
          <w:iCs w:val="1"/>
          <w:color w:val="auto"/>
        </w:rPr>
        <w:t>License Revenue</w:t>
      </w:r>
      <w:r>
        <w:rPr>
          <w:rFonts w:ascii="Arial" w:cs="Arial" w:eastAsia="Arial" w:hAnsi="Arial"/>
          <w:sz w:val="17"/>
          <w:szCs w:val="17"/>
          <w:color w:val="auto"/>
        </w:rPr>
        <w:t>. License revenue was less than $0.1 million for both the six months ended June 30, 2023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2022. License revenue for both the six months ended June 30, 2023 and June 30, 2022 is comprised of recognition of a portion of the upfront payment from the ublituximab sublicense agreement with Ildong.</w:t>
      </w:r>
    </w:p>
    <w:p>
      <w:pPr>
        <w:spacing w:after="0" w:line="16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b w:val="1"/>
          <w:bCs w:val="1"/>
          <w:i w:val="1"/>
          <w:iCs w:val="1"/>
          <w:color w:val="auto"/>
        </w:rPr>
        <w:t>Cost of Product Revenue</w:t>
      </w:r>
      <w:r>
        <w:rPr>
          <w:rFonts w:ascii="Arial" w:cs="Arial" w:eastAsia="Arial" w:hAnsi="Arial"/>
          <w:sz w:val="17"/>
          <w:szCs w:val="17"/>
          <w:color w:val="auto"/>
        </w:rPr>
        <w:t>. Cost of product revenue for the six months ended June 30, 2023 was $2.8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approximately $0.3 million for the six months ended June 30, 2022. Cost of product revenue for the six months ended June 30, 2023 consists primarily of third-party manufacturing, distribution, overhead costs and royalties owed to our licensing partner for BRIUMVI sales. A portion of the costs of producing BRIUMVI sold to date was expensed as research and development prior to the FDA approval of BRIUMVI and therefore it is not reflected in the cost of product revenue. We expect the cost of product revenue for BRIUMVI to increase in relation to product revenues as we deplete these inventories and we expect to use the remaining pre-commercialization inventory for product sales through the end of 2024. Cost of product revenue for the six months ended June 30, 2022 primarily relates to freight and royalties owed to our licensing partner for UKONIQ sales.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b w:val="1"/>
          <w:bCs w:val="1"/>
          <w:i w:val="1"/>
          <w:iCs w:val="1"/>
          <w:color w:val="auto"/>
        </w:rPr>
        <w:t>Noncash Compensation Expense (Research and Development)</w:t>
      </w:r>
      <w:r>
        <w:rPr>
          <w:rFonts w:ascii="Arial" w:cs="Arial" w:eastAsia="Arial" w:hAnsi="Arial"/>
          <w:sz w:val="18"/>
          <w:szCs w:val="18"/>
          <w:color w:val="auto"/>
        </w:rPr>
        <w:t>. Noncash compensation expense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related to equity incentive grants totaled $7.2 million for the six months ended June 30, 2023, as compared to $4.2 million during the comparable period ended June 30, 2022. The increase in noncash compensation expense was primarily due to vesting of milestone-based grants and a decrease in forfeitures during the six months ended June 30, 2023 compared to the three months ended June 30, 2022.</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b w:val="1"/>
          <w:bCs w:val="1"/>
          <w:i w:val="1"/>
          <w:iCs w:val="1"/>
          <w:color w:val="auto"/>
        </w:rPr>
        <w:t>Other Research and Development Expense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research and development expense decreased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2023, by approximately $34.0 million to $36.7 million as compared to the comparable period ended June 30, 2022. The decrease in R&amp;D expense during the six months ended June 30, 2023 was primarily attributable to reduced manufacturing expense and clinical trial related expenses. Prior to the approval of BRIUMVI, manufacturing costs pertaining to BRIUMVI were expensed to research and development expense in the period incurred, and following approval are reflected in inventory. These decreased costs were offset by license milestones incurred during the six months ended June 30, 2023.</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b w:val="1"/>
          <w:bCs w:val="1"/>
          <w:i w:val="1"/>
          <w:iCs w:val="1"/>
          <w:color w:val="auto"/>
        </w:rPr>
        <w:t>Noncash Compensation Expense (Selling, General and Administrative)</w:t>
      </w:r>
      <w:r>
        <w:rPr>
          <w:rFonts w:ascii="Arial" w:cs="Arial" w:eastAsia="Arial" w:hAnsi="Arial"/>
          <w:sz w:val="18"/>
          <w:szCs w:val="18"/>
          <w:color w:val="auto"/>
        </w:rPr>
        <w:t>. Noncash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related to equity incentive grants totaled $12.1 million for the six months ended June 30, 2023, as compared to $(3.1) million during the comparable period ended June 30, 2022. The increase in noncash compensation expense was primarily due to vesting of milestone-based grants and a decrease in forfeitures during the six months ended June 30, 2023 compared to the three months ended June 30, 2022. The six months ended June 30, 2022 included forfeitures in excess of noncash compensation expense recognized, which resulted in income recognized for the period.</w:t>
      </w:r>
    </w:p>
    <w:p>
      <w:pPr>
        <w:spacing w:after="0" w:line="19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b w:val="1"/>
          <w:bCs w:val="1"/>
          <w:i w:val="1"/>
          <w:iCs w:val="1"/>
          <w:color w:val="auto"/>
        </w:rPr>
        <w:t>Other Selling, General and Administrative</w:t>
      </w:r>
      <w:r>
        <w:rPr>
          <w:rFonts w:ascii="Arial" w:cs="Arial" w:eastAsia="Arial" w:hAnsi="Arial"/>
          <w:sz w:val="16"/>
          <w:szCs w:val="16"/>
          <w:color w:val="auto"/>
        </w:rPr>
        <w:t>. Other selling, general and administrative expenses totaled $46.7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six months ended June 30, 2023, as compared to $36.3 million during the comparable period ended June 30, 2022. The increase was primarily due to other selling, general and administrative costs, including personnel and consultants, associated with the approval and commercialization of BRIUMVI during the six months ended June, 30, 2023.</w:t>
      </w:r>
    </w:p>
    <w:p>
      <w:pPr>
        <w:spacing w:after="0" w:line="15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by $0.8 million to $6.5 million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as compared to $5.7 million for the six months ended June 30, 2022.</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Other Income</w:t>
      </w:r>
      <w:r>
        <w:rPr>
          <w:rFonts w:ascii="Arial" w:cs="Arial" w:eastAsia="Arial" w:hAnsi="Arial"/>
          <w:sz w:val="16"/>
          <w:szCs w:val="16"/>
          <w:color w:val="auto"/>
        </w:rPr>
        <w:t>. Other income decreased by $0.7 million to $1.3 million for the six months ended June 30, 2023.</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Our major sources of cash have been proceeds from private placement and public offering of equity securities, from our loan and security agreements executed with Hercules (see Note 7 for more information), and from our Commercialization Agreement executed with Neuraxpharm (see Note 11 for more information).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As of June 30, 2023, we had generated $23.8 million in revenue from drug sales of BRIUMVI. BRIUMVI first became commercially available in the United States in January of 2023. Even with the commercialization of BRIUMVI and the possible future commercialization of our other drug candidates, we may not become profitable. Our ability to achieve profitability depends on our ability to generate revenue and many other factors, including our ability to successfully commercialize our drug candidates alone or in partnership; successfully complete any post-approval regulatory obligations; and obtain regulatory approval for our drug candidates. We may continue to incur substantial operating losses even if we begin to generate revenues from our drug candidates.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As of June 30, 2023, we had $144.9 million in cash and cash equivalents, and investment securities. We anticipate that our cash, cash equivalents, and investment securities as of June 30, 2023, combined with the upfront payment of $140.0 million received in July 2023 as part of our commercialization agreement with Neuraxpharm and projected revenues associated with the sale of BRIUMVI in the U.S. and ex-U.S., will provide sufficient liquidity for more than a twelve-month period from the date of filing of this Quarterly Report on Form 10-Q.</w:t>
      </w:r>
    </w:p>
    <w:p>
      <w:pPr>
        <w:spacing w:after="0" w:line="149" w:lineRule="exact"/>
        <w:rPr>
          <w:sz w:val="20"/>
          <w:szCs w:val="20"/>
          <w:color w:val="auto"/>
        </w:rPr>
      </w:pPr>
    </w:p>
    <w:p>
      <w:pPr>
        <w:jc w:val="both"/>
        <w:ind w:left="60" w:right="59" w:firstLine="543"/>
        <w:spacing w:after="0" w:line="257" w:lineRule="auto"/>
        <w:rPr>
          <w:sz w:val="20"/>
          <w:szCs w:val="20"/>
          <w:color w:val="auto"/>
        </w:rPr>
      </w:pPr>
      <w:r>
        <w:rPr>
          <w:rFonts w:ascii="Arial" w:cs="Arial" w:eastAsia="Arial" w:hAnsi="Arial"/>
          <w:sz w:val="18"/>
          <w:szCs w:val="18"/>
          <w:color w:val="auto"/>
        </w:rPr>
        <w:t>The actual amount of cash that we will need to operate is subject to many factors, including, but not limited to, our commercialization efforts for BRIUMVI, preparations for the potential commercialization of our other drug candidates, and the timing, design and conduct of clinical trials for our drug candidates. We may be dependent upon significant future financing to provide the cash necessary to execute our ongoing and future operations, including the commercialization of any of our drug candidates.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Discussion of Cash Flows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for the six months ended June 30, 2023 and 2022:</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2023</w:t>
            </w:r>
          </w:p>
        </w:tc>
        <w:tc>
          <w:tcPr>
            <w:tcW w:w="16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0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w w:val="94"/>
              </w:rPr>
              <w:t>2022</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(101,907)</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(117,805)</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14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24,333</w:t>
            </w:r>
          </w:p>
        </w:tc>
        <w:tc>
          <w:tcPr>
            <w:tcW w:w="9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(33,292)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1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72,285</w:t>
            </w:r>
          </w:p>
        </w:tc>
        <w:tc>
          <w:tcPr>
            <w:tcW w:w="9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Cash used in operating activities for the six months ended June 30, 2023 was $101.9 million as compared to $117.8 million for the six months ended June 30, 2022. The decrease in net cash used in operating activities was due primarily to less expenditures associated with our manufacturing and clinical trial expenses during the six months ended June 30, 2023.</w:t>
      </w:r>
    </w:p>
    <w:p>
      <w:pPr>
        <w:spacing w:after="0" w:line="10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Net cash provided by investing activities for the six months ended June 30, 2023, was $24.3 million as compared to cash used in investing activities of $33.3 million for the six months ended June 30, 2022. The increase in net cash provided by investing activities was primarily due to decreased investment in short-term and long-term securities as well as the maturity of investments during the six months ended June 30, 2023.</w:t>
      </w:r>
    </w:p>
    <w:p>
      <w:pPr>
        <w:spacing w:after="0" w:line="160"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Net cash provided by financing activities for the six months ended June 30, 2023, was $72.3 million as compared to net cash used in financing activities of $0.7 million for the six months ended June 30, 2022. The increase in net cash provided by financing activities was primarily due to the advance of $25.0 million drawn as part of the First Amendment entered into with Hercules on March 31, 2023 and $46.3 million received in net proceeds under the 2022 ATM.</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ACCOUNTING ESTIMATES</w:t>
      </w:r>
    </w:p>
    <w:p>
      <w:pPr>
        <w:spacing w:after="0" w:line="18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For a description of our significant accounting policies, refer to “Part II, Item 8. Financial Statements and Supplementary Data, Note 1 – Organization and Summary of Significant Accounting Policies” in our 2022 Annual Report on Form 10-K and refer to Note 1 in this Quarterly Report on Form 10-Q for significant accounting policies due to commercialization for revenue recognition, gross-to-net sales adjustments, accounts receivable, inventory, and cost of product revenue. Of these policies, the following are considered critical to an understanding of our Unaudited Condensed Consolidated Financial Statements as they require the application of the most difficult, subjective and complex judgments: stock-based compensation expenses, and fair value measurement of financial liabilities. Refer to “Note 2 – Net Product Revenue”, “Note 5 - Fair Value Measurements” and “Note 6 – Stockholders’ Equity” respectively,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60" w:right="59" w:firstLine="492"/>
        <w:spacing w:after="0" w:line="342" w:lineRule="auto"/>
        <w:rPr>
          <w:sz w:val="20"/>
          <w:szCs w:val="20"/>
          <w:color w:val="auto"/>
        </w:rPr>
      </w:pPr>
      <w:r>
        <w:rPr>
          <w:rFonts w:ascii="Arial" w:cs="Arial" w:eastAsia="Arial" w:hAnsi="Arial"/>
          <w:sz w:val="16"/>
          <w:szCs w:val="16"/>
          <w:color w:val="auto"/>
        </w:rPr>
        <w:t>Our exposure to market risk has not changed materially since our disclosure in Item 7A, “Quantitative and Qualitative Disclosures About Market Risk” in our Annual Report on Form 10-K for the year ended December 31, 2022.</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June 30, 2023,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June 30, 2023, our disclosure controls and procedures were effective.</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June 30, 2023 that materially affected, or are reasonably likely to materially affect, our internal control over financial reporting.</w:t>
      </w: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i w:val="1"/>
          <w:iCs w:val="1"/>
          <w:color w:val="auto"/>
        </w:rPr>
        <w:t>You should carefully consider the following risk factors and the other information contained elsewhere in this Annual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If we obtain U.S. Food and Drug Administration (FDA) or European Medicines Agency (EMA) approval for a product candidate and do not achieve broad market acceptance among physicians, patients, healthcare payors, and the medical community, the revenues that we generate from product sales will be limited.</w:t>
      </w:r>
    </w:p>
    <w:p>
      <w:pPr>
        <w:spacing w:after="0" w:line="138"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We currently have one marketed product, BRIUMVI, which received approval from the U.S. FDA on December 28, 2022, for the treatment of relapsing forms of multiple sclerosis (RMS), to include clinically isolated syndrome, relapsing-remitting disease, and active secondary progressive disease, in adults. Additionally, BRIUMVI received approval from the European Commission (EC) on June 1, 2023, for the treatment of adult patients with RMS who have active disease defined by clinical or imaging features.</w:t>
      </w:r>
    </w:p>
    <w:p>
      <w:pPr>
        <w:spacing w:after="0" w:line="147"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While we have initiated the commercial launch of BRIUMVI in the U.S., we have limited experience as a commercial company, and our ability to successfully overcome the risks associated with commercializing drugs in the biopharmaceutical industry, including the risk that our products do not achieve an adequate level of acceptance, remains uncertain. BRIUMVI, as well as other drugs that we may bring to the market in the future, may not gain market acceptance by physicians, patients, third-party payors and others in the healthcare community. As a result, we may not generate significant revenues or meet our revenue projections or guidance and may not become profitable. The degree of market acceptance of BRIUMVI, as well as any future product candidates for which we may receive marketing approval, will depend on a number of factors, including:</w:t>
      </w:r>
    </w:p>
    <w:p>
      <w:pPr>
        <w:spacing w:after="0" w:line="151" w:lineRule="exact"/>
        <w:rPr>
          <w:sz w:val="20"/>
          <w:szCs w:val="20"/>
          <w:color w:val="auto"/>
        </w:rPr>
      </w:pPr>
    </w:p>
    <w:p>
      <w:pPr>
        <w:ind w:left="1040" w:right="59" w:hanging="315"/>
        <w:spacing w:after="0" w:line="258"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receipt of marketing approvals, the terms of such approvals, and the countries in which such approvals are obtained;</w:t>
      </w:r>
    </w:p>
    <w:p>
      <w:pPr>
        <w:spacing w:after="0" w:line="1" w:lineRule="exact"/>
        <w:rPr>
          <w:rFonts w:ascii="Arial" w:cs="Arial" w:eastAsia="Arial" w:hAnsi="Arial"/>
          <w:sz w:val="18"/>
          <w:szCs w:val="18"/>
          <w:color w:val="auto"/>
        </w:rPr>
      </w:pPr>
    </w:p>
    <w:p>
      <w:pPr>
        <w:ind w:left="1040" w:right="59" w:hanging="315"/>
        <w:spacing w:after="0" w:line="250"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safety and tolerability as demonstrated in clinical trials and as compared to alternative treatments;</w:t>
      </w:r>
    </w:p>
    <w:p>
      <w:pPr>
        <w:ind w:left="1040" w:right="59" w:hanging="315"/>
        <w:spacing w:after="0" w:line="250"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 of BRIUMVI and any of our product candidates, as well as competitive products;</w:t>
      </w:r>
    </w:p>
    <w:p>
      <w:pPr>
        <w:ind w:left="1040" w:right="59" w:hanging="315"/>
        <w:spacing w:after="0" w:line="250"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indications for which our products are approved, and other aspects of the approved labeling for such products;</w:t>
      </w:r>
    </w:p>
    <w:p>
      <w:pPr>
        <w:ind w:left="1040" w:right="59" w:hanging="315"/>
        <w:spacing w:after="0" w:line="250"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by physicians, advanced practitioners, major operators of neurology clinics, and patients of our products as safe, tolerable and effective treatments;</w:t>
      </w:r>
    </w:p>
    <w:p>
      <w:pPr>
        <w:ind w:left="1040" w:hanging="315"/>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potential and perceived advantages or disadvantages of our products compared to alternative treatments;</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adequate reimbursement by third-party payors and government authorities;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of patient cost-sharing obligations, including copays and deductibles;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1040" w:right="59" w:hanging="315"/>
        <w:spacing w:after="0" w:line="250"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ind w:left="1040" w:hanging="315"/>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effectiveness of our sales and marketing efforts, as well as those of any current or future partners;</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a reliable supply of our products that meets market demand;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favorable or unfavorable publicity relating to our products or relating to the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addition, the COVID-19 pandemic could impact commercialization of BRIUMVI. Patients and healthcare providers have raised concerns that immunosuppressive products like anti-CD20 antibodies and other B-cell targeted agents may increase the risk of acquiring COVID-19 or lead to more severe complications or outcomes upon infection, including death. These concerns may impact the commercial potential for BRIUMVI and other immunosuppressive products that we have in development.</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If BRIUMVI, or any future product candidates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p>
      <w:pPr>
        <w:spacing w:after="0" w:line="18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Regulatory approvals for our product or any of our product candidates may be subject to limitations on the approved indicated uses for which the product may be marketed or contain requirements for potentially costly post-marketing testing, including Phase IV clinical trials, and surveillance to monitor the safety and efficacy of the approved product candidate. For example, with respect to the FDA’s approval of BRIUMVI for RMS, maintenance of this approval is subject to certain post-marketing requirements and commitments, including long-term safety studies, as well as studies to evaluate the effects of BRIUMVI in pregnant women and pediatric populations, among others. Similar post-approval studies are required by other regulatory authorities outside of the U.S., including but not limited to, the EMA in the EU and the MHRA in the United Kingdom (UK). These studies are highly specialized in their design and conduct and are associated with considerable expenses, and based on the outcome, could result in further labeling restrictions that could impair or restrict the way in which we are able to market BRIUMVI, or negatively impact its overall clinical profile.</w:t>
      </w:r>
    </w:p>
    <w:p>
      <w:pPr>
        <w:spacing w:after="0" w:line="16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with respect to BRIUMVI and any product candidate that the FDA or a comparable foreign regulatory authority approves,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(cGMPs),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BRIUMVI, and any of our product candidates for which we in the future obtain approval, may, after approval, be found to cause undesirable side effects that could result in significant negative consequences following commercialization.</w:t>
      </w:r>
    </w:p>
    <w:p>
      <w:pPr>
        <w:spacing w:after="0" w:line="10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As BRIUMVI or any future approved products are used more widely or for a longer duration after being brought to market, data may emerge from clinical studies, including confirmatory or other post-marketing studies, or from adverse event reporting,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BRIUMVI or our product candidates following introduction into the market, a number of potentially significant negative consequences could result, including:</w:t>
      </w:r>
    </w:p>
    <w:p>
      <w:pPr>
        <w:spacing w:after="0" w:line="166" w:lineRule="exact"/>
        <w:rPr>
          <w:sz w:val="20"/>
          <w:szCs w:val="20"/>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or limit the use (indication) of such products;</w:t>
      </w:r>
    </w:p>
    <w:p>
      <w:pPr>
        <w:spacing w:after="0" w:line="23" w:lineRule="exact"/>
        <w:rPr>
          <w:rFonts w:ascii="Arial" w:cs="Arial" w:eastAsia="Arial" w:hAnsi="Arial"/>
          <w:sz w:val="18"/>
          <w:szCs w:val="18"/>
          <w:color w:val="auto"/>
        </w:rPr>
      </w:pPr>
    </w:p>
    <w:p>
      <w:pPr>
        <w:jc w:val="both"/>
        <w:ind w:left="1040" w:right="59" w:hanging="315"/>
        <w:spacing w:after="0" w:line="250"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or boxed warnings, precautions, or contraindications that could diminish the usage of the product or otherwise limit the commercial success of the affected product;</w:t>
      </w:r>
    </w:p>
    <w:p>
      <w:pPr>
        <w:spacing w:after="0" w:line="1" w:lineRule="exact"/>
        <w:rPr>
          <w:rFonts w:ascii="Arial" w:cs="Arial" w:eastAsia="Arial" w:hAnsi="Arial"/>
          <w:sz w:val="18"/>
          <w:szCs w:val="18"/>
          <w:color w:val="auto"/>
        </w:rPr>
      </w:pPr>
    </w:p>
    <w:p>
      <w:pPr>
        <w:ind w:left="1040" w:right="59" w:hanging="315"/>
        <w:spacing w:after="0" w:line="250"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or to conduct additional clinical trials;</w:t>
      </w:r>
    </w:p>
    <w:p>
      <w:pPr>
        <w:jc w:val="both"/>
        <w:ind w:left="1040" w:right="59" w:hanging="315"/>
        <w:spacing w:after="0" w:line="265"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9" w:lineRule="exact"/>
        <w:rPr>
          <w:rFonts w:ascii="Arial" w:cs="Arial" w:eastAsia="Arial" w:hAnsi="Arial"/>
          <w:sz w:val="18"/>
          <w:szCs w:val="18"/>
          <w:color w:val="auto"/>
        </w:rPr>
      </w:pPr>
    </w:p>
    <w:p>
      <w:pPr>
        <w:ind w:left="1040" w:right="59" w:hanging="315"/>
        <w:spacing w:after="0" w:line="250"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w:t>
      </w:r>
    </w:p>
    <w:p>
      <w:pPr>
        <w:ind w:left="1040" w:hanging="315"/>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products; and</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87"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b w:val="1"/>
          <w:bCs w:val="1"/>
          <w:i w:val="1"/>
          <w:iCs w:val="1"/>
          <w:color w:val="auto"/>
        </w:rPr>
        <w:t>The incidence and prevalence for target patient populations of BRIUMVI and our product candidates, including TG-1701 and TG-1801 in B-cell disorders,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spacing w:after="0" w:line="14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precise incidence and/or prevalence of RMS are unknown. Our projections of BRIUMVI in RMS,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may turn out to be lower than expected.</w:t>
      </w:r>
    </w:p>
    <w:p>
      <w:pPr>
        <w:spacing w:after="0" w:line="17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total addressable market opportunity for BRIUMVI and our product candidates, if approved, ultimately depends upon, among other things,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patients and physicians may choose to utilize competitive products, or reimbursement may be unfavorable, all of which would adversely affect our results of operations and our business.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commercializing products and may have significant existing relationships with customers and more resources available to them to promote their products. Many are active in the same diseases that we are, including neurology and immunology, some in direct competition with us. We may also compete with these organizations to recruit commercial and other key personnel. Smaller or early-stage companies may also prove to be significant competitors, particularly through collaborative arrangements with large and established companies.</w:t>
      </w:r>
    </w:p>
    <w:p>
      <w:pPr>
        <w:spacing w:after="0" w:line="16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(the Lanham Act) and congruous state law, which protect businesses against the unfair competition of misleading advertising or labeling.</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key competitive factors affecting the success of all of our drug candidates, if approved, are likely to be their efficacy, safety, convenience, price, the level of generic or biosimilar competition and the availability of reimbursement from government and other third-party payors.</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or product candidates obsolete or noncompetitive. Compared to us, many of our potential competitors have substantially greater:</w:t>
      </w:r>
    </w:p>
    <w:p>
      <w:pPr>
        <w:spacing w:after="0" w:line="187" w:lineRule="exact"/>
        <w:rPr>
          <w:sz w:val="20"/>
          <w:szCs w:val="20"/>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patient registration for clinical trials, and in identifying and in-licensing new products and product candidates.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BRIUMVI, as well as any products that we are able to commercialize in the future, may become subject to unfavorable pricing regulations or third-party payor coverage and reimbursement policies, which would harm our business.</w:t>
      </w:r>
    </w:p>
    <w:p>
      <w:pPr>
        <w:spacing w:after="0" w:line="10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more of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costs and may not be made permanent. As of April 27, 2023, we received a product-specific J-Code for BRIUMVI (J2329), which went effective July 1, 2023, and is expected to help reduce reluctance by physicians to prescribe BRIUMVI based on reimbursement concerns. However, some third-party payors nevertheless may still require documented proof that patients meet certain eligibility criteria in order to be reimbursed for BRIUMVI.</w:t>
      </w:r>
    </w:p>
    <w:p>
      <w:pPr>
        <w:spacing w:after="0" w:line="180"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payor-driven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9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are unable to expand our commercialization operations, we may not be successful in commercializing BRIUMVI or any product candidate, if and when such product candidates are approved, and we may not be able to generate any revenue.</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8"/>
          <w:szCs w:val="18"/>
          <w:color w:val="auto"/>
        </w:rPr>
        <w:t>Commercialization of pharmaceutical products is an extremely complex and highly capital and resource-intensive process. Even for established companies with existing infrastructure and significantly greater resources than we have, challenges have occurred.</w:t>
      </w:r>
    </w:p>
    <w:p>
      <w:pPr>
        <w:spacing w:after="0" w:line="16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have made and continue to make significant investments in our commercial organization and infrastructure. We built processes and systems to support the commercialization of UKONIQ in the U.S. Although we withdrew UKONIQ from sale, we are using and expanding upon many of those systems and processes to market BRIUMVI following its commercial launch on January 26, 2023. There are risks involved with establishing our own commercialization capabilities. For example, if we are unable to recruit and retain adequate numbers of effective personnel to support the ongoing commercialization of BRIUMVI, we may not be successful in marketing and selling the product.</w:t>
      </w:r>
    </w:p>
    <w:p>
      <w:pPr>
        <w:spacing w:after="0" w:line="16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Additional factors that may inhibit our efforts to commercialize BRIUMVI and our other product candidates on our own, or through partnership, and generate product revenues include:</w:t>
      </w:r>
    </w:p>
    <w:p>
      <w:pPr>
        <w:spacing w:after="0" w:line="170" w:lineRule="exact"/>
        <w:rPr>
          <w:sz w:val="20"/>
          <w:szCs w:val="20"/>
          <w:color w:val="auto"/>
        </w:rPr>
      </w:pPr>
    </w:p>
    <w:p>
      <w:pPr>
        <w:ind w:left="1040" w:right="59" w:hanging="315"/>
        <w:spacing w:after="0" w:line="274"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costs and time associated with the initial and ongoing training of commercialization personnel on the applicable disease states, products, competitors, and legal and regulatory compliance matters;</w:t>
      </w:r>
    </w:p>
    <w:p>
      <w:pPr>
        <w:ind w:left="1040" w:right="5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of commercialization personnel to obtain access to physicians or to effectively promote or provide education about BRIUMVI and any future approved products;</w:t>
      </w:r>
    </w:p>
    <w:p>
      <w:pPr>
        <w:ind w:left="1040" w:right="5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lack of complementary drugs to be offered by the Company, which may put us at a competitive disadvantage relative to companies with more extensive product lines;</w:t>
      </w:r>
    </w:p>
    <w:p>
      <w:pPr>
        <w:ind w:left="1040" w:right="5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decisions by third-party payors to deny reimbursement of or delay coverage decisions regarding BRIUMVI or following approval of any product candidates;</w:t>
      </w:r>
    </w:p>
    <w:p>
      <w:pPr>
        <w:ind w:left="1040" w:right="5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a healthcare compliance program including effective mechanisms for compliance monitoring;</w:t>
      </w: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establish and maintain commercial partnerships outside the U.S.;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timing of product availability for commercial sale following approval and continued product supply; and</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 commercialization organization.</w:t>
      </w:r>
    </w:p>
    <w:p>
      <w:pPr>
        <w:spacing w:after="0" w:line="211"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In addition, we have entered into a commercialization agreement, and may enter into additional agreements in the future, that facilitate commercialization of BRIUMVI and/or future products that receive approval in markets outside the U.S. through partnerships.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products or product candidates that we develop ourselves. In addition, we likely will have little control over such third parties, and any of them may fail to devote the necessary resources and attention to sell and market our product or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68"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believe there is potential market opportunity for BRIUMVI outside of the U.S., including in the EU. We have entered into a commercialization agreement for the sale of BRIUMVI in territories outside the U.S., Canada, and Mexico, which are retained by TG, and excluding certain Asian countries previously partnered, and also may enter into certain collaboration and/or commercialization agreements with third parties in the future to facilitate market expansion. To the extent we do expand into other markets outside of the U.S. in which we are responsible for building and maintaining a commercial infrastructure, we expect to incur significant expenses in establishing an infrastructure to commercialize our drug products. Depending on the expenses incurred, it could have a negative impact on our cash resources.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an even greater risk in connection with the commercialization of BRIUMVI and any other products for which we may receive marketing authorization in the future. If we cannot successfully defend ourselves against claims that BRIUMVI or any of our product candidates caused injuries, we could incur substantial liabilities. Regardless of merit or eventual outcome, liability claims may result in:</w:t>
      </w:r>
    </w:p>
    <w:p>
      <w:pPr>
        <w:spacing w:after="0" w:line="188" w:lineRule="exact"/>
        <w:rPr>
          <w:sz w:val="20"/>
          <w:szCs w:val="20"/>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any products that we may commercialize;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40" w:right="59" w:hanging="315"/>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including the risk that any individuals who may face such related litigation may in turn seek to recover from us;</w:t>
      </w: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any products or product candidates that we may develop.</w:t>
      </w:r>
    </w:p>
    <w:p>
      <w:pPr>
        <w:spacing w:after="0" w:line="21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anticipate that we will incur continued losses for the foreseeable future.</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commercializing UKONIQ (which we withdrew from sale), launching and commercializing BRIUMVI. We are transitioning from a company with a research and development focus and commercialization capabilities in oncology to a company capable of supporting commercial activities in neurology and immunology in the U.S. and outside the U.S. This transition involves a wide variety of risks, and we may not be successful in such transition.</w:t>
      </w:r>
    </w:p>
    <w:p>
      <w:pPr>
        <w:spacing w:after="0" w:line="19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Since inception, we have focused our efforts and financial resources on clinical trials, manufacturing of our product and product candidates, and preparing to support a commercial product. To date, we have financed our operations primarily through public offerings of our common stock and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Our prior losses, combined with expected future losses, have had, and will continue to have an adverse effect on our stockholders’ deficit and working capital. BRIUMVI is currently our only marketed product. We expect to continue to incur significant research and development expenses and we expect to continue to incur significant commercialization and outsourced-manufacturing expenses as we commercialize BRIUMVI.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have not generated any significant revenue from the sale of our product. It is uncertain when and if we will generate any significant revenue from the sale of our product or any product candidates, if approved, in the future. Furthermore, no assurance can be given that we will meet revenue projections or guidance with respect to BRIUMVI or our product candidates, if approved. To obtain significant and sustained revenues and meet our revenue projections or guidance, we must succeed, either alone or with others, in (i) obtaining and maintaining regulatory approval for our product and product candidates; and (ii) manufacturing and marketing our product and product candidates. Our ability to generate sustained revenue depends on a number of factors, including, but not limited to, our ability to:</w:t>
      </w:r>
    </w:p>
    <w:p>
      <w:pPr>
        <w:spacing w:after="0" w:line="166" w:lineRule="exact"/>
        <w:rPr>
          <w:sz w:val="20"/>
          <w:szCs w:val="20"/>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23" w:lineRule="exact"/>
        <w:rPr>
          <w:rFonts w:ascii="Arial" w:cs="Arial" w:eastAsia="Arial" w:hAnsi="Arial"/>
          <w:sz w:val="18"/>
          <w:szCs w:val="18"/>
          <w:color w:val="auto"/>
        </w:rPr>
      </w:pPr>
    </w:p>
    <w:p>
      <w:pPr>
        <w:ind w:left="1040" w:right="59" w:hanging="315"/>
        <w:spacing w:after="0" w:line="265"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initiate and successfully complete all safety, pharmacokinetic, biodistribution, and non-clinical studies required to obtain U.S. and foreign marketing approval for our product and product candidates;</w:t>
      </w:r>
    </w:p>
    <w:p>
      <w:pPr>
        <w:ind w:left="1040" w:right="5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from the FDA and foreign equivalents to market and sell our product and product candidates, and maintain FDA and EMA approvals of BRIUMVI for RMS;</w:t>
      </w:r>
    </w:p>
    <w:p>
      <w:pPr>
        <w:jc w:val="both"/>
        <w:ind w:left="1040" w:right="5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and maintain commercial manufacturing capabilities with third parties that are satisfactory to the regulatory authorities, cost effective, and that are capable of providing commercial supply of our product and product candidates;</w:t>
      </w:r>
    </w:p>
    <w:p>
      <w:pPr>
        <w:spacing w:after="0" w:line="1" w:lineRule="exact"/>
        <w:rPr>
          <w:rFonts w:ascii="Arial" w:cs="Arial" w:eastAsia="Arial" w:hAnsi="Arial"/>
          <w:sz w:val="18"/>
          <w:szCs w:val="18"/>
          <w:color w:val="auto"/>
        </w:rPr>
      </w:pPr>
    </w:p>
    <w:p>
      <w:pPr>
        <w:ind w:left="1040" w:right="5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 on our commercialization infrastructure to commercialize BRIUMVI, and/or entering into collaborations with third parties; and</w:t>
      </w:r>
    </w:p>
    <w:p>
      <w:pPr>
        <w:ind w:left="1040" w:right="59" w:hanging="315"/>
        <w:spacing w:after="0" w:line="26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 market acceptance of BRIUMVI and any other products for which we may receive regulatory approval in the medical community and with third-party payors.</w:t>
      </w:r>
    </w:p>
    <w:p>
      <w:pPr>
        <w:spacing w:after="0" w:line="18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If we are unable to generate significant and sustained revenues, we will not become profitable and we will be unable to continue our operations without continued funding.</w:t>
      </w:r>
    </w:p>
    <w:p>
      <w:pPr>
        <w:spacing w:after="0" w:line="17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may need to raise substantial additional funding. If we are unable to raise capital when needed, we may be required to delay, limit, reduce or eliminate some of our drug development programs or commercialization efforts.</w:t>
      </w:r>
    </w:p>
    <w:p>
      <w:pPr>
        <w:spacing w:after="0" w:line="12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development of pharmaceuticals is capital-intensive. We are currently advancing our early-stage drug candidates, TG-1701 and TG-1801 in ongoing Phase 1 studies to identify tolerable and efficacious doses. We are also continuing to generate additional clinical data for BRIUMVI to support and potentially expand commercial adoption, including assessing long-term tolerability in an Open-Label Extension of the Phase 3 ULTIMATE I and II trials and Phase 4 clinical studies necessary to satisfy post-approval commitments for regulatory authorities or those undertaken voluntarily by the Company to evaluate the use of BRIUMVI in alternate settings. Moreover, now that we have launched BRIUMVI, we will need to expend substantial resources on maintaining approvals, continuing commercialization, manufacturing and distribution over the foreseeable future.</w:t>
      </w:r>
    </w:p>
    <w:p>
      <w:pPr>
        <w:spacing w:after="0" w:line="17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170" w:lineRule="exact"/>
        <w:rPr>
          <w:sz w:val="20"/>
          <w:szCs w:val="20"/>
          <w:color w:val="auto"/>
        </w:rPr>
      </w:pPr>
    </w:p>
    <w:p>
      <w:pPr>
        <w:ind w:left="720" w:right="599" w:hanging="319"/>
        <w:spacing w:after="0" w:line="258"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the commercialization of BRIUMVI and any other products for which we receive regulatory approval;</w:t>
      </w:r>
    </w:p>
    <w:p>
      <w:pPr>
        <w:spacing w:after="0" w:line="1" w:lineRule="exact"/>
        <w:rPr>
          <w:rFonts w:ascii="Arial" w:cs="Arial" w:eastAsia="Arial" w:hAnsi="Arial"/>
          <w:sz w:val="18"/>
          <w:szCs w:val="18"/>
          <w:color w:val="auto"/>
        </w:rPr>
      </w:pPr>
    </w:p>
    <w:p>
      <w:pPr>
        <w:ind w:left="720" w:right="11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and product candidate;</w:t>
      </w: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expanding our sales, distribution, and other commercialization capabilities;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720" w:right="599" w:hanging="319"/>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720" w:hanging="319"/>
        <w:spacing w:after="0"/>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including licensing and other arrangements;</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As a result, significant additional funding will be required. Additional sources of financing to continue our operations in the future might not be available on favorable terms, if at all. If we do not succeed in raising additional funds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acceptable terms, we could be forced to discontinue product development, reduce or forego commercialization efforts that are required for successful commercialization of BRIUMVI or any of our product candidates and otherwise forego attractive business opportunities. Any additional sources of financing may involve the issuance of our equity securities, which would have a dilutive effect to stockholders. Currently, other than BRIUMVI, our products are investigational and have not been approved by the FDA or any foreign regulatory authority for sale. For the foreseeable future, we will have to fund all our operations and capital expenditures from sales of BRIUMVI,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spacing w:after="0" w:line="18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2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Until such time, if ever, as we can generate substantial revenues, we expect to finance our cash needs through a combination of public and private equity offerings, debt financings, collaborations, strategic alliances, licensing agreements or other arrangements. We do not have any committed external source of funds, other than funds already borrowed under the loan and security agreement that we entered into with Hercules in February 2019, expanded in December 2021, and amended on March 31, 2023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7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products and product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w:t>
      </w:r>
    </w:p>
    <w:p>
      <w:pPr>
        <w:spacing w:after="0" w:line="17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Long-term commercialization and product candidate development timelines and projections in this report are based on the assumption of further financing.</w:t>
      </w:r>
    </w:p>
    <w:p>
      <w:pPr>
        <w:spacing w:after="0" w:line="17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timelines and projections in this report are predicated upon the assumption that we will raise additional financing in the future to continue our long-term commercialization efforts and the development of our product and product candidates. In the event we do not successfully raise subsequent financing, such commercialization and product development activities may be curtailed commensurate with the magnitude of the shortfall. If our commercialization or product development activities are slowed or stopped, we would be unable to meet the timelines and projections outlined in this filing. Failure to progress our commercialization activities or the development of our product and product candidates as anticipated will have a negative effect on our business, future prospects, and ability to obtain further financing on acceptable terms, if at all, and the value of the enterprise.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sale or other arrangements in cases in which it would have been more advantageous for us to retain sole development and commercialization rights to such product candidate. We may focus our efforts and resources on potential product candidates or other potential programs that ultimately prove to be unsuccessful. Alternatively, we may allocate internal resources to a product candidate in a therapeutic area in which it would have been more advantageous to enter into a partnering arrangement.</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If any of the aforementioned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February 2019, we entered into a Loan and Security Agreement, with Hercules Capital, Inc., a Maryland corporation (Hercules) and on December 30, 2021 (the Amendment Closing Date), the Company entered into an Amended and Restated Loan and Security Agreement (the Amended Loan Agreement) with Hercules. Under the Amended Loan Agreement, Hercules increased the aggregate principal amount of the loan, available at the Company’s option, from $60.0 million to $200.0 million. On March 31, 2023 (the First Amendment Effective Date), the Company entered into a First Amendment to the Amended and Restated Loan and Security Agreement (the First Amendment) with Hercules. An advance of $25.0 million was drawn at the First Amendment Effective Date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7 to our consolidated financial statements for more information). We have the option to request an additional $20.0 million under the First Amendment, such option will lapse if not elected by September 15, 2023. We have the option to request additional loan advances, in an aggregate principal amount of up to $85.0 million under the First Amendment.</w:t>
      </w:r>
    </w:p>
    <w:p>
      <w:pPr>
        <w:spacing w:after="0" w:line="18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All obligations under the First Amendment are secured by substantially all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71" w:lineRule="exact"/>
        <w:rPr>
          <w:sz w:val="20"/>
          <w:szCs w:val="20"/>
          <w:color w:val="auto"/>
        </w:rPr>
      </w:pPr>
    </w:p>
    <w:p>
      <w:pPr>
        <w:jc w:val="both"/>
        <w:ind w:left="1040" w:right="59" w:hanging="315"/>
        <w:spacing w:after="0" w:line="255"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spacing w:after="0" w:line="2" w:lineRule="exact"/>
        <w:rPr>
          <w:rFonts w:ascii="Arial" w:cs="Arial" w:eastAsia="Arial" w:hAnsi="Arial"/>
          <w:sz w:val="18"/>
          <w:szCs w:val="18"/>
          <w:color w:val="auto"/>
        </w:rPr>
      </w:pPr>
    </w:p>
    <w:p>
      <w:pPr>
        <w:jc w:val="both"/>
        <w:ind w:left="1040" w:right="59" w:hanging="315"/>
        <w:spacing w:after="0" w:line="255"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comply with the restrictive covenants in the First Amendment could result in an event of default that, if not cured or waived, would accelerate our obligation to repay this indebtedness, and Hercules could seek to enforce its security interest in the assets securing such indebtedness.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have cash available in an amount sufficient to enable us to make interest or principal payments on our indebtedness when due.</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Failure to satisfy our current and future debt obligations under the First Amendment, or the breach of any of its covenants, subject to specified cure periods with respect to certain breaches, could result in an event of default and, as a result, Hercules could accelerate all the amounts due. In the event of an acceleration of amounts due under the First Amendment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our property other than intellectual property. Our business, financial condition and results of operations could be materially adversely affected as a result of any of these events.</w:t>
      </w:r>
    </w:p>
    <w:p>
      <w:pPr>
        <w:spacing w:after="0" w:line="168"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First Amendment imposes operating and other restrictions on the Company. Such restrictions will affect, and in many respects limit or prohibit, our ability and the ability of any future subsidiary to, among other things:</w:t>
      </w:r>
    </w:p>
    <w:p>
      <w:pPr>
        <w:spacing w:after="0" w:line="146" w:lineRule="exact"/>
        <w:rPr>
          <w:sz w:val="20"/>
          <w:szCs w:val="20"/>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97"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The breach of any of these restrictive covenants could have a material adverse effect on our business and prospects.</w:t>
      </w:r>
    </w:p>
    <w:p>
      <w:pPr>
        <w:spacing w:after="0" w:line="144"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b w:val="1"/>
          <w:bCs w:val="1"/>
          <w:i w:val="1"/>
          <w:iCs w:val="1"/>
          <w:color w:val="auto"/>
        </w:rPr>
        <w:t>Our cash and cash equivalents could be adversely affected if the financial institutions in which we hold our cash and cash equivalents fail.</w:t>
      </w:r>
    </w:p>
    <w:p>
      <w:pPr>
        <w:spacing w:after="0" w:line="144" w:lineRule="exact"/>
        <w:rPr>
          <w:sz w:val="20"/>
          <w:szCs w:val="20"/>
          <w:color w:val="auto"/>
        </w:rPr>
      </w:pPr>
    </w:p>
    <w:p>
      <w:pPr>
        <w:jc w:val="both"/>
        <w:ind w:left="60" w:right="59" w:firstLine="648"/>
        <w:spacing w:after="0" w:line="234" w:lineRule="auto"/>
        <w:rPr>
          <w:sz w:val="20"/>
          <w:szCs w:val="20"/>
          <w:color w:val="auto"/>
        </w:rPr>
      </w:pPr>
      <w:r>
        <w:rPr>
          <w:rFonts w:ascii="Arial" w:cs="Arial" w:eastAsia="Arial" w:hAnsi="Arial"/>
          <w:sz w:val="18"/>
          <w:szCs w:val="18"/>
          <w:color w:val="auto"/>
        </w:rPr>
        <w:t>On March 10, 2023, the Federal Deposit Insurance Corporation (FDIC) announced that Silicon Valley Bank had been closed by the California Department of Financial Protection and Innovation, and on March 12, 2023, Signature Bank was closed by the New York State Department of Financial Services and the FDIC was named receiver. Although we do not maintain any bank accounts with Silicon Valley Bank or Signature Bank, we regularly maintain cash balances at third-party financial institutions in excess of the FDIC insurance limit. Any failure of a depository institution to return any of our deposits, or any other adverse conditions in the financial or credit markets affecting depository institutions, could impact access to our invested cash or cash equivalents and could adversely impact our operating liquidity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Drug Development and Regulatory Approval</w:t>
      </w:r>
    </w:p>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If we are unable to obtain and maintain regulatory approval for our product and product candidates and ultimately cannot successfully commercialize our product or product candidates, or experience significant delays in doing so, our business will be materially harmed.</w:t>
      </w:r>
    </w:p>
    <w:p>
      <w:pPr>
        <w:spacing w:after="0" w:line="1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Our ability to generate revenues from product sales will depend largely on the successful commercialization of BRIUMVI. Each of our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among others, the following:</w:t>
      </w:r>
    </w:p>
    <w:p>
      <w:pPr>
        <w:spacing w:after="0" w:line="171" w:lineRule="exact"/>
        <w:rPr>
          <w:sz w:val="20"/>
          <w:szCs w:val="20"/>
          <w:color w:val="auto"/>
        </w:rPr>
      </w:pPr>
    </w:p>
    <w:p>
      <w:pPr>
        <w:jc w:val="both"/>
        <w:ind w:left="1040" w:right="59" w:hanging="315"/>
        <w:spacing w:after="0" w:line="255"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completion of our clinical programs with positive results that support a finding of effectiveness and an acceptable safety profile of our product candidates in the intended populations within the timeframes we have projected;</w:t>
      </w:r>
    </w:p>
    <w:p>
      <w:pPr>
        <w:spacing w:after="0" w:line="2" w:lineRule="exact"/>
        <w:rPr>
          <w:rFonts w:ascii="Arial" w:cs="Arial" w:eastAsia="Arial" w:hAnsi="Arial"/>
          <w:sz w:val="18"/>
          <w:szCs w:val="18"/>
          <w:color w:val="auto"/>
        </w:rPr>
      </w:pPr>
    </w:p>
    <w:p>
      <w:pPr>
        <w:ind w:left="1040" w:right="5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INDs and clinical trial applications (CTAs), being cleared/approved such that our product candidates can commence clinical trials;</w:t>
      </w:r>
    </w:p>
    <w:p>
      <w:pPr>
        <w:ind w:left="1040" w:right="5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and successful initiation of, enrollment in, and completion of clinical trials;</w:t>
      </w:r>
    </w:p>
    <w:p>
      <w:pPr>
        <w:ind w:left="1040" w:right="5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product candidates;</w:t>
      </w:r>
    </w:p>
    <w:p>
      <w:pPr>
        <w:spacing w:after="0" w:line="9" w:lineRule="exact"/>
        <w:rPr>
          <w:rFonts w:ascii="Arial" w:cs="Arial" w:eastAsia="Arial" w:hAnsi="Arial"/>
          <w:sz w:val="18"/>
          <w:szCs w:val="18"/>
          <w:color w:val="auto"/>
        </w:rPr>
      </w:pPr>
    </w:p>
    <w:p>
      <w:pPr>
        <w:ind w:left="1040" w:right="5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commercially viable arrangements with third-party manufacturers for clinical supply and commercial manufacturing; and</w:t>
      </w:r>
    </w:p>
    <w:p>
      <w:pPr>
        <w:ind w:left="1040" w:right="59" w:hanging="315"/>
        <w:spacing w:after="0" w:line="26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158"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203"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p>
      <w:pPr>
        <w:spacing w:after="0" w:line="18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w:t>
      </w:r>
    </w:p>
    <w:p>
      <w:pPr>
        <w:spacing w:after="0" w:line="149"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7"/>
          <w:szCs w:val="17"/>
          <w:color w:val="auto"/>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203"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and continuously observed data such as annualized relapse rate (ARR) have the potential to change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or product candidates may be harmed, which could harm our business, operating results, prospects or financial condition.</w:t>
      </w:r>
    </w:p>
    <w:p>
      <w:pPr>
        <w:spacing w:after="0" w:line="39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8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is uncertain as to outcome. It is impossible to predict when or if our product candidates will prove effective and safe in humans,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w:t>
      </w:r>
    </w:p>
    <w:p>
      <w:pPr>
        <w:spacing w:after="0" w:line="165"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Successful completion of our clinical trials is a prerequisite to submitting an NDA or a BLA to the FDA and a Marketing Authorization Application (MAA) to the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such as the COVID-19 pandemic, that could delay or prevent our ability to complete current clinical trials, initiate new trials, receive marketing approval or commercialize our product candidates, including:</w:t>
      </w:r>
    </w:p>
    <w:p>
      <w:pPr>
        <w:spacing w:after="0" w:line="183" w:lineRule="exact"/>
        <w:rPr>
          <w:sz w:val="20"/>
          <w:szCs w:val="20"/>
          <w:color w:val="auto"/>
        </w:rPr>
      </w:pPr>
    </w:p>
    <w:p>
      <w:pPr>
        <w:ind w:left="1040" w:right="59" w:hanging="315"/>
        <w:spacing w:after="0" w:line="24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jc w:val="both"/>
        <w:ind w:left="1040" w:right="59" w:hanging="315"/>
        <w:spacing w:after="0" w:line="257"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p>
      <w:pPr>
        <w:jc w:val="both"/>
        <w:ind w:left="1040" w:right="59" w:hanging="315"/>
        <w:spacing w:after="0" w:line="229"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spacing w:after="0" w:line="1" w:lineRule="exact"/>
        <w:rPr>
          <w:rFonts w:ascii="Arial" w:cs="Arial" w:eastAsia="Arial" w:hAnsi="Arial"/>
          <w:sz w:val="18"/>
          <w:szCs w:val="18"/>
          <w:color w:val="auto"/>
        </w:rPr>
      </w:pPr>
    </w:p>
    <w:p>
      <w:pPr>
        <w:jc w:val="both"/>
        <w:ind w:left="1040" w:right="59" w:hanging="315"/>
        <w:spacing w:after="0" w:line="243"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jc w:val="both"/>
        <w:ind w:left="1040" w:right="59" w:hanging="315"/>
        <w:spacing w:after="0" w:line="258"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jc w:val="both"/>
        <w:ind w:left="1040" w:right="59" w:hanging="315"/>
        <w:spacing w:after="0" w:line="229"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jc w:val="both"/>
        <w:ind w:left="1040" w:right="59" w:hanging="315"/>
        <w:spacing w:after="0" w:line="249"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such as the COVID-19 pandemic, international conflicts such as the Russian invasion of Ukraine, economic instability, or natural disasters;</w:t>
      </w:r>
    </w:p>
    <w:p>
      <w:pPr>
        <w:spacing w:after="0" w:line="1" w:lineRule="exact"/>
        <w:rPr>
          <w:rFonts w:ascii="Arial" w:cs="Arial" w:eastAsia="Arial" w:hAnsi="Arial"/>
          <w:sz w:val="17"/>
          <w:szCs w:val="17"/>
          <w:color w:val="auto"/>
        </w:rPr>
      </w:pPr>
    </w:p>
    <w:p>
      <w:pPr>
        <w:ind w:left="1040" w:right="59" w:hanging="315"/>
        <w:spacing w:after="0" w:line="226"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revise the requirements for approving our product candidates, or such requirements may not be as we anticipate; and</w:t>
      </w:r>
    </w:p>
    <w:p>
      <w:pPr>
        <w:spacing w:after="0" w:line="1" w:lineRule="exact"/>
        <w:rPr>
          <w:rFonts w:ascii="Arial" w:cs="Arial" w:eastAsia="Arial" w:hAnsi="Arial"/>
          <w:sz w:val="18"/>
          <w:szCs w:val="18"/>
          <w:color w:val="auto"/>
        </w:rPr>
      </w:pPr>
    </w:p>
    <w:p>
      <w:pPr>
        <w:jc w:val="both"/>
        <w:ind w:left="1040" w:right="59" w:hanging="315"/>
        <w:spacing w:after="0" w:line="234"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p>
      <w:pPr>
        <w:spacing w:after="0" w:line="18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also could encounter delays if a clinical trial is suspended or terminated by us, by the IRBs of the institutions in which such trials are being conducted, by the Data and Safety Monitoring Board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to the FDA, the DSMB for our clinical trials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w:t>
      </w:r>
    </w:p>
    <w:p>
      <w:pPr>
        <w:spacing w:after="0" w:line="171"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Negative or inconclusive results from the clinical trials we conduct, unanticipated adverse medical events, or changes in regulatory policy could cause us to have to delay,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76" w:lineRule="exact"/>
        <w:rPr>
          <w:sz w:val="20"/>
          <w:szCs w:val="20"/>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others;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post-marketing requirements or post-marketing commitments;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changes in regulatory policy could cause us to have to repeat or conduct additional clinical trials or change our clinical development strategy. 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spacing w:after="0" w:line="18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product or product candidates may cause undesirable side effects that could delay or prevent their regulatory approval or impact their availability and commercial potential after approval.</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Unacceptable or undesirable adverse events caused by BRIUMVI or any of our product candidates that we take into clinical trials could cause either of,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8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8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78" w:lineRule="exact"/>
        <w:rPr>
          <w:sz w:val="20"/>
          <w:szCs w:val="20"/>
          <w:color w:val="auto"/>
        </w:rPr>
      </w:pPr>
    </w:p>
    <w:p>
      <w:pPr>
        <w:ind w:left="60" w:right="239"/>
        <w:spacing w:after="0" w:line="381" w:lineRule="auto"/>
        <w:rPr>
          <w:sz w:val="20"/>
          <w:szCs w:val="20"/>
          <w:color w:val="auto"/>
        </w:rPr>
      </w:pPr>
      <w:r>
        <w:rPr>
          <w:rFonts w:ascii="Arial" w:cs="Arial" w:eastAsia="Arial" w:hAnsi="Arial"/>
          <w:sz w:val="15"/>
          <w:szCs w:val="15"/>
          <w:b w:val="1"/>
          <w:bCs w:val="1"/>
          <w:i w:val="1"/>
          <w:iCs w:val="1"/>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0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clinical development, manufacturing, labeling, packaging, storage, record-keeping, advertising, promotion, import, export, marketing and distribution, and pharmacovigilance and adverse event reporting of our product or product candidates or any future product candidates are subject to extensive regulation by the FDA in the United States and by comparable regulatory authorities worldwide. In the United States, we are not permitted to market a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spacing w:after="0" w:line="16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FDA and foreign regulatory authorities have substantial discretion in the pharmaceutical product approval process, including the ability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that has received a Special Protocol Assessment (SPA). There is no guarantee that the FDA will not delay, limit or deny approval of our product candidates in the future.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Furthermore, some of our clinical trials may be conducted as open-label studies, meaning that trial participants, investigators, site staff, some employees of our CROs,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the Company to withdraw a regulatory application.</w:t>
      </w:r>
    </w:p>
    <w:p>
      <w:pPr>
        <w:spacing w:after="0" w:line="17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Other reasons that the FDA or regulatory authorities around the world may delay, limit or deny approval of a product candidate, include:</w:t>
      </w:r>
    </w:p>
    <w:p>
      <w:pPr>
        <w:spacing w:after="0" w:line="157" w:lineRule="exact"/>
        <w:rPr>
          <w:sz w:val="20"/>
          <w:szCs w:val="20"/>
          <w:color w:val="auto"/>
        </w:rPr>
      </w:pPr>
    </w:p>
    <w:p>
      <w:pPr>
        <w:ind w:left="1040" w:right="59" w:hanging="315"/>
        <w:spacing w:after="0" w:line="244"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tolerable and effective for an indication;</w:t>
      </w:r>
    </w:p>
    <w:p>
      <w:pPr>
        <w:ind w:left="1040" w:right="59" w:hanging="315"/>
        <w:spacing w:after="0" w:line="226"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that of the United States;</w:t>
      </w:r>
    </w:p>
    <w:p>
      <w:pPr>
        <w:spacing w:after="0" w:line="1" w:lineRule="exact"/>
        <w:rPr>
          <w:rFonts w:ascii="Arial" w:cs="Arial" w:eastAsia="Arial" w:hAnsi="Arial"/>
          <w:sz w:val="18"/>
          <w:szCs w:val="18"/>
          <w:color w:val="auto"/>
        </w:rPr>
      </w:pPr>
    </w:p>
    <w:p>
      <w:pPr>
        <w:ind w:left="1040" w:right="59" w:hanging="315"/>
        <w:spacing w:after="0" w:line="226"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 w:lineRule="exact"/>
        <w:rPr>
          <w:rFonts w:ascii="Arial" w:cs="Arial" w:eastAsia="Arial" w:hAnsi="Arial"/>
          <w:sz w:val="18"/>
          <w:szCs w:val="18"/>
          <w:color w:val="auto"/>
        </w:rPr>
      </w:pPr>
    </w:p>
    <w:p>
      <w:pPr>
        <w:ind w:left="1040" w:right="59" w:hanging="315"/>
        <w:spacing w:after="0" w:line="234"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 w:lineRule="exact"/>
        <w:rPr>
          <w:rFonts w:ascii="Arial" w:cs="Arial" w:eastAsia="Arial" w:hAnsi="Arial"/>
          <w:sz w:val="18"/>
          <w:szCs w:val="18"/>
          <w:color w:val="auto"/>
        </w:rPr>
      </w:pPr>
    </w:p>
    <w:p>
      <w:pPr>
        <w:ind w:left="1040" w:right="59" w:hanging="315"/>
        <w:spacing w:after="0" w:line="226"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and/or clinical trials;</w:t>
      </w:r>
    </w:p>
    <w:p>
      <w:pPr>
        <w:spacing w:after="0" w:line="1" w:lineRule="exact"/>
        <w:rPr>
          <w:rFonts w:ascii="Arial" w:cs="Arial" w:eastAsia="Arial" w:hAnsi="Arial"/>
          <w:sz w:val="18"/>
          <w:szCs w:val="18"/>
          <w:color w:val="auto"/>
        </w:rPr>
      </w:pPr>
    </w:p>
    <w:p>
      <w:pPr>
        <w:jc w:val="both"/>
        <w:ind w:left="1040" w:right="59" w:hanging="315"/>
        <w:spacing w:after="0" w:line="229"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marketing authorization submission to obtain regulatory approval in the United States or elsewhere;</w:t>
      </w:r>
    </w:p>
    <w:p>
      <w:pPr>
        <w:spacing w:after="0" w:line="1" w:lineRule="exact"/>
        <w:rPr>
          <w:rFonts w:ascii="Arial" w:cs="Arial" w:eastAsia="Arial" w:hAnsi="Arial"/>
          <w:sz w:val="18"/>
          <w:szCs w:val="18"/>
          <w:color w:val="auto"/>
        </w:rPr>
      </w:pPr>
    </w:p>
    <w:p>
      <w:pPr>
        <w:jc w:val="both"/>
        <w:ind w:left="1040" w:right="59" w:hanging="315"/>
        <w:spacing w:after="0" w:line="242"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 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PDUFA goal date or at all to satisfy the FDA or foreign regulatory authorities;</w:t>
      </w:r>
    </w:p>
    <w:p>
      <w:pPr>
        <w:spacing w:after="0" w:line="2" w:lineRule="exact"/>
        <w:rPr>
          <w:rFonts w:ascii="Arial" w:cs="Arial" w:eastAsia="Arial" w:hAnsi="Arial"/>
          <w:sz w:val="17"/>
          <w:szCs w:val="17"/>
          <w:color w:val="auto"/>
        </w:rPr>
      </w:pPr>
    </w:p>
    <w:p>
      <w:pPr>
        <w:ind w:left="1040" w:right="59" w:hanging="315"/>
        <w:spacing w:after="0" w:line="234"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 or</w:t>
      </w:r>
    </w:p>
    <w:p>
      <w:pPr>
        <w:spacing w:after="0" w:line="1" w:lineRule="exact"/>
        <w:rPr>
          <w:rFonts w:ascii="Arial" w:cs="Arial" w:eastAsia="Arial" w:hAnsi="Arial"/>
          <w:sz w:val="18"/>
          <w:szCs w:val="18"/>
          <w:color w:val="auto"/>
        </w:rPr>
      </w:pPr>
    </w:p>
    <w:p>
      <w:pPr>
        <w:jc w:val="both"/>
        <w:ind w:left="1040" w:right="59" w:hanging="315"/>
        <w:spacing w:after="0" w:line="234"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and foreign regulatory authorities as a result of global health or economic crises, such as the COVID-19 pandemic, international conflict, or national disasters may negatively impact review, inspection, and approval timelines.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Even if we succeed in obtaining regulatory approval for a product candidate, the FDA may require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or product candidates and increase our costs.</w:t>
      </w:r>
    </w:p>
    <w:p>
      <w:pPr>
        <w:spacing w:after="0" w:line="17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Breakthrough Therapy or Fast Track designation by the FDA may not actually lead to a faster development or regulatory review or approval process.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 application.</w:t>
      </w:r>
    </w:p>
    <w:p>
      <w:pPr>
        <w:spacing w:after="0" w:line="17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seek orphan drug designation for some of our drug candidates. However, we may be unsuccessful in obtaining or may be unable to maintain the benefits associated with orphan drug designation, including the potential for market exclusivity.</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pacing w:after="0" w:line="169"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We are conducting clinical trials and anticipate conducting additional clinical trials for our product and product candidates at sites outside the United States, and the FDA may not accept data from trials conducted in such locations or clinical trial activities in such locations may be impacted by political conditions, including international conflict.</w:t>
      </w:r>
    </w:p>
    <w:p>
      <w:pPr>
        <w:spacing w:after="0" w:line="13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Many of our clinical trials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The geographic variability of the COVID-19 pandemic also introduces increased risk in the conduct of clinical research in certain countries and territories where vaccination rates and available standard of care anti-viral therapy varies significantly. Such problems,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8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addition, our clinical studies with sites outside the United States may be adversely impacted by international conflict. For example, in February 2022, Russia initiated a full-scale military invasion of Ukraine. In one or both countries, as well as neighboring countries that may be impacted by this conflict (e.g. Poland, Slovakia, Belarus, Georgia), we have clinical trial sites for our RMS and/or oncology programs. While no clinical trials are actively enrolling patients in these territories, there are a number of trial subjects in long-term treatment and follow-up.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its European allies have imposed significant new sanctions against Russia and Belarus, including regional embargoes, full blocking sanctions, and other restrictions targeting major Russian financial institutions. Specifically, such sanctions have included, among other things, a prohibition on doing business with certain Russian companies, officials, and oligarchs; a commitment by certain countries and the European Union to remove selected Russian banks from the Society for Worldwide Interbank Financial Telecommunications (SWIFT) electronic banking network that connects banks globally; and restrictive measures to prevent the Russian Central Bank from undermining the impact of the sanctions. Our ability to conduct clinical trials in Russia, Belarus, Ukraine and elsewhere in the region may also become restricted under applicable sanctions laws. The conflict, as well as government responses, has resulted in global economic instability, which could affect our supply chain and commercialization efforts. While we do not believe this conflict will have a material impact on product development or our overall business, given the rapidly evolving situation and the potential to expand beyond Ukraine and Russia, the full impact of the conflict remains uncertain.</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Approval of one of our product candidates in the United States would not assure approval of that candidate in foreign jurisdictions.</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intend to seek additional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and product candidates in any foreign jurisdiction on a timely basis, if at all. Failure to receive approval in certain foreign markets could significantly impact the full market potential of our product and product candidates and may negatively impact the regulatory process in other countries. Furthermore, if we obtain regulatory approval for a product or product candidate in a foreign jurisdiction, we will be subject to the burden of complying with complex regulatory, legal, and other requirements that could be costly and could subject us to additional risks and uncertainties.</w:t>
      </w:r>
    </w:p>
    <w:p>
      <w:pPr>
        <w:spacing w:after="0" w:line="184"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We have product candidates still under development and are also engaging manufacturing partners in commercial manufacturing activities, and as such clinical and commercial manufacturing site additions and process improvements implemented in the production of our product and product candidates may affect their timely delivery or quality.</w:t>
      </w:r>
    </w:p>
    <w:p>
      <w:pPr>
        <w:spacing w:after="0" w:line="131"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212121"/>
        </w:rPr>
        <w:t>We have limited experience in manufacturing products for clinical or commercial purposes. We currently do not have any manufacturing capabilities of our own. We have established a contract manufacturing relationship for the commercial supply of BRIUMVI with Samsung Biologics. As with any supply program, obtaining materials of sufficient quality and quantity to meet the requirements of the market demand for BRIUMVI and our development programs cannot be guaranteed and we cannot ensure that we will be successful in these endeavors.</w:t>
      </w:r>
    </w:p>
    <w:p>
      <w:pPr>
        <w:spacing w:after="0" w:line="17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212121"/>
        </w:rPr>
        <w:t>To the extent possible and commercially practicable, we plan to develop back-up strategies for raw materials, manufacturing and testing services for our commercial products. Given the long lead times and cost of establishing additional commercial manufacturing sites we expect that we will rely on single contract manufacturers to produce our commercial products under current Good Manufacturing Practice, or cGMP, regulations for many years. Our commercial manufacturing partners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16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212121"/>
        </w:rPr>
        <w:t>We expect to similarly rely on contract manufacturing relationships for our development programs and any products that we may in-license or acquire in the future. However, there can be no assurance that we will be able to successfully contract with such manufacturers on terms acceptable to us, or at all.</w:t>
      </w:r>
    </w:p>
    <w:p>
      <w:pPr>
        <w:spacing w:after="0" w:line="18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212121"/>
        </w:rPr>
        <w:t>Contract manufacturers are subject to ongoing periodic and unannounced inspections by the FDA, the Drug Enforcement Administration (DEA) if applicable, and corresponding state agencies to ensure strict compliance with cGMP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spacing w:after="0" w:line="17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212121"/>
        </w:rPr>
        <w:t>If we need to change manufacturers either before or after commercialization, the FDA and corresponding foreign regulatory agencies may need to approve these new manufacturers in advance, which will involve testing, regulatory submissions, and additional inspections to ensure compliance with FDA, and other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Some of our product and product candidates are currently manufactured in relatively small batches for use in pre-clinical and clinical studies. Process improvements implemented to date have changed, and process improvements in the future may change, the activity and/or analytical profile of the product or product candidates, which may affect the safety and efficacy of the products.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w:t>
      </w:r>
    </w:p>
    <w:p>
      <w:pPr>
        <w:spacing w:after="0" w:line="19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Further, no assurance can be given that the material manufactured from any future optimized processes, if any, for BRIUMVI or any of our product candidates will perform comparably to the product or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Governmental Regulation of Pharmaceutical Industry and Legal Compliance Matters</w:t>
      </w:r>
    </w:p>
    <w:p>
      <w:pPr>
        <w:spacing w:after="0" w:line="20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83" w:lineRule="exact"/>
        <w:rPr>
          <w:sz w:val="20"/>
          <w:szCs w:val="20"/>
          <w:color w:val="auto"/>
        </w:rPr>
      </w:pPr>
    </w:p>
    <w:p>
      <w:pPr>
        <w:jc w:val="both"/>
        <w:ind w:left="60" w:right="59" w:firstLine="710"/>
        <w:spacing w:after="0" w:line="257" w:lineRule="auto"/>
        <w:rPr>
          <w:sz w:val="20"/>
          <w:szCs w:val="20"/>
          <w:color w:val="auto"/>
        </w:rPr>
      </w:pPr>
      <w:r>
        <w:rPr>
          <w:rFonts w:ascii="Arial" w:cs="Arial" w:eastAsia="Arial" w:hAnsi="Arial"/>
          <w:sz w:val="18"/>
          <w:szCs w:val="18"/>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pacing w:after="0" w:line="18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 Although the ACA has been the subject of a number of legislative and litigation challenges since it passed, it is expected that the Biden Administration will seek to strengthen and expand the ACA. We cannot predict what effect, if any, further changes to the ACA would have on our business.</w:t>
      </w:r>
    </w:p>
    <w:p>
      <w:pPr>
        <w:spacing w:after="0" w:line="18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Beyond the ACA, there has been increasing legislative, regulatory and enforcement interest with respect to prescription drug pricing practices. Proposals that may garner bipartisan legislative support or become legislation through reconciliation include adding a cap on out-of-pocket spending under Medicare Part D, authorizing Medicare to negotiate certain drugs covered by Medicare Parts D and B directly with manufacturers, and imposing limits on increases in drug prices. In addition, President Biden may take executive action to introduce new drug pricing models and other drug pricing initiatives. The Biden Administration also may propose substantial changes to the U.S. healthcare system, including expanding government-funded health insurance options. We are uncertain of the impact or outcome of potential Executive Orders, rescission of rules and policy statements, or new legislation, especially any relative impact on the healthcare regulatory and policy landscape, or the impact they may have on our business. We expect drug pricing will continue to be a focus of the Biden Administration.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Most recently, on August 16, 2022, President Biden signed into law the Inflation Reduction Act of 2022 (the Act), which, among other provisions, included several measures intended to lower the cost of prescription drugs and related healthcare reforms. Specifically, the Act authorizes and directs the Department of Health and Human Services (the DHHS) to set drug price caps for certain high-cost Medicare Part B and Part D qualified drugs, with the initial list of drugs to be selected by September 1, 2023, and the first year of maximum price applicability to begin in 2026. The Act further authorizes the DHHS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at $2,000 beginning in 2025. We cannot be sure whether additional or related legislation or rulemaking will be issued or enacted, or what impact, if any, such changes will have on the profitability of any of our drug candidates, if approved for commercial use, in the future.</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At the state level, individual states are experiencing significant economic pressure within their respective Medicaid programs and responding to public concern over the cost of healthcare.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pacing w:after="0" w:line="19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7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Furthermore, legislative and regulatory proposals have been made to expand post-approval requirements, make changes the Orphan Drug Act and related guidance,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or product candidates in certain international markets.</w:t>
      </w:r>
    </w:p>
    <w:p>
      <w:pPr>
        <w:spacing w:after="0" w:line="17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61" w:lineRule="exact"/>
        <w:rPr>
          <w:sz w:val="20"/>
          <w:szCs w:val="20"/>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Our relationships with customers and third-party payors are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5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With the FDA and EMA approval of BRIUMVI, we are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expose us to broadly applicable fraud and abuse and other healthcare laws and regulations that may constrain the business or financial arrangements and relationships through which we market, sell and distribute our product and product candidates for which we obtain marketing approval. Restrictions under applicable federal and state healthcare laws and regulations include the following:</w:t>
      </w:r>
    </w:p>
    <w:p>
      <w:pPr>
        <w:spacing w:after="0" w:line="181" w:lineRule="exact"/>
        <w:rPr>
          <w:sz w:val="20"/>
          <w:szCs w:val="20"/>
          <w:color w:val="auto"/>
        </w:rPr>
      </w:pPr>
    </w:p>
    <w:p>
      <w:pPr>
        <w:jc w:val="both"/>
        <w:ind w:left="1040" w:right="59" w:hanging="315"/>
        <w:spacing w:after="0" w:line="253"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 w:lineRule="exact"/>
        <w:rPr>
          <w:rFonts w:ascii="Arial" w:cs="Arial" w:eastAsia="Arial" w:hAnsi="Arial"/>
          <w:sz w:val="18"/>
          <w:szCs w:val="18"/>
          <w:color w:val="auto"/>
        </w:rPr>
      </w:pPr>
    </w:p>
    <w:p>
      <w:pPr>
        <w:jc w:val="both"/>
        <w:ind w:left="1040" w:right="59" w:hanging="315"/>
        <w:spacing w:after="0" w:line="252"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or the Federal Food, Drug, and Cosmetic Act constitutes a false or fraudulent claim for purposes of the False Claims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1040" w:right="59" w:hanging="315"/>
        <w:spacing w:after="0" w:line="253"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 w:lineRule="exact"/>
        <w:rPr>
          <w:rFonts w:ascii="Arial" w:cs="Arial" w:eastAsia="Arial" w:hAnsi="Arial"/>
          <w:sz w:val="18"/>
          <w:szCs w:val="18"/>
          <w:color w:val="auto"/>
        </w:rPr>
      </w:pPr>
    </w:p>
    <w:p>
      <w:pPr>
        <w:jc w:val="both"/>
        <w:ind w:left="1040" w:right="59" w:hanging="315"/>
        <w:spacing w:after="0" w:line="281" w:lineRule="auto"/>
        <w:tabs>
          <w:tab w:leader="none" w:pos="10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so-called federal “Sunshine Act” under the Affordable Care Act requires manufacturers of drugs, devices, biologics and medical supplies that are reimbursable under Medicare, Medicaid, or the Children’s Health Insurance Program to monitor and report certain information related to payments and other transfers of value to and the ownership and investment interests of physicians and certain other healthcare providers as well as teaching hospitals to the federal government for redisclosure to the public;</w:t>
      </w:r>
    </w:p>
    <w:p>
      <w:pPr>
        <w:spacing w:after="0" w:line="2" w:lineRule="exact"/>
        <w:rPr>
          <w:rFonts w:ascii="Arial" w:cs="Arial" w:eastAsia="Arial" w:hAnsi="Arial"/>
          <w:sz w:val="16"/>
          <w:szCs w:val="16"/>
          <w:color w:val="auto"/>
        </w:rPr>
      </w:pPr>
    </w:p>
    <w:p>
      <w:pPr>
        <w:jc w:val="both"/>
        <w:ind w:left="1040" w:right="59" w:hanging="315"/>
        <w:spacing w:after="0" w:line="250"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 w:lineRule="exact"/>
        <w:rPr>
          <w:rFonts w:ascii="Arial" w:cs="Arial" w:eastAsia="Arial" w:hAnsi="Arial"/>
          <w:sz w:val="18"/>
          <w:szCs w:val="18"/>
          <w:color w:val="auto"/>
        </w:rPr>
      </w:pPr>
    </w:p>
    <w:p>
      <w:pPr>
        <w:ind w:left="1040" w:right="59" w:hanging="315"/>
        <w:spacing w:after="0" w:line="281" w:lineRule="auto"/>
        <w:tabs>
          <w:tab w:leader="none" w:pos="10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 wide range of federal and state consumer protection and unfair competition laws, which broadly regulate marketplace activities and activities that potentially harm consumers including those related to privacy;</w:t>
      </w:r>
    </w:p>
    <w:p>
      <w:pPr>
        <w:spacing w:after="0" w:line="1" w:lineRule="exact"/>
        <w:rPr>
          <w:rFonts w:ascii="Arial" w:cs="Arial" w:eastAsia="Arial" w:hAnsi="Arial"/>
          <w:sz w:val="16"/>
          <w:szCs w:val="16"/>
          <w:color w:val="auto"/>
        </w:rPr>
      </w:pPr>
    </w:p>
    <w:p>
      <w:pPr>
        <w:jc w:val="both"/>
        <w:ind w:left="1020" w:right="59" w:hanging="313"/>
        <w:spacing w:after="0" w:line="260"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Food, Drug, and Cosmetic Act and its implementing regulations, which among other things, strictly regulate drug product marketing and prohibit manufacturers from promotion and marketing of products prior to approval or for uses inconsistent with the FDA-required labeling;</w:t>
      </w:r>
    </w:p>
    <w:p>
      <w:pPr>
        <w:spacing w:after="0" w:line="2" w:lineRule="exact"/>
        <w:rPr>
          <w:rFonts w:ascii="Arial" w:cs="Arial" w:eastAsia="Arial" w:hAnsi="Arial"/>
          <w:sz w:val="18"/>
          <w:szCs w:val="18"/>
          <w:color w:val="auto"/>
        </w:rPr>
      </w:pPr>
    </w:p>
    <w:p>
      <w:pPr>
        <w:jc w:val="both"/>
        <w:ind w:left="1020" w:right="59" w:hanging="322"/>
        <w:spacing w:after="0" w:line="262"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jc w:val="both"/>
        <w:ind w:left="1020" w:right="59" w:hanging="322"/>
        <w:spacing w:after="0" w:line="260"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Drug Supply Chain Security Act (DSCSA), which imposes obligations on entities in the commercial product supply chain, including manufacturers, to identify and track prescription drugs as they are distributed in the U.S.; and</w:t>
      </w:r>
    </w:p>
    <w:p>
      <w:pPr>
        <w:spacing w:after="0" w:line="2" w:lineRule="exact"/>
        <w:rPr>
          <w:rFonts w:ascii="Arial" w:cs="Arial" w:eastAsia="Arial" w:hAnsi="Arial"/>
          <w:sz w:val="18"/>
          <w:szCs w:val="18"/>
          <w:color w:val="auto"/>
        </w:rPr>
      </w:pPr>
    </w:p>
    <w:p>
      <w:pPr>
        <w:jc w:val="both"/>
        <w:ind w:left="1040" w:right="59" w:hanging="315"/>
        <w:spacing w:after="0" w:line="255"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92"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As we continue commercialization of BRIUMVI, we are taking steps to provide patient support services to help patients access the product. Our patient support programs are administered in conjunction with a patient support program vendor and other third parties. There has been heightened governmental scrutiny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Federal Anti-Kickback Statute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68" w:lineRule="exact"/>
        <w:rPr>
          <w:sz w:val="20"/>
          <w:szCs w:val="20"/>
          <w:color w:val="auto"/>
        </w:rPr>
      </w:pPr>
    </w:p>
    <w:p>
      <w:pPr>
        <w:jc w:val="both"/>
        <w:ind w:left="60" w:right="59" w:firstLine="67"/>
        <w:spacing w:after="0" w:line="308" w:lineRule="auto"/>
        <w:rPr>
          <w:sz w:val="20"/>
          <w:szCs w:val="20"/>
          <w:color w:val="auto"/>
        </w:rPr>
      </w:pPr>
      <w:r>
        <w:rPr>
          <w:rFonts w:ascii="Arial" w:cs="Arial" w:eastAsia="Arial" w:hAnsi="Arial"/>
          <w:sz w:val="17"/>
          <w:szCs w:val="17"/>
          <w:b w:val="1"/>
          <w:bCs w:val="1"/>
          <w:i w:val="1"/>
          <w:iCs w:val="1"/>
          <w:color w:val="auto"/>
        </w:rPr>
        <w:t>If we violate applicable data privacy and security laws, we may be subject to penalties, including civil and criminal penalties, damages, fines, reputation harm and the curtailment or restructuring of our operations.</w:t>
      </w:r>
    </w:p>
    <w:p>
      <w:pPr>
        <w:spacing w:after="0" w:line="14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may be subject to privacy and security laws in the various jurisdictions in which we operate, obtain or store personal information. The legislative and regulatory landscape for privacy and data protection continues to evolve, and there has been an increasing focus on privacy and data protection issues with the potential to affect our business.</w:t>
      </w:r>
    </w:p>
    <w:p>
      <w:pPr>
        <w:spacing w:after="0" w:line="14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Within the United States, various federal and state laws regulate the privacy and security of personal information and so may affect our business operations. For example, at the federal level, our operations may be affected by the data privacy and security provisions of HIPAA, as amended by the Health Information Technology for Economic and Clinical Health Act and its implementing regulations. HIPAA affects the ability of healthcare providers and other entities with which we may interact, including clinical trial sites, to disclose patient health information to us. Under Section 5(a) of the Federal Trade Commission Act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States may also impose requirements. For example, the California Consumer Privacy Act (the CCPA), went into effect in January 2020 creating data privacy obligations for covered companies and providing privacy rights to California residents, including the right to opt out of certain disclosures of their information. Colorado, Connecticut, Utah, Virginia and Iowa have also enacted data privacy statutes, and both California and Colorado are also undergoing or have undergone rulemaking procedures to finalize regulatory regimes to supplement their privacy statutes.</w:t>
      </w:r>
    </w:p>
    <w:p>
      <w:pPr>
        <w:spacing w:after="0" w:line="17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Numerous other jurisdictions regulate the privacy and security of personally identifiable data. For example, the processing of personal data in the European Economic Area (the EEA), is subject to the General Data Protection Regulation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EC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6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2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or similar anti-bribery laws.</w:t>
      </w:r>
    </w:p>
    <w:p>
      <w:pPr>
        <w:spacing w:after="0" w:line="17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including BRIUMVI, could be subject to restrictions or withdrawal from the market and we may be subject to penalties if we fail to comply with regulatory requirements or if we experience unanticipated problems with products.</w:t>
      </w:r>
    </w:p>
    <w:p>
      <w:pPr>
        <w:spacing w:after="0" w:line="18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EMA and comparable regulatory authorities. These requirements include submissions of safety and other post-marketing information and reports, registration requirements, cGMP requirements relating to quality control, quality assurance and corresponding maintenance of records and documents, and requirements regarding promotional interactions with healthcare professionals.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Failure to comply with these regulatory requirements or later discovery of previously unknown problems with products, manufacturers, or manufacturing processes, may result in actions such as:</w:t>
      </w:r>
    </w:p>
    <w:p>
      <w:pPr>
        <w:spacing w:after="0" w:line="157" w:lineRule="exact"/>
        <w:rPr>
          <w:sz w:val="20"/>
          <w:szCs w:val="20"/>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11" w:lineRule="exact"/>
        <w:rPr>
          <w:rFonts w:ascii="Arial" w:cs="Arial" w:eastAsia="Arial" w:hAnsi="Arial"/>
          <w:sz w:val="18"/>
          <w:szCs w:val="18"/>
          <w:color w:val="auto"/>
        </w:rPr>
      </w:pP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ind w:left="1040" w:hanging="315"/>
        <w:spacing w:after="0" w:line="21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letters;</w:t>
      </w: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ind w:left="1040" w:right="59" w:hanging="315"/>
        <w:spacing w:after="0" w:line="226"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spacing w:after="0" w:line="1" w:lineRule="exact"/>
        <w:rPr>
          <w:rFonts w:ascii="Arial" w:cs="Arial" w:eastAsia="Arial" w:hAnsi="Arial"/>
          <w:sz w:val="18"/>
          <w:szCs w:val="18"/>
          <w:color w:val="auto"/>
        </w:rPr>
      </w:pP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recalls;</w:t>
      </w:r>
    </w:p>
    <w:p>
      <w:pPr>
        <w:ind w:left="1040" w:hanging="315"/>
        <w:spacing w:after="0" w:line="21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restitutions, or disgorgement of profits or revenues;</w:t>
      </w: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ind w:left="1040" w:hanging="315"/>
        <w:spacing w:after="0" w:line="219"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 or detentions;</w:t>
      </w:r>
    </w:p>
    <w:p>
      <w:pPr>
        <w:ind w:left="1040" w:hanging="315"/>
        <w:spacing w:after="0" w:line="23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20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In addition, the FDA’s or EMA’s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57"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or any of our contract manufacturers and suppliers fail to comply with environmental, health and safety laws and regulations, we could become subject to fines or penalties or incur costs that could seriously harm our business.</w:t>
      </w:r>
    </w:p>
    <w:p>
      <w:pPr>
        <w:spacing w:after="0" w:line="10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p>
      <w:pPr>
        <w:spacing w:after="0" w:line="15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order to submit an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and commercialization efforts.</w:t>
      </w:r>
    </w:p>
    <w:p>
      <w:pPr>
        <w:spacing w:after="0" w:line="178"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or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spacing w:after="0" w:line="39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4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2" w:lineRule="exact"/>
        <w:rPr>
          <w:sz w:val="20"/>
          <w:szCs w:val="20"/>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or product candidates. As a result, we believe that our financial results and the commercial prospects for our product or product candidates in the subject indication would be harmed, our costs could increase and our ability to generate revenue could be delayed.</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contract with third parties for the manufacture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5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For example, we currently rely on Samsung Biologics for clinical and commercial supply of BRIUMVI. In addition, we utilize multiple vendors who provide testing services.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492"/>
        <w:spacing w:after="0" w:line="285" w:lineRule="auto"/>
        <w:rPr>
          <w:sz w:val="20"/>
          <w:szCs w:val="20"/>
          <w:color w:val="auto"/>
        </w:rPr>
      </w:pPr>
      <w:r>
        <w:rPr>
          <w:rFonts w:ascii="Arial" w:cs="Arial" w:eastAsia="Arial" w:hAnsi="Arial"/>
          <w:sz w:val="16"/>
          <w:szCs w:val="16"/>
          <w:color w:val="auto"/>
        </w:rPr>
        <w:t>The facilities used by contract manufacturers to manufacture, test, package, and label our product and product candidates typically undergo periodic inspections by the FDA or a comparable foreign regulatory authority to verify compliance with applicable cGMP regulations. Additional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or others’ satisfaction in a timely manner during the review of any marketing applications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reliance on third-party manufacturers entails additional risks, including:</w:t>
      </w:r>
    </w:p>
    <w:p>
      <w:pPr>
        <w:spacing w:after="0" w:line="225" w:lineRule="exact"/>
        <w:rPr>
          <w:sz w:val="20"/>
          <w:szCs w:val="20"/>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of the manufacturing, supply or quality agreement by the third party;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know-how; and</w:t>
      </w:r>
    </w:p>
    <w:p>
      <w:pPr>
        <w:spacing w:after="0" w:line="32" w:lineRule="exact"/>
        <w:rPr>
          <w:rFonts w:ascii="Arial" w:cs="Arial" w:eastAsia="Arial" w:hAnsi="Arial"/>
          <w:sz w:val="16"/>
          <w:szCs w:val="16"/>
          <w:color w:val="auto"/>
        </w:rPr>
      </w:pPr>
    </w:p>
    <w:p>
      <w:pPr>
        <w:ind w:left="1040" w:right="59" w:hanging="315"/>
        <w:spacing w:after="0" w:line="260"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8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Moreover, our current long-term supply agreement for BRIUMVI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 In negotiating our supply agreement for BRIUMVI,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spacing w:after="0" w:line="18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products may adversely affect our clinical development program, our ability to commercialize any drugs that receive marketing approval on a timely and competitive basis, and our future profit margins.</w:t>
      </w:r>
    </w:p>
    <w:p>
      <w:pPr>
        <w:spacing w:after="0" w:line="17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and for commercial demand for BRIUMVI and expect to continue to do so for any other potential commercial products.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spacing w:after="0" w:line="165"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and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public health emergencies such as the COVID-19 pandemic or natural disasters that may cause those suppliers to stop work for a period of time or lead to a sudden increase in demand for selected materials resulting in short-term unavailability of such materials. If any of our suppliers ceases its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8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b w:val="1"/>
          <w:bCs w:val="1"/>
          <w:i w:val="1"/>
          <w:iCs w:val="1"/>
          <w:color w:val="auto"/>
        </w:rPr>
        <w:t>Because we have in-licensed BRIUMVI and our product candidates from third parties, any dispute with or non-performance by our licensors will adversely affect our ability to develop and commercialize the applicable product or product candidate.</w:t>
      </w:r>
    </w:p>
    <w:p>
      <w:pPr>
        <w:spacing w:after="0" w:line="15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Because we license BRIUMVI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62" w:lineRule="exact"/>
        <w:rPr>
          <w:sz w:val="20"/>
          <w:szCs w:val="20"/>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 w:lineRule="exact"/>
        <w:rPr>
          <w:rFonts w:ascii="Arial" w:cs="Arial" w:eastAsia="Arial" w:hAnsi="Arial"/>
          <w:sz w:val="18"/>
          <w:szCs w:val="18"/>
          <w:color w:val="auto"/>
        </w:rPr>
      </w:pPr>
    </w:p>
    <w:p>
      <w:pPr>
        <w:ind w:left="1040" w:right="59" w:hanging="315"/>
        <w:spacing w:after="0" w:line="226"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license agreement;</w:t>
      </w:r>
    </w:p>
    <w:p>
      <w:pPr>
        <w:spacing w:after="0" w:line="1" w:lineRule="exact"/>
        <w:rPr>
          <w:rFonts w:ascii="Arial" w:cs="Arial" w:eastAsia="Arial" w:hAnsi="Arial"/>
          <w:sz w:val="18"/>
          <w:szCs w:val="18"/>
          <w:color w:val="auto"/>
        </w:rPr>
      </w:pPr>
    </w:p>
    <w:p>
      <w:pPr>
        <w:ind w:left="1040" w:right="59" w:hanging="315"/>
        <w:spacing w:after="0" w:line="226"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 and obligations associated with sublicensing;</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18" w:lineRule="exact"/>
        <w:rPr>
          <w:rFonts w:ascii="Arial" w:cs="Arial" w:eastAsia="Arial" w:hAnsi="Arial"/>
          <w:sz w:val="16"/>
          <w:szCs w:val="16"/>
          <w:color w:val="auto"/>
        </w:rPr>
      </w:pPr>
    </w:p>
    <w:p>
      <w:pPr>
        <w:ind w:left="1040" w:right="59" w:hanging="315"/>
        <w:spacing w:after="0" w:line="226"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96"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7"/>
          <w:szCs w:val="17"/>
          <w:color w:val="auto"/>
        </w:rPr>
        <w:t>In addition, the agreements under which we currently license BRIUMVI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7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70" w:lineRule="exact"/>
        <w:rPr>
          <w:sz w:val="20"/>
          <w:szCs w:val="20"/>
          <w:color w:val="auto"/>
        </w:rPr>
      </w:pPr>
    </w:p>
    <w:p>
      <w:pPr>
        <w:jc w:val="both"/>
        <w:ind w:left="60" w:right="59" w:firstLine="648"/>
        <w:spacing w:after="0" w:line="265" w:lineRule="auto"/>
        <w:rPr>
          <w:sz w:val="20"/>
          <w:szCs w:val="20"/>
          <w:color w:val="auto"/>
        </w:rPr>
      </w:pPr>
      <w:r>
        <w:rPr>
          <w:rFonts w:ascii="Arial" w:cs="Arial" w:eastAsia="Arial" w:hAnsi="Arial"/>
          <w:sz w:val="16"/>
          <w:szCs w:val="16"/>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5"/>
          <w:szCs w:val="15"/>
          <w:b w:val="1"/>
          <w:bCs w:val="1"/>
          <w:i w:val="1"/>
          <w:iCs w:val="1"/>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spacing w:after="0" w:line="12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July 28, 2023 , we entered into a Commercialization Agreement (the Commercialization Agreement) with Neuraxpharm Pharmaceuticals, S.L. (Neuraxpharm), pursuant to which Neuraxpharm has the right to commercialize BRIUMVI in certain markets outside of the U.S. In addition to the Commercialization Agreement, we may enter into collaboration arrangements with other collaboration and commercialization partners.</w:t>
      </w:r>
    </w:p>
    <w:p>
      <w:pPr>
        <w:spacing w:after="0" w:line="164"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We are subject to a number of risks associated with our dependence on our relationships with our collaboration and commercialization partners, including:</w:t>
      </w:r>
    </w:p>
    <w:p>
      <w:pPr>
        <w:spacing w:after="0" w:line="144" w:lineRule="exact"/>
        <w:rPr>
          <w:sz w:val="20"/>
          <w:szCs w:val="20"/>
          <w:color w:val="auto"/>
        </w:rPr>
      </w:pPr>
    </w:p>
    <w:p>
      <w:pPr>
        <w:ind w:left="720" w:right="439" w:hanging="319"/>
        <w:spacing w:after="0" w:line="235"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collaboration and commercialization partners may terminate their collaboration or commercialization agreements with us for reasons specified in the collaboration or commercialization agreements, including our breach;</w:t>
      </w:r>
    </w:p>
    <w:p>
      <w:pPr>
        <w:spacing w:after="0" w:line="1" w:lineRule="exact"/>
        <w:rPr>
          <w:rFonts w:ascii="Arial" w:cs="Arial" w:eastAsia="Arial" w:hAnsi="Arial"/>
          <w:sz w:val="18"/>
          <w:szCs w:val="18"/>
          <w:color w:val="auto"/>
        </w:rPr>
      </w:pPr>
    </w:p>
    <w:p>
      <w:pPr>
        <w:ind w:left="720" w:right="179" w:hanging="319"/>
        <w:spacing w:after="0" w:line="230"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was to terminate its agreement with us;</w:t>
      </w:r>
    </w:p>
    <w:p>
      <w:pPr>
        <w:spacing w:after="0" w:line="3" w:lineRule="exact"/>
        <w:rPr>
          <w:rFonts w:ascii="Arial" w:cs="Arial" w:eastAsia="Arial" w:hAnsi="Arial"/>
          <w:sz w:val="18"/>
          <w:szCs w:val="18"/>
          <w:color w:val="auto"/>
        </w:rPr>
      </w:pPr>
    </w:p>
    <w:p>
      <w:pPr>
        <w:ind w:left="720" w:right="299" w:hanging="319"/>
        <w:spacing w:after="0" w:line="22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decisions by a collaboration or commercialization partner regarding the amount and timing of resource expenditures for the commercialization, distribution, and sale of our drug products;</w:t>
      </w:r>
    </w:p>
    <w:p>
      <w:pPr>
        <w:spacing w:after="0" w:line="1" w:lineRule="exact"/>
        <w:rPr>
          <w:rFonts w:ascii="Arial" w:cs="Arial" w:eastAsia="Arial" w:hAnsi="Arial"/>
          <w:sz w:val="18"/>
          <w:szCs w:val="18"/>
          <w:color w:val="auto"/>
        </w:rPr>
      </w:pPr>
    </w:p>
    <w:p>
      <w:pPr>
        <w:ind w:left="720" w:right="199" w:hanging="319"/>
        <w:spacing w:after="0" w:line="229"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a collaboration or commercialization partner to perform its duties under its agreement with us (e.g., its failure to comply with regulatory requirements which may disrupt its performance of its obligations under the agreement with us);</w:t>
      </w:r>
    </w:p>
    <w:p>
      <w:pPr>
        <w:spacing w:after="0" w:line="1" w:lineRule="exact"/>
        <w:rPr>
          <w:rFonts w:ascii="Arial" w:cs="Arial" w:eastAsia="Arial" w:hAnsi="Arial"/>
          <w:sz w:val="18"/>
          <w:szCs w:val="18"/>
          <w:color w:val="auto"/>
        </w:rPr>
      </w:pPr>
    </w:p>
    <w:p>
      <w:pPr>
        <w:ind w:left="720" w:right="79" w:hanging="319"/>
        <w:spacing w:after="0" w:line="229"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p>
      <w:pPr>
        <w:spacing w:after="0" w:line="1" w:lineRule="exact"/>
        <w:rPr>
          <w:rFonts w:ascii="Arial" w:cs="Arial" w:eastAsia="Arial" w:hAnsi="Arial"/>
          <w:sz w:val="18"/>
          <w:szCs w:val="18"/>
          <w:color w:val="auto"/>
        </w:rPr>
      </w:pPr>
    </w:p>
    <w:p>
      <w:pPr>
        <w:ind w:left="720" w:right="79" w:hanging="319"/>
        <w:spacing w:after="0" w:line="230"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a collaboration or commercialization partner to timely deliver accurate and complete medical or clinical information to us or to maintain adequate and effective internal control over its pharmacovigilance activities and reporting may negatively affect our ability to meet our reporting obligations as required by the FDA and other regulatory bodies;</w:t>
      </w:r>
    </w:p>
    <w:p>
      <w:pPr>
        <w:spacing w:after="0" w:line="3" w:lineRule="exact"/>
        <w:rPr>
          <w:rFonts w:ascii="Arial" w:cs="Arial" w:eastAsia="Arial" w:hAnsi="Arial"/>
          <w:sz w:val="18"/>
          <w:szCs w:val="18"/>
          <w:color w:val="auto"/>
        </w:rPr>
      </w:pPr>
    </w:p>
    <w:p>
      <w:pPr>
        <w:ind w:left="720" w:right="179" w:hanging="319"/>
        <w:spacing w:after="0" w:line="22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collaboration or commercialization partners’ and their affiliates’ development and commercialization of products that compete directly or indirectly with our products or product candidates;</w:t>
      </w:r>
    </w:p>
    <w:p>
      <w:pPr>
        <w:spacing w:after="0" w:line="1" w:lineRule="exact"/>
        <w:rPr>
          <w:rFonts w:ascii="Arial" w:cs="Arial" w:eastAsia="Arial" w:hAnsi="Arial"/>
          <w:sz w:val="18"/>
          <w:szCs w:val="18"/>
          <w:color w:val="auto"/>
        </w:rPr>
      </w:pPr>
    </w:p>
    <w:p>
      <w:pPr>
        <w:ind w:left="720" w:right="139" w:hanging="319"/>
        <w:spacing w:after="0" w:line="22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decisions by a collaboration or commercialization partner to prioritize other of its current or future products more highly than our drug products or our product candidates when it performs its duties;</w:t>
      </w:r>
    </w:p>
    <w:p>
      <w:pPr>
        <w:spacing w:after="0" w:line="1" w:lineRule="exact"/>
        <w:rPr>
          <w:rFonts w:ascii="Arial" w:cs="Arial" w:eastAsia="Arial" w:hAnsi="Arial"/>
          <w:sz w:val="18"/>
          <w:szCs w:val="18"/>
          <w:color w:val="auto"/>
        </w:rPr>
      </w:pPr>
    </w:p>
    <w:p>
      <w:pPr>
        <w:ind w:left="720" w:right="279" w:hanging="319"/>
        <w:spacing w:after="0" w:line="234"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possible disagreements with a collaboration or commercialization partner as to the timing, nature, and extent of our development plans or distribution and sales and marketing plans; and</w:t>
      </w:r>
    </w:p>
    <w:p>
      <w:pPr>
        <w:spacing w:after="0" w:line="1" w:lineRule="exact"/>
        <w:rPr>
          <w:rFonts w:ascii="Arial" w:cs="Arial" w:eastAsia="Arial" w:hAnsi="Arial"/>
          <w:sz w:val="18"/>
          <w:szCs w:val="18"/>
          <w:color w:val="auto"/>
        </w:rPr>
      </w:pPr>
    </w:p>
    <w:p>
      <w:pPr>
        <w:ind w:left="720" w:right="239" w:hanging="319"/>
        <w:spacing w:after="0" w:line="231"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financial returns to us, if any, under our collaboration agreement with Neuraxpharm depends in large part on the achievement of milestones and generation of product sales, and if Neuraxpharm fails to perform or satisfy their obligations under the collaboration agreements, the development and commercialization of our drug products could be delayed, hindered or may not occur and our business and prospects could be materially and adversely affected.</w:t>
      </w:r>
    </w:p>
    <w:p>
      <w:pPr>
        <w:spacing w:after="0" w:line="1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6"/>
          <w:szCs w:val="16"/>
          <w:color w:val="auto"/>
        </w:rPr>
        <w:t>While the Commercialization Agreement contains provisions that allow for dispute resolution, arbitration, and/or termination of the agreement by the Company in the event of a breach by Neuraxpharm, there can be no assurance that the Company and Neuraxpharm will agree on a cure for such a breach, and in the event of termination, there can be no assurance that the Company would be appropriately compensated and/or recover any losses sustained. Due to these factors and other possible disagreements with our collaboration and commercialization partners, we may be delayed or prevented from further developing, manufacturing or commercializing our drug products or our product candidates or we may become involved in litigation or arbitration, which would be time consuming and expensive.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7"/>
          <w:szCs w:val="17"/>
          <w:color w:val="auto"/>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w:t>
      </w:r>
    </w:p>
    <w:p>
      <w:pPr>
        <w:spacing w:after="0" w:line="159"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4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64" w:lineRule="exact"/>
        <w:rPr>
          <w:sz w:val="20"/>
          <w:szCs w:val="20"/>
          <w:color w:val="auto"/>
        </w:rPr>
      </w:pPr>
    </w:p>
    <w:p>
      <w:pPr>
        <w:jc w:val="both"/>
        <w:ind w:left="60" w:right="59" w:firstLine="486"/>
        <w:spacing w:after="0" w:line="264"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EMA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50" w:lineRule="exact"/>
        <w:rPr>
          <w:sz w:val="20"/>
          <w:szCs w:val="20"/>
          <w:color w:val="auto"/>
        </w:rPr>
      </w:pPr>
    </w:p>
    <w:p>
      <w:pPr>
        <w:jc w:val="both"/>
        <w:ind w:left="60" w:right="59" w:firstLine="486"/>
        <w:spacing w:after="0" w:line="238" w:lineRule="auto"/>
        <w:rPr>
          <w:sz w:val="20"/>
          <w:szCs w:val="20"/>
          <w:color w:val="auto"/>
        </w:rPr>
      </w:pPr>
      <w:r>
        <w:rPr>
          <w:rFonts w:ascii="Arial" w:cs="Arial" w:eastAsia="Arial" w:hAnsi="Arial"/>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05" w:lineRule="exact"/>
        <w:rPr>
          <w:sz w:val="20"/>
          <w:szCs w:val="20"/>
          <w:color w:val="auto"/>
        </w:rPr>
      </w:pPr>
    </w:p>
    <w:p>
      <w:pPr>
        <w:jc w:val="both"/>
        <w:ind w:left="60" w:right="59" w:firstLine="486"/>
        <w:spacing w:after="0" w:line="271"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their sales.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46"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6"/>
          <w:szCs w:val="16"/>
          <w:color w:val="auto"/>
        </w:rPr>
        <w:t>Our commercial success in part depends on obtaining and maintaining patent protection and trade secret protection in the United States and other countries with respect to any product we commercialize, including BRIUMVI,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jc w:val="both"/>
        <w:ind w:left="60" w:right="59"/>
        <w:spacing w:after="0" w:line="324" w:lineRule="auto"/>
        <w:rPr>
          <w:sz w:val="20"/>
          <w:szCs w:val="20"/>
          <w:color w:val="auto"/>
        </w:rPr>
      </w:pPr>
      <w:r>
        <w:rPr>
          <w:rFonts w:ascii="Arial" w:cs="Arial" w:eastAsia="Arial" w:hAnsi="Arial"/>
          <w:sz w:val="16"/>
          <w:szCs w:val="16"/>
          <w:color w:val="auto"/>
        </w:rPr>
        <w:t>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9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6"/>
          <w:szCs w:val="16"/>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patent rights to the same extent as the patent laws of the United States.</w:t>
      </w:r>
    </w:p>
    <w:p>
      <w:pPr>
        <w:spacing w:after="0" w:line="155" w:lineRule="exact"/>
        <w:rPr>
          <w:sz w:val="20"/>
          <w:szCs w:val="20"/>
          <w:color w:val="auto"/>
        </w:rPr>
      </w:pPr>
    </w:p>
    <w:p>
      <w:pPr>
        <w:jc w:val="both"/>
        <w:ind w:left="60" w:right="59" w:firstLine="648"/>
        <w:spacing w:after="0" w:line="234" w:lineRule="auto"/>
        <w:rPr>
          <w:sz w:val="20"/>
          <w:szCs w:val="20"/>
          <w:color w:val="auto"/>
        </w:rPr>
      </w:pPr>
      <w:r>
        <w:rPr>
          <w:rFonts w:ascii="Arial" w:cs="Arial" w:eastAsia="Arial" w:hAnsi="Arial"/>
          <w:sz w:val="18"/>
          <w:szCs w:val="18"/>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patent portfolio may not provide us with adequate and continuing patent protection sufficient to exclude others from commercializing drugs similar or identical to our product or product candidates, including generic versions of such drugs.</w:t>
      </w:r>
    </w:p>
    <w:p>
      <w:pPr>
        <w:spacing w:after="0" w:line="167"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6"/>
          <w:szCs w:val="16"/>
          <w:color w:val="auto"/>
        </w:rPr>
        <w:t>Currently, we have several granted patents in the United States and EU, among other countries, and several pending patent applications that have not yet been issued or have been issued in certain jurisdictions but not all jurisdictions in which such applications have been filed. There can be no guarantee that any pending patent applications, nor any patent applications filed in the future will be granted in any or all jurisdictions in which they were filed, or that all patent claims initially submitted for examination in such patent applications will be allowed in the patent that is eventually granted, if at all. The patent prosecution process is subject to numerous risks and uncertainties, and there can be no assurance of the scope of patent claims that will ultimately be allowed, if at all, and no assurance that we or our partners will be successful in protecting our product and product candidates by obtaining and defending patents.</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risks and uncertainties include the following:</w:t>
      </w:r>
    </w:p>
    <w:p>
      <w:pPr>
        <w:spacing w:after="0" w:line="198" w:lineRule="exact"/>
        <w:rPr>
          <w:sz w:val="20"/>
          <w:szCs w:val="20"/>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issue as patent;</w:t>
      </w:r>
    </w:p>
    <w:p>
      <w:pPr>
        <w:spacing w:after="0" w:line="23" w:lineRule="exact"/>
        <w:rPr>
          <w:rFonts w:ascii="Arial" w:cs="Arial" w:eastAsia="Arial" w:hAnsi="Arial"/>
          <w:sz w:val="18"/>
          <w:szCs w:val="18"/>
          <w:color w:val="auto"/>
        </w:rPr>
      </w:pPr>
    </w:p>
    <w:p>
      <w:pPr>
        <w:ind w:left="1040" w:right="59" w:hanging="315"/>
        <w:spacing w:after="0" w:line="250"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1040" w:right="59" w:hanging="315"/>
        <w:spacing w:after="0" w:line="250"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first-to-invent to a first-to-file system. If we do not win the filing race, we will not be entitled to inventive priority;</w:t>
      </w:r>
    </w:p>
    <w:p>
      <w:pPr>
        <w:jc w:val="both"/>
        <w:ind w:left="1040" w:right="59" w:hanging="315"/>
        <w:spacing w:after="0" w:line="265"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competitors, many of whom have substantially greater resources than we do, and many of whom have made significant investments in competing technologies, may seek, or may already have obtained, patents that will limit, interfere with, or eliminate our ability to file new patent applications covering our products, or make, use, and/or sell our products either in the United States or in international markets;</w:t>
      </w:r>
    </w:p>
    <w:p>
      <w:pPr>
        <w:jc w:val="both"/>
        <w:ind w:left="1040" w:right="59" w:hanging="315"/>
        <w:spacing w:after="0" w:line="265"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which could limit our ability to fully monetize our intellectual property rights; and</w:t>
      </w:r>
    </w:p>
    <w:p>
      <w:pPr>
        <w:jc w:val="both"/>
        <w:ind w:left="1040" w:right="59" w:hanging="315"/>
        <w:spacing w:after="0" w:line="255"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of the United States, allowing foreign competitors to exploit such less restrictive patent laws to make, use, and/or sell competing products in their respective jurisdictions.</w:t>
      </w:r>
    </w:p>
    <w:p>
      <w:pPr>
        <w:spacing w:after="0" w:line="19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If we are not able to obtain patents that protect our product and product candidates, it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USPTO can be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our patent applications may change or be modified throughout the patent prosecution process, leaving our product(s) or process(es) without patent protection. Moreover, in some circumstances, we do not have the right to control the preparation, filing and prosecution of patent applications, or to maintain the patents, that cover technology licensed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our product and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joint development projects, partnerships, or strategic alternatives, we may be required to consult with or cede control to collaborators regarding the prosecution, maintenance and enforcement of patents licensed or developed under such collaborations. Therefore, such patents and patent applications may not be prosecuted and enforced in a manner consistent with the best interests of our business.</w:t>
      </w:r>
    </w:p>
    <w:p>
      <w:pPr>
        <w:spacing w:after="0" w:line="178"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patent laws of foreign countries may not protect our patent rights to the same extent as the laws of the United States, and we may fail to seek or obtain patent protection in all major markets. For example, European patent law restricts the patentability of methods of treatment of the human body more than United States patent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9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the transition from a first-to-invent system to a first-to-file system and changes to the way issued patents are challenged. The formation of the Patent Trial and Appeal Board now provides a quicker and less expensive process for challenging issued patents.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patents or patent applications owned or filed by us, or by our licensors or other collaborators, may be affected by third-party pre-issuance submissions of prior art to the USPTO, or by opposition, derivation, reexamination, inter parties review, post-grant review or interference proceedings.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products or product candidates.</w:t>
      </w:r>
    </w:p>
    <w:p>
      <w:pPr>
        <w:spacing w:after="0" w:line="16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9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Even if our patent applications issue as patents, and they are unchallenged, our issued patents and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6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for the purpose of assigning or granting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7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6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do not obtain patent term extensions under the Hatch-Waxman Act and similar foreign legislation extending the terms of our licensed patents and any future patents we may own, our business may be materially harmed.</w:t>
      </w:r>
    </w:p>
    <w:p>
      <w:pPr>
        <w:spacing w:after="0" w:line="12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Act. The Hatch-Waxman Act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9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what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9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typically are very expensive, time-consuming and disruptive to our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asserted patents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8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the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Competing drugs may also be sold in other countries in which our patent coverage might not exist or be as strong as in the United States. If we lose a foreign patent lawsuit, alleging our infringement of a competitor’s patents, we could be prevented from marketing our drugs in one or more foreign countries. Any of these outcomes would have a material adverse effect on our business.</w:t>
      </w:r>
    </w:p>
    <w:p>
      <w:pPr>
        <w:spacing w:after="0" w:line="18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2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7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or product candidates or proprietary technologies may infringe. Similarly, there may be issued patents relevant to our product or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86" w:lineRule="exact"/>
        <w:rPr>
          <w:sz w:val="20"/>
          <w:szCs w:val="20"/>
          <w:color w:val="auto"/>
        </w:rPr>
      </w:pPr>
    </w:p>
    <w:p>
      <w:pPr>
        <w:jc w:val="both"/>
        <w:ind w:left="60" w:right="59" w:firstLine="486"/>
        <w:spacing w:after="0" w:line="271" w:lineRule="auto"/>
        <w:rPr>
          <w:sz w:val="20"/>
          <w:szCs w:val="20"/>
          <w:color w:val="auto"/>
        </w:rPr>
      </w:pPr>
      <w:r>
        <w:rPr>
          <w:rFonts w:ascii="Arial" w:cs="Arial" w:eastAsia="Arial" w:hAnsi="Arial"/>
          <w:sz w:val="17"/>
          <w:szCs w:val="17"/>
          <w:color w:val="auto"/>
        </w:rPr>
        <w:t>We are aware of certain patents that may pose issues for our commercialization of our product and product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7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No assurance can be given that patents issued to third parties do not exist, have not been filed, or could not be filed or issued, which contain claims covering their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5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Other products or product candidates that we may in-license or acquire could be subject to similar risks and uncertainties.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in which case our business could be harmed, possibly materially. For example, we engage extensively with third parties, including academic institutions, to conduct non-clinical and clinical research on our product and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consuming, and the outcome is unpredictable. In addition, courts outside the United States are sometimes less willing to protect trade secrets.</w:t>
      </w:r>
    </w:p>
    <w:p>
      <w:pPr>
        <w:spacing w:after="0" w:line="17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Risks Related to Our Business Organization and Governance, Strategy, Employees and Growth Management</w:t>
      </w:r>
    </w:p>
    <w:p>
      <w:pPr>
        <w:spacing w:after="0" w:line="24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commercial, and clinical development personnel, we may be unable to successfully develop or commercialize our product and product candidates.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In January and April 2022, following the withdrawal of the BLA and sNDA for U2 and the withdrawal of UKONIQ from sale, we engaged in streamlining efforts across the Company, reducing headcount and external expenses, primarily related to our oncology commercialization and research and development functions. Those streamlining efforts have made and may continue to make retention of key personnel more difficult.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w:t>
      </w:r>
    </w:p>
    <w:p>
      <w:pPr>
        <w:spacing w:after="0" w:line="182"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70"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6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As of July 25, 2023, we had 244 full-time employees. To manage our anticipated future growth and focus in neurology and immunology,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neurology and immunology,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spacing w:after="0" w:line="16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jc w:val="both"/>
        <w:ind w:left="60" w:right="59"/>
        <w:spacing w:after="0" w:line="324" w:lineRule="auto"/>
        <w:rPr>
          <w:sz w:val="20"/>
          <w:szCs w:val="20"/>
          <w:color w:val="auto"/>
        </w:rPr>
      </w:pPr>
      <w:r>
        <w:rPr>
          <w:rFonts w:ascii="Arial" w:cs="Arial" w:eastAsia="Arial" w:hAnsi="Arial"/>
          <w:sz w:val="16"/>
          <w:szCs w:val="16"/>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3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6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3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2022, we had federal net operating loss carryforwards of approximately $1.3 billion,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Coronavirus Aid, Relief, and Economic Security (CARES) Act was signed by President Trump.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w:t>
      </w:r>
    </w:p>
    <w:p>
      <w:pPr>
        <w:spacing w:after="0" w:line="171"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7"/>
          <w:szCs w:val="17"/>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48"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7"/>
          <w:szCs w:val="17"/>
          <w:color w:val="auto"/>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8" w:lineRule="exact"/>
        <w:rPr>
          <w:sz w:val="20"/>
          <w:szCs w:val="20"/>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spacing w:after="0" w:line="13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Despite the implementation of security measures, our internal information technology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even more so due to the conflict between Russia and Ukraine.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18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rising inflation, restricted credit, poor liquidity, reduced corporate profitability, debt, equity and foreign exchange market volatility, bankruptcies, rising interest rates, unemployment rates, and overall uncertainty with respect to the economy. Increasing interest rates in the United States to respond to inflationary pressures and market volatility, as well as the government closure of Silicon Valley Bank and Signature Bank and liquidity concerns at other financial institutions, could negatively impact our results of operations and financial condition. In addition, increased interest rates or a general economic downturn or recession could reduce our ability to raise additional capital when needed on acceptable terms, if at all. A weak or declining economy, supply disruptions or international trade disputes could also strain our third-party suppliers, possibly resulting in supply disruption.</w:t>
      </w:r>
    </w:p>
    <w:p>
      <w:pPr>
        <w:spacing w:after="0" w:line="16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Furthermore, the COVID-19 pandemic has caused extreme volatility and disruptions in the capital and credit markets. Likewise, the capital and credit markets may be adversely affected by the conflict between Russia and Ukraine, the possibility of a wider European or global conflict, and global sanctions imposed in response thereto. Other international events such as trade disputes, separatist movements, leadership changes and political and military conflicts could also adversely affect global financial activity and markets and could negatively affect the U.S. economy. These conditions could result in decreased economic activity, heightened risk of cyberattacks, and inflation, as well as impact our ability to raise capital. Additionally, the Federal Reserve Board (FRB) and other major central banks have begun the process of removing or reducing monetary accommodation, increasing the risk of recession and may also negatively impact asset values and credit spreads that were impacted by extraordinary monetary stimulus.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marketed product and services. We cannot anticipate all of the ways in which the foregoing, and the current economic climate and financial market conditions,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84"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371"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44" w:lineRule="exact"/>
        <w:rPr>
          <w:sz w:val="20"/>
          <w:szCs w:val="20"/>
          <w:color w:val="auto"/>
        </w:rPr>
      </w:pPr>
    </w:p>
    <w:p>
      <w:pPr>
        <w:jc w:val="both"/>
        <w:ind w:left="60" w:right="59" w:firstLine="648"/>
        <w:spacing w:after="0" w:line="250"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33" w:lineRule="exact"/>
        <w:rPr>
          <w:sz w:val="20"/>
          <w:szCs w:val="20"/>
          <w:color w:val="auto"/>
        </w:rPr>
      </w:pPr>
    </w:p>
    <w:p>
      <w:pPr>
        <w:jc w:val="both"/>
        <w:ind w:left="60" w:right="59" w:firstLine="648"/>
        <w:spacing w:after="0" w:line="234"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6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6"/>
          <w:szCs w:val="16"/>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7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on our business if new variants continue to circulate and government control measures are reinstated.</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COVID-19 pandemic presented substantial public health challenges and negatively impacted the global economy, global supply chains, and the global healthcare system, including the conduct of clinical trials in the U.S. and other parts of the world. New variants continue to circulate, and uncertainty remains as to whether restrictions that have been lifted will be reinstated or new measures will be implemented to address the spread of new variants. The extent to which the COVID-19 pandemic continues to impact our business and operating results will depend on future developments that cannot be accurately predicted. Should the COVID-19 pandemic worsen and government restrictions be reinstated, our business operations could be materially delayed or interrupted. For instance, our supply chain may be disrupted; health authority inspections of clinical sites, marketing application sponsor, CROs, or manufacturing facilities or review of our regulatory submissions may be delayed; and our commercialization efforts may be impacted.</w:t>
      </w:r>
    </w:p>
    <w:p>
      <w:pPr>
        <w:spacing w:after="0" w:line="16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addition, we may encounter delays in our clinical development program. The majority of our clinical trials involve patients with multiple sclerosis who may be at higher risk of infection. These patients are thus more likely to be subject to travel restrictions and self-quarantining and may be more likely to withdraw from our clinical trials or unable to complete study assessments, which may affect our ability to meet our projected timelines. Further, patients and healthcare providers have raised concerns that B-cell targeted agents, like anti-CD20 antibodies, may increase the risk of acquiring COVID-19 or lead to more severe complications or outcomes upon infection, including death, which could have a material adverse effect on our product and product candidates by negatively impacting, among other things:</w:t>
      </w:r>
    </w:p>
    <w:p>
      <w:pPr>
        <w:spacing w:after="0" w:line="166" w:lineRule="exact"/>
        <w:rPr>
          <w:sz w:val="20"/>
          <w:szCs w:val="20"/>
          <w:color w:val="auto"/>
        </w:rPr>
      </w:pPr>
    </w:p>
    <w:p>
      <w:pPr>
        <w:ind w:left="1380" w:hanging="331"/>
        <w:spacing w:after="0"/>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clinical trials;</w:t>
      </w:r>
    </w:p>
    <w:p>
      <w:pPr>
        <w:spacing w:after="0" w:line="23" w:lineRule="exact"/>
        <w:rPr>
          <w:rFonts w:ascii="Arial" w:cs="Arial" w:eastAsia="Arial" w:hAnsi="Arial"/>
          <w:sz w:val="18"/>
          <w:szCs w:val="18"/>
          <w:color w:val="auto"/>
        </w:rPr>
      </w:pPr>
    </w:p>
    <w:p>
      <w:pPr>
        <w:ind w:left="1380" w:hanging="331"/>
        <w:spacing w:after="0"/>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regulatory review and approval;</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labeling, if approved, including restrictions on use or other warnings, or</w:t>
      </w:r>
    </w:p>
    <w:p>
      <w:pPr>
        <w:spacing w:after="0" w:line="9" w:lineRule="exact"/>
        <w:rPr>
          <w:rFonts w:ascii="Arial" w:cs="Arial" w:eastAsia="Arial" w:hAnsi="Arial"/>
          <w:sz w:val="18"/>
          <w:szCs w:val="18"/>
          <w:color w:val="auto"/>
        </w:rPr>
      </w:pPr>
    </w:p>
    <w:p>
      <w:pPr>
        <w:ind w:left="1380" w:hanging="331"/>
        <w:spacing w:after="0"/>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acceptance of our product among patients, healthcare providers, and payors, if approved.</w:t>
      </w:r>
    </w:p>
    <w:p>
      <w:pPr>
        <w:spacing w:after="0" w:line="2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pandemic also may adversely affect our ability to complete ongoing clinical trials or conduct new trials. We will continue to monitor the potential impact of COVID-19 on our business; however, the full extent to which the COVID-19 pandemic may directly or indirectly impact the progress of our current and planned trials will depend on future developments that are uncertain and cannot be accurately predicted.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 Traded Company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stock price is, and we expect it to remain, volatile, which could limit investors’ ability to sell stock at a profit.</w:t>
      </w:r>
    </w:p>
    <w:p>
      <w:pPr>
        <w:spacing w:after="0" w:line="24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subject to wide fluctuations in price in response to various factors, many of which are beyond our control. These factors include, among others:</w:t>
      </w:r>
    </w:p>
    <w:p>
      <w:pPr>
        <w:spacing w:after="0" w:line="170" w:lineRule="exact"/>
        <w:rPr>
          <w:sz w:val="20"/>
          <w:szCs w:val="20"/>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reception and success of BRIUMVI in the U.S. market;</w:t>
      </w:r>
    </w:p>
    <w:p>
      <w:pPr>
        <w:spacing w:after="0" w:line="11" w:lineRule="exact"/>
        <w:rPr>
          <w:rFonts w:ascii="Arial" w:cs="Arial" w:eastAsia="Arial" w:hAnsi="Arial"/>
          <w:sz w:val="18"/>
          <w:szCs w:val="18"/>
          <w:color w:val="auto"/>
        </w:rPr>
      </w:pPr>
    </w:p>
    <w:p>
      <w:pPr>
        <w:ind w:left="1040" w:hanging="315"/>
        <w:spacing w:after="0" w:line="23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anticipated launch of BRIUMVI in European markets;</w:t>
      </w:r>
    </w:p>
    <w:p>
      <w:pPr>
        <w:ind w:left="1040" w:right="59" w:hanging="315"/>
        <w:spacing w:after="0" w:line="226"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our product or products under development by our competitors or us;</w:t>
      </w:r>
    </w:p>
    <w:p>
      <w:pPr>
        <w:spacing w:after="0" w:line="1" w:lineRule="exact"/>
        <w:rPr>
          <w:rFonts w:ascii="Arial" w:cs="Arial" w:eastAsia="Arial" w:hAnsi="Arial"/>
          <w:sz w:val="18"/>
          <w:szCs w:val="18"/>
          <w:color w:val="auto"/>
        </w:rPr>
      </w:pPr>
    </w:p>
    <w:p>
      <w:pPr>
        <w:ind w:left="1040" w:right="59" w:hanging="315"/>
        <w:spacing w:after="0" w:line="226"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1" w:lineRule="exact"/>
        <w:rPr>
          <w:rFonts w:ascii="Arial" w:cs="Arial" w:eastAsia="Arial" w:hAnsi="Arial"/>
          <w:sz w:val="18"/>
          <w:szCs w:val="18"/>
          <w:color w:val="auto"/>
        </w:rPr>
      </w:pPr>
    </w:p>
    <w:p>
      <w:pPr>
        <w:ind w:left="1040" w:hanging="315"/>
        <w:spacing w:after="0" w:line="23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us or our competitors;</w:t>
      </w:r>
    </w:p>
    <w:p>
      <w:pPr>
        <w:jc w:val="both"/>
        <w:ind w:left="1040" w:right="59" w:hanging="315"/>
        <w:spacing w:after="0" w:line="230"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delay in our regulatory review for products and product candidates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p>
      <w:pPr>
        <w:spacing w:after="0" w:line="3" w:lineRule="exact"/>
        <w:rPr>
          <w:rFonts w:ascii="Arial" w:cs="Arial" w:eastAsia="Arial" w:hAnsi="Arial"/>
          <w:sz w:val="18"/>
          <w:szCs w:val="18"/>
          <w:color w:val="auto"/>
        </w:rPr>
      </w:pPr>
    </w:p>
    <w:p>
      <w:pPr>
        <w:ind w:left="1040"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ind w:left="1040" w:hanging="315"/>
        <w:spacing w:after="0" w:line="23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ind w:left="1040" w:hanging="315"/>
        <w:spacing w:after="0" w:line="23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ind w:left="1040"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ind w:left="1040" w:right="59" w:hanging="315"/>
        <w:spacing w:after="0" w:line="23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 such as the disruptions in the global economy caused by the COVID-19 pandemic and the conflict between Russia and Ukraine;</w:t>
      </w:r>
    </w:p>
    <w:p>
      <w:pPr>
        <w:spacing w:after="0" w:line="1" w:lineRule="exact"/>
        <w:rPr>
          <w:rFonts w:ascii="Arial" w:cs="Arial" w:eastAsia="Arial" w:hAnsi="Arial"/>
          <w:sz w:val="18"/>
          <w:szCs w:val="18"/>
          <w:color w:val="auto"/>
        </w:rPr>
      </w:pPr>
    </w:p>
    <w:p>
      <w:pPr>
        <w:ind w:left="1040"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ind w:left="1040" w:hanging="315"/>
        <w:spacing w:after="0" w:line="23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meet our revenue projections or guidance;</w:t>
      </w:r>
    </w:p>
    <w:p>
      <w:pPr>
        <w:ind w:left="1040" w:hanging="315"/>
        <w:spacing w:after="0" w:line="23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182"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4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subject to risks related to corporate social responsibility and reputational matters.</w:t>
      </w:r>
    </w:p>
    <w:p>
      <w:pPr>
        <w:spacing w:after="0" w:line="212" w:lineRule="exact"/>
        <w:rPr>
          <w:sz w:val="20"/>
          <w:szCs w:val="20"/>
          <w:color w:val="auto"/>
        </w:rPr>
      </w:pPr>
    </w:p>
    <w:p>
      <w:pPr>
        <w:jc w:val="both"/>
        <w:ind w:left="60" w:right="59" w:firstLine="725"/>
        <w:spacing w:after="0" w:line="287" w:lineRule="auto"/>
        <w:rPr>
          <w:sz w:val="20"/>
          <w:szCs w:val="20"/>
          <w:color w:val="auto"/>
        </w:rPr>
      </w:pPr>
      <w:r>
        <w:rPr>
          <w:rFonts w:ascii="Arial" w:cs="Arial" w:eastAsia="Arial" w:hAnsi="Arial"/>
          <w:sz w:val="16"/>
          <w:szCs w:val="16"/>
          <w:color w:val="auto"/>
        </w:rPr>
        <w:t>Our reputation and the reputation of our brands, including the perception held by our customers, end-users, business partners, investors, other key stakeholders and the communities in which we do business are influenced by various factors. There is an increased focus from our stakeholders on Environmental, Social, and Governance (ESG) practices and disclosure - and if we fail, or are perceived to have failed, in any number of ESG matters, such as environmental stewardship, inclusion and diversity, workplace conduct and support for local communities, or to effectively respond to changes in, or new, legal or regulatory requirements concerning climate change or other sustainability concerns, our reputation or the reputation of our brands may suffer. Such damage to our reputation and the reputation of our brands may negatively impact our business, financial condition and results of operations. In addition, negative or inaccurate postings or comments on social media or networking websites about the Company or our brands could generate adverse publicity that could damage our reputation or the reputation of our brands. If we are unable to effectively manage real or perceived issues, including concerns about product quality, safety, corporate social responsibility or other matters, sentiments toward the Company or our products could be negatively impacted, and our financial results could suffer.</w:t>
      </w:r>
    </w:p>
    <w:p>
      <w:pPr>
        <w:spacing w:after="0" w:line="14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under the First Amendment with Hercules, we are currently restricted from paying cash dividends, and we expect these restrictions to continue in the future. Furthermore, the terms of any future debt agreements may continue to preclude us from paying dividends. As a result, capital appreciation, if any, of our common stock will be the sole source of gain for our stockholders for the foreseeable future.</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over financial reporting, which could have an adverse effect on the market price of our stock.</w:t>
      </w:r>
    </w:p>
    <w:p>
      <w:pPr>
        <w:spacing w:after="0" w:line="17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Volatility in the price of our common stock may subject us to securities and shareholder derivative litigation, which could cause us to incur substantial costs and divert management’s attention, financial resources and other company assets.</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in which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OF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Trading Plans of Directors and Executive Officers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During the three months ended June 30, 2023,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397"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auto"/>
              </w:rPr>
              <w:t>10.1*</w:t>
            </w:r>
          </w:p>
        </w:tc>
        <w:tc>
          <w:tcPr>
            <w:tcW w:w="63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Commercialization Agreement by and between TG Therapeutics, Inc. and Neuraxpharm</w:t>
            </w:r>
          </w:p>
        </w:tc>
        <w:tc>
          <w:tcPr>
            <w:tcW w:w="120" w:type="dxa"/>
            <w:vAlign w:val="bottom"/>
            <w:gridSpan w:val="3"/>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460" w:type="dxa"/>
            <w:vAlign w:val="bottom"/>
            <w:gridSpan w:val="7"/>
          </w:tcPr>
          <w:p>
            <w:pPr>
              <w:spacing w:after="0" w:line="196" w:lineRule="exact"/>
              <w:rPr>
                <w:sz w:val="20"/>
                <w:szCs w:val="20"/>
                <w:color w:val="auto"/>
              </w:rPr>
            </w:pPr>
            <w:r>
              <w:rPr>
                <w:rFonts w:ascii="Arial" w:cs="Arial" w:eastAsia="Arial" w:hAnsi="Arial"/>
                <w:sz w:val="18"/>
                <w:szCs w:val="18"/>
                <w:color w:val="0000EE"/>
              </w:rPr>
              <w:t>Pharmaceuticals, S.L., dated as of July 28, 2023. +</w:t>
            </w:r>
          </w:p>
        </w:tc>
      </w:tr>
      <w:tr>
        <w:trPr>
          <w:trHeight w:val="20"/>
        </w:trPr>
        <w:tc>
          <w:tcPr>
            <w:tcW w:w="150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64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Certification of Chief Executive Officer pursuant to Rule 13a-14(a)/15d-14(a), as adopted</w:t>
            </w:r>
          </w:p>
        </w:tc>
      </w:tr>
      <w:tr>
        <w:trPr>
          <w:trHeight w:val="196"/>
        </w:trPr>
        <w:tc>
          <w:tcPr>
            <w:tcW w:w="1500" w:type="dxa"/>
            <w:vAlign w:val="bottom"/>
          </w:tcPr>
          <w:p>
            <w:pPr>
              <w:spacing w:after="0"/>
              <w:rPr>
                <w:sz w:val="17"/>
                <w:szCs w:val="17"/>
                <w:color w:val="auto"/>
              </w:rPr>
            </w:pPr>
          </w:p>
        </w:tc>
        <w:tc>
          <w:tcPr>
            <w:tcW w:w="59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pursuant to Section 302 of the Sarbanes-Oxley Act of 2002, dated August 4, 2023.</w:t>
            </w:r>
          </w:p>
        </w:tc>
        <w:tc>
          <w:tcPr>
            <w:tcW w:w="540" w:type="dxa"/>
            <w:vAlign w:val="bottom"/>
            <w:gridSpan w:val="4"/>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64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Certification of Chief Financial Officer pursuant to Rule 13a-14(a)/15d-14(a), as adopted</w:t>
            </w:r>
          </w:p>
        </w:tc>
        <w:tc>
          <w:tcPr>
            <w:tcW w:w="4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59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pursuant to Section 302 of the Sarbanes-Oxley Act of 2002, dated August 4, 2023.</w:t>
            </w:r>
          </w:p>
        </w:tc>
        <w:tc>
          <w:tcPr>
            <w:tcW w:w="540" w:type="dxa"/>
            <w:vAlign w:val="bottom"/>
            <w:gridSpan w:val="4"/>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64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Certification of Chief Executive Officer pursuant to 18 U.S.C. 1350, as adopted pursuant</w:t>
            </w:r>
          </w:p>
        </w:tc>
        <w:tc>
          <w:tcPr>
            <w:tcW w:w="60" w:type="dxa"/>
            <w:vAlign w:val="bottom"/>
            <w:gridSpan w:val="2"/>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460" w:type="dxa"/>
            <w:vAlign w:val="bottom"/>
            <w:gridSpan w:val="7"/>
          </w:tcPr>
          <w:p>
            <w:pPr>
              <w:spacing w:after="0" w:line="196" w:lineRule="exact"/>
              <w:rPr>
                <w:sz w:val="20"/>
                <w:szCs w:val="20"/>
                <w:color w:val="auto"/>
              </w:rPr>
            </w:pPr>
            <w:r>
              <w:rPr>
                <w:rFonts w:ascii="Arial" w:cs="Arial" w:eastAsia="Arial" w:hAnsi="Arial"/>
                <w:sz w:val="18"/>
                <w:szCs w:val="18"/>
                <w:color w:val="0000EE"/>
              </w:rPr>
              <w:t>to Section 906 of the Sarbanes-Oxley Act of 2002, dated August 4, 2023.</w:t>
            </w:r>
          </w:p>
        </w:tc>
      </w:tr>
      <w:tr>
        <w:trPr>
          <w:trHeight w:val="20"/>
        </w:trPr>
        <w:tc>
          <w:tcPr>
            <w:tcW w:w="1500" w:type="dxa"/>
            <w:vAlign w:val="bottom"/>
          </w:tcPr>
          <w:p>
            <w:pPr>
              <w:spacing w:after="0" w:line="20" w:lineRule="exact"/>
              <w:rPr>
                <w:sz w:val="1"/>
                <w:szCs w:val="1"/>
                <w:color w:val="auto"/>
              </w:rPr>
            </w:pPr>
          </w:p>
        </w:tc>
        <w:tc>
          <w:tcPr>
            <w:tcW w:w="524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6460" w:type="dxa"/>
            <w:vAlign w:val="bottom"/>
            <w:gridSpan w:val="7"/>
          </w:tcPr>
          <w:p>
            <w:pPr>
              <w:spacing w:after="0" w:line="196" w:lineRule="exact"/>
              <w:rPr>
                <w:sz w:val="20"/>
                <w:szCs w:val="20"/>
                <w:color w:val="auto"/>
              </w:rPr>
            </w:pPr>
            <w:r>
              <w:rPr>
                <w:rFonts w:ascii="Arial" w:cs="Arial" w:eastAsia="Arial" w:hAnsi="Arial"/>
                <w:sz w:val="18"/>
                <w:szCs w:val="18"/>
                <w:color w:val="0000EE"/>
                <w:w w:val="92"/>
              </w:rPr>
              <w:t>Certification of Chief Financial Officer pursuant to 18 U.S.C. 1350, as adopted pursuant</w:t>
            </w:r>
          </w:p>
        </w:tc>
      </w:tr>
      <w:tr>
        <w:trPr>
          <w:trHeight w:val="196"/>
        </w:trPr>
        <w:tc>
          <w:tcPr>
            <w:tcW w:w="1500" w:type="dxa"/>
            <w:vAlign w:val="bottom"/>
          </w:tcPr>
          <w:p>
            <w:pPr>
              <w:spacing w:after="0"/>
              <w:rPr>
                <w:sz w:val="17"/>
                <w:szCs w:val="17"/>
                <w:color w:val="auto"/>
              </w:rPr>
            </w:pPr>
          </w:p>
        </w:tc>
        <w:tc>
          <w:tcPr>
            <w:tcW w:w="634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to Section 906 of the Sarbanes-Oxley Act of 2002, dated August 4, 2023.</w:t>
            </w:r>
          </w:p>
        </w:tc>
        <w:tc>
          <w:tcPr>
            <w:tcW w:w="120" w:type="dxa"/>
            <w:vAlign w:val="bottom"/>
            <w:gridSpan w:val="3"/>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5240" w:type="dxa"/>
            <w:vAlign w:val="bottom"/>
            <w:gridSpan w:val="2"/>
            <w:shd w:val="clear" w:color="auto" w:fill="0000EE"/>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r>
      <w:tr>
        <w:trPr>
          <w:trHeight w:val="222"/>
        </w:trPr>
        <w:tc>
          <w:tcPr>
            <w:tcW w:w="1500" w:type="dxa"/>
            <w:vAlign w:val="bottom"/>
          </w:tcPr>
          <w:p>
            <w:pPr>
              <w:spacing w:after="0"/>
              <w:rPr>
                <w:sz w:val="20"/>
                <w:szCs w:val="20"/>
                <w:color w:val="auto"/>
              </w:rPr>
            </w:pPr>
            <w:r>
              <w:rPr>
                <w:rFonts w:ascii="Arial" w:cs="Arial" w:eastAsia="Arial" w:hAnsi="Arial"/>
                <w:sz w:val="18"/>
                <w:szCs w:val="18"/>
                <w:color w:val="auto"/>
              </w:rPr>
              <w:t>101*</w:t>
            </w:r>
          </w:p>
        </w:tc>
        <w:tc>
          <w:tcPr>
            <w:tcW w:w="6460" w:type="dxa"/>
            <w:vAlign w:val="bottom"/>
            <w:gridSpan w:val="7"/>
          </w:tcPr>
          <w:p>
            <w:pPr>
              <w:spacing w:after="0"/>
              <w:rPr>
                <w:sz w:val="20"/>
                <w:szCs w:val="20"/>
                <w:color w:val="auto"/>
              </w:rPr>
            </w:pPr>
            <w:r>
              <w:rPr>
                <w:rFonts w:ascii="Arial" w:cs="Arial" w:eastAsia="Arial" w:hAnsi="Arial"/>
                <w:sz w:val="18"/>
                <w:szCs w:val="18"/>
                <w:color w:val="auto"/>
                <w:w w:val="93"/>
              </w:rPr>
              <w:t>The following financial information from the Company’s Quarterly Report on Form 10-Q</w:t>
            </w:r>
          </w:p>
        </w:tc>
      </w:tr>
      <w:tr>
        <w:trPr>
          <w:trHeight w:val="216"/>
        </w:trPr>
        <w:tc>
          <w:tcPr>
            <w:tcW w:w="1500" w:type="dxa"/>
            <w:vAlign w:val="bottom"/>
          </w:tcPr>
          <w:p>
            <w:pPr>
              <w:spacing w:after="0"/>
              <w:rPr>
                <w:sz w:val="18"/>
                <w:szCs w:val="18"/>
                <w:color w:val="auto"/>
              </w:rPr>
            </w:pPr>
          </w:p>
        </w:tc>
        <w:tc>
          <w:tcPr>
            <w:tcW w:w="6460" w:type="dxa"/>
            <w:vAlign w:val="bottom"/>
            <w:gridSpan w:val="7"/>
          </w:tcPr>
          <w:p>
            <w:pPr>
              <w:spacing w:after="0"/>
              <w:rPr>
                <w:sz w:val="20"/>
                <w:szCs w:val="20"/>
                <w:color w:val="auto"/>
              </w:rPr>
            </w:pPr>
            <w:r>
              <w:rPr>
                <w:rFonts w:ascii="Arial" w:cs="Arial" w:eastAsia="Arial" w:hAnsi="Arial"/>
                <w:sz w:val="18"/>
                <w:szCs w:val="18"/>
                <w:color w:val="auto"/>
                <w:w w:val="94"/>
              </w:rPr>
              <w:t>for the period ended June 30, 2023, formatted in Inline Extensible Business Reporting</w:t>
            </w:r>
          </w:p>
        </w:tc>
      </w:tr>
      <w:tr>
        <w:trPr>
          <w:trHeight w:val="216"/>
        </w:trPr>
        <w:tc>
          <w:tcPr>
            <w:tcW w:w="1500" w:type="dxa"/>
            <w:vAlign w:val="bottom"/>
          </w:tcPr>
          <w:p>
            <w:pPr>
              <w:spacing w:after="0"/>
              <w:rPr>
                <w:sz w:val="18"/>
                <w:szCs w:val="18"/>
                <w:color w:val="auto"/>
              </w:rPr>
            </w:pPr>
          </w:p>
        </w:tc>
        <w:tc>
          <w:tcPr>
            <w:tcW w:w="6460" w:type="dxa"/>
            <w:vAlign w:val="bottom"/>
            <w:gridSpan w:val="7"/>
          </w:tcPr>
          <w:p>
            <w:pPr>
              <w:spacing w:after="0"/>
              <w:rPr>
                <w:sz w:val="20"/>
                <w:szCs w:val="20"/>
                <w:color w:val="auto"/>
              </w:rPr>
            </w:pPr>
            <w:r>
              <w:rPr>
                <w:rFonts w:ascii="Arial" w:cs="Arial" w:eastAsia="Arial" w:hAnsi="Arial"/>
                <w:sz w:val="18"/>
                <w:szCs w:val="18"/>
                <w:color w:val="auto"/>
                <w:w w:val="92"/>
              </w:rPr>
              <w:t>Language (iXBRL): (i) the Condensed Consolidated Balance Sheets, (ii) the Condensed</w:t>
            </w:r>
          </w:p>
        </w:tc>
      </w:tr>
      <w:tr>
        <w:trPr>
          <w:trHeight w:val="216"/>
        </w:trPr>
        <w:tc>
          <w:tcPr>
            <w:tcW w:w="1500" w:type="dxa"/>
            <w:vAlign w:val="bottom"/>
          </w:tcPr>
          <w:p>
            <w:pPr>
              <w:spacing w:after="0"/>
              <w:rPr>
                <w:sz w:val="18"/>
                <w:szCs w:val="18"/>
                <w:color w:val="auto"/>
              </w:rPr>
            </w:pPr>
          </w:p>
        </w:tc>
        <w:tc>
          <w:tcPr>
            <w:tcW w:w="6460" w:type="dxa"/>
            <w:vAlign w:val="bottom"/>
            <w:gridSpan w:val="7"/>
          </w:tcPr>
          <w:p>
            <w:pPr>
              <w:spacing w:after="0"/>
              <w:rPr>
                <w:sz w:val="20"/>
                <w:szCs w:val="20"/>
                <w:color w:val="auto"/>
              </w:rPr>
            </w:pPr>
            <w:r>
              <w:rPr>
                <w:rFonts w:ascii="Arial" w:cs="Arial" w:eastAsia="Arial" w:hAnsi="Arial"/>
                <w:sz w:val="18"/>
                <w:szCs w:val="18"/>
                <w:color w:val="auto"/>
                <w:w w:val="91"/>
              </w:rPr>
              <w:t>Consolidated Statements of Operations, (iii) the Condensed Consolidated Statements of</w:t>
            </w:r>
          </w:p>
        </w:tc>
      </w:tr>
      <w:tr>
        <w:trPr>
          <w:trHeight w:val="216"/>
        </w:trPr>
        <w:tc>
          <w:tcPr>
            <w:tcW w:w="1500" w:type="dxa"/>
            <w:vAlign w:val="bottom"/>
          </w:tcPr>
          <w:p>
            <w:pPr>
              <w:spacing w:after="0"/>
              <w:rPr>
                <w:sz w:val="18"/>
                <w:szCs w:val="18"/>
                <w:color w:val="auto"/>
              </w:rPr>
            </w:pPr>
          </w:p>
        </w:tc>
        <w:tc>
          <w:tcPr>
            <w:tcW w:w="6460" w:type="dxa"/>
            <w:vAlign w:val="bottom"/>
            <w:gridSpan w:val="7"/>
          </w:tcPr>
          <w:p>
            <w:pPr>
              <w:spacing w:after="0"/>
              <w:rPr>
                <w:sz w:val="20"/>
                <w:szCs w:val="20"/>
                <w:color w:val="auto"/>
              </w:rPr>
            </w:pPr>
            <w:r>
              <w:rPr>
                <w:rFonts w:ascii="Arial" w:cs="Arial" w:eastAsia="Arial" w:hAnsi="Arial"/>
                <w:sz w:val="18"/>
                <w:szCs w:val="18"/>
                <w:color w:val="auto"/>
                <w:w w:val="92"/>
              </w:rPr>
              <w:t>Changes in Stockholders’ Equity, (iv) the Condensed Consolidated Statements of Cash</w:t>
            </w:r>
          </w:p>
        </w:tc>
      </w:tr>
      <w:tr>
        <w:trPr>
          <w:trHeight w:val="216"/>
        </w:trPr>
        <w:tc>
          <w:tcPr>
            <w:tcW w:w="1500" w:type="dxa"/>
            <w:vAlign w:val="bottom"/>
          </w:tcPr>
          <w:p>
            <w:pPr>
              <w:spacing w:after="0"/>
              <w:rPr>
                <w:sz w:val="18"/>
                <w:szCs w:val="18"/>
                <w:color w:val="auto"/>
              </w:rPr>
            </w:pPr>
          </w:p>
        </w:tc>
        <w:tc>
          <w:tcPr>
            <w:tcW w:w="6460" w:type="dxa"/>
            <w:vAlign w:val="bottom"/>
            <w:gridSpan w:val="7"/>
          </w:tcPr>
          <w:p>
            <w:pPr>
              <w:spacing w:after="0"/>
              <w:rPr>
                <w:sz w:val="20"/>
                <w:szCs w:val="20"/>
                <w:color w:val="auto"/>
              </w:rPr>
            </w:pPr>
            <w:r>
              <w:rPr>
                <w:rFonts w:ascii="Arial" w:cs="Arial" w:eastAsia="Arial" w:hAnsi="Arial"/>
                <w:sz w:val="18"/>
                <w:szCs w:val="18"/>
                <w:color w:val="auto"/>
              </w:rPr>
              <w:t>Flows, and (v) Notes to the Condensed Consolidated Financial Statements (filed</w:t>
            </w:r>
          </w:p>
        </w:tc>
      </w:tr>
      <w:tr>
        <w:trPr>
          <w:trHeight w:val="216"/>
        </w:trPr>
        <w:tc>
          <w:tcPr>
            <w:tcW w:w="1500" w:type="dxa"/>
            <w:vAlign w:val="bottom"/>
          </w:tcPr>
          <w:p>
            <w:pPr>
              <w:spacing w:after="0"/>
              <w:rPr>
                <w:sz w:val="18"/>
                <w:szCs w:val="18"/>
                <w:color w:val="auto"/>
              </w:rPr>
            </w:pPr>
          </w:p>
        </w:tc>
        <w:tc>
          <w:tcPr>
            <w:tcW w:w="6460" w:type="dxa"/>
            <w:vAlign w:val="bottom"/>
            <w:gridSpan w:val="7"/>
          </w:tcPr>
          <w:p>
            <w:pPr>
              <w:spacing w:after="0"/>
              <w:rPr>
                <w:sz w:val="20"/>
                <w:szCs w:val="20"/>
                <w:color w:val="auto"/>
              </w:rPr>
            </w:pPr>
            <w:r>
              <w:rPr>
                <w:rFonts w:ascii="Arial" w:cs="Arial" w:eastAsia="Arial" w:hAnsi="Arial"/>
                <w:sz w:val="18"/>
                <w:szCs w:val="18"/>
                <w:color w:val="auto"/>
              </w:rPr>
              <w:t>herewith).</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104*</w:t>
            </w:r>
          </w:p>
        </w:tc>
        <w:tc>
          <w:tcPr>
            <w:tcW w:w="646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7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9" w:lineRule="exact"/>
        <w:rPr>
          <w:sz w:val="20"/>
          <w:szCs w:val="20"/>
          <w:color w:val="auto"/>
        </w:rPr>
      </w:pPr>
    </w:p>
    <w:p>
      <w:pPr>
        <w:ind w:left="200" w:hanging="150"/>
        <w:spacing w:after="0"/>
        <w:tabs>
          <w:tab w:leader="none" w:pos="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601(b)(10)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159" w:firstLine="49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5920" w:type="dxa"/>
            <w:vAlign w:val="bottom"/>
            <w:gridSpan w:val="2"/>
          </w:tcPr>
          <w:p>
            <w:pPr>
              <w:ind w:left="1460"/>
              <w:spacing w:after="0"/>
              <w:rPr>
                <w:sz w:val="20"/>
                <w:szCs w:val="20"/>
                <w:color w:val="auto"/>
              </w:rPr>
            </w:pPr>
            <w:r>
              <w:rPr>
                <w:rFonts w:ascii="Arial" w:cs="Arial" w:eastAsia="Arial" w:hAnsi="Arial"/>
                <w:sz w:val="18"/>
                <w:szCs w:val="18"/>
                <w:color w:val="auto"/>
              </w:rPr>
              <w:t>TG THERAPEUTICS, INC.</w:t>
            </w: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Date: August 4, 2023</w:t>
            </w:r>
          </w:p>
        </w:tc>
        <w:tc>
          <w:tcPr>
            <w:tcW w:w="5920" w:type="dxa"/>
            <w:vAlign w:val="bottom"/>
            <w:gridSpan w:val="2"/>
          </w:tcPr>
          <w:p>
            <w:pPr>
              <w:ind w:left="1460"/>
              <w:spacing w:after="0"/>
              <w:rPr>
                <w:sz w:val="20"/>
                <w:szCs w:val="20"/>
                <w:color w:val="auto"/>
              </w:rPr>
            </w:pPr>
            <w:r>
              <w:rPr>
                <w:rFonts w:ascii="Arial" w:cs="Arial" w:eastAsia="Arial" w:hAnsi="Arial"/>
                <w:sz w:val="18"/>
                <w:szCs w:val="18"/>
                <w:color w:val="auto"/>
              </w:rPr>
              <w:t>By: /s/ Sean A. Power</w:t>
            </w:r>
          </w:p>
        </w:tc>
      </w:tr>
      <w:tr>
        <w:trPr>
          <w:trHeight w:val="195"/>
        </w:trPr>
        <w:tc>
          <w:tcPr>
            <w:tcW w:w="29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29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8800"/>
        <w:spacing w:after="0"/>
        <w:rPr>
          <w:sz w:val="20"/>
          <w:szCs w:val="20"/>
          <w:color w:val="auto"/>
        </w:rPr>
      </w:pPr>
      <w:r>
        <w:rPr>
          <w:rFonts w:ascii="Arial" w:cs="Arial" w:eastAsia="Arial" w:hAnsi="Arial"/>
          <w:sz w:val="19"/>
          <w:szCs w:val="19"/>
          <w:b w:val="1"/>
          <w:bCs w:val="1"/>
          <w:color w:val="auto"/>
        </w:rPr>
        <w:t>Exhibit 10.1</w:t>
      </w:r>
    </w:p>
    <w:p>
      <w:pPr>
        <w:spacing w:after="0" w:line="2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CERTAIN IDENTIFIED INFORMATION HAS BEEN EXCLUDED FROM THE EXHIBIT BECAUSE IT BOTH (I) IS NOT MATERIAL AND (II) WOULD BE COMPETITIVELY HARMFUL IF PUBLICLY DISCLOSED. SUCH EXCLUDED INFORMATION HAS BEEN MARKED WITH “[***].”</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COMMERCIALIZATION AGREEMENT</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This COMMERCIALIZATION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entered into as of July 28, 2023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TG Therapeutics, Inc., a Delaware corporation (“</w:t>
      </w:r>
      <w:r>
        <w:rPr>
          <w:rFonts w:ascii="Arial" w:cs="Arial" w:eastAsia="Arial" w:hAnsi="Arial"/>
          <w:sz w:val="22"/>
          <w:szCs w:val="22"/>
          <w:b w:val="1"/>
          <w:bCs w:val="1"/>
          <w:i w:val="1"/>
          <w:iCs w:val="1"/>
          <w:color w:val="auto"/>
        </w:rPr>
        <w:t>TG Parent</w:t>
      </w:r>
      <w:r>
        <w:rPr>
          <w:rFonts w:ascii="Arial" w:cs="Arial" w:eastAsia="Arial" w:hAnsi="Arial"/>
          <w:sz w:val="22"/>
          <w:szCs w:val="22"/>
          <w:color w:val="auto"/>
        </w:rPr>
        <w:t>”), and TG Biologics, Inc., a Delaware corporation (f/k/a TG Therapeutics, Inc.) (together with TG Parent, “</w:t>
      </w:r>
      <w:r>
        <w:rPr>
          <w:rFonts w:ascii="Arial" w:cs="Arial" w:eastAsia="Arial" w:hAnsi="Arial"/>
          <w:sz w:val="22"/>
          <w:szCs w:val="22"/>
          <w:b w:val="1"/>
          <w:bCs w:val="1"/>
          <w:i w:val="1"/>
          <w:iCs w:val="1"/>
          <w:color w:val="auto"/>
        </w:rPr>
        <w:t>TG</w:t>
      </w:r>
      <w:r>
        <w:rPr>
          <w:rFonts w:ascii="Arial" w:cs="Arial" w:eastAsia="Arial" w:hAnsi="Arial"/>
          <w:sz w:val="22"/>
          <w:szCs w:val="22"/>
          <w:color w:val="auto"/>
        </w:rPr>
        <w:t>”), on the one hand, and Neuraxpharm Pharmaceuticals S.L., a private limited company incorporated under the laws of Spain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on the other hand. Each of TG and Company is sometimes referred to individually herein as a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TG is engaged in the research, development, and commercialization of pharmaceutical products targeting B-cell disease;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TG has developed, and is developing, a pharmaceutical product containing an investigational CD20 targeting antibody that treats multiple sclerosis;</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TG desires to grant Company, and Company desires to accept from TG, an exclusive license to commercialize the Product in the Field in the Territory (each, as defined below), on the terms and conditions set forth herein;</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NOW, THEREFORE, in consideration of the mutual covenants contained herein, and for other good and valuable consideration, the Parties hereto, intending to be legally bound, hereby agree as follows:</w:t>
      </w:r>
    </w:p>
    <w:p>
      <w:pPr>
        <w:spacing w:after="0" w:line="145" w:lineRule="exact"/>
        <w:rPr>
          <w:sz w:val="20"/>
          <w:szCs w:val="20"/>
          <w:color w:val="auto"/>
        </w:rPr>
      </w:pPr>
    </w:p>
    <w:p>
      <w:pPr>
        <w:ind w:left="4580" w:hanging="654"/>
        <w:spacing w:after="0"/>
        <w:tabs>
          <w:tab w:leader="none" w:pos="458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Whenever used in this Agreement with an initial capital letter, the terms defined in this </w:t>
      </w:r>
      <w:r>
        <w:rPr>
          <w:rFonts w:ascii="Arial" w:cs="Arial" w:eastAsia="Arial" w:hAnsi="Arial"/>
          <w:sz w:val="22"/>
          <w:szCs w:val="22"/>
          <w:u w:val="single" w:color="auto"/>
          <w:color w:val="auto"/>
        </w:rPr>
        <w:t>Article 1</w:t>
      </w:r>
      <w:r>
        <w:rPr>
          <w:rFonts w:ascii="Arial" w:cs="Arial" w:eastAsia="Arial" w:hAnsi="Arial"/>
          <w:sz w:val="22"/>
          <w:szCs w:val="22"/>
          <w:color w:val="auto"/>
        </w:rPr>
        <w:t xml:space="preserve"> shall have the meanings specified.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5"/>
          <w:szCs w:val="15"/>
          <w:b w:val="1"/>
          <w:bCs w:val="1"/>
          <w:color w:val="auto"/>
        </w:rPr>
        <w:t>[***]</w:t>
      </w:r>
      <w:r>
        <w:rPr>
          <w:rFonts w:ascii="Arial" w:cs="Arial" w:eastAsia="Arial" w:hAnsi="Arial"/>
          <w:sz w:val="19"/>
          <w:szCs w:val="19"/>
          <w:b w:val="1"/>
          <w:bCs w:val="1"/>
          <w:i w:val="1"/>
          <w:iCs w:val="1"/>
          <w:color w:val="auto"/>
        </w:rPr>
        <w:t>-</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Commercialization Plan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Action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10.5.1(c)</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1.3 “</w:t>
      </w:r>
      <w:r>
        <w:rPr>
          <w:rFonts w:ascii="Arial" w:cs="Arial" w:eastAsia="Arial" w:hAnsi="Arial"/>
          <w:sz w:val="22"/>
          <w:szCs w:val="22"/>
          <w:b w:val="1"/>
          <w:bCs w:val="1"/>
          <w:i w:val="1"/>
          <w:iCs w:val="1"/>
          <w:color w:val="auto"/>
        </w:rPr>
        <w:t>Adverse Event</w:t>
      </w:r>
      <w:r>
        <w:rPr>
          <w:rFonts w:ascii="Arial" w:cs="Arial" w:eastAsia="Arial" w:hAnsi="Arial"/>
          <w:sz w:val="22"/>
          <w:szCs w:val="22"/>
          <w:color w:val="auto"/>
        </w:rPr>
        <w:t>” means any untoward medical occurrence in a human clinical trial subject or in a patient who is administered the Compound or Product, whether or not considered related to such Compound or Product, including any undesirable sign (including abnormal laboratory findings of clinical concern), symptom, or disease associated with the use of the Compound or Product, or an otherwise noxious and unintended response to the Compound or Product, including as defined more fully in 21 CFR §312.32 and Art. 2 m) of Directive 2001/20/EC.</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1.4 “</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with respect to any Person, any other Person that, directly or indirectly, controls, or is controlled by, or is under common control with, such Person.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85" w:name="page86"/>
    <w:bookmarkEnd w:id="85"/>
    <w:p>
      <w:pPr>
        <w:jc w:val="both"/>
        <w:spacing w:after="0" w:line="272" w:lineRule="auto"/>
        <w:rPr>
          <w:sz w:val="20"/>
          <w:szCs w:val="20"/>
          <w:color w:val="auto"/>
        </w:rPr>
      </w:pPr>
      <w:r>
        <w:rPr>
          <w:rFonts w:ascii="Arial" w:cs="Arial" w:eastAsia="Arial" w:hAnsi="Arial"/>
          <w:sz w:val="19"/>
          <w:szCs w:val="19"/>
          <w:color w:val="auto"/>
        </w:rPr>
        <w:t>purposes of this definition, “control” means (a) ownership of more than fifty percent (50%) of the shares of stock entitled to vote for the election of directors in the case of a corporation, or more than fifty percent (50%) of the equity interests in the case of any other type of legal entity, (or such lesser maximum percentage permitted in those jurisdictions where majority ownership by foreign entities is prohibited); (b) status as a general partner in any partnership; or (c) any other arrangement whereby a Person controls or has the right to control the board of directors of a corporation or equivalent governing body of an entity other than a corporation. Notwithstanding the foregoing, Affiliates of Company shall not include Persons that would otherwise be deemed an Affiliate solely as a result of their being the portfolio companies (except for the Company as well as the other companies of the Neuraxpharm group) of the Permira branded funds managed or advised by Permira Beteiligungsberatungs GmbH (or one of its Affiliates) (collectively, the “</w:t>
      </w:r>
      <w:r>
        <w:rPr>
          <w:rFonts w:ascii="Arial" w:cs="Arial" w:eastAsia="Arial" w:hAnsi="Arial"/>
          <w:sz w:val="19"/>
          <w:szCs w:val="19"/>
          <w:b w:val="1"/>
          <w:bCs w:val="1"/>
          <w:i w:val="1"/>
          <w:iCs w:val="1"/>
          <w:color w:val="auto"/>
        </w:rPr>
        <w:t>Other Permira Companies</w:t>
      </w:r>
      <w:r>
        <w:rPr>
          <w:rFonts w:ascii="Arial" w:cs="Arial" w:eastAsia="Arial" w:hAnsi="Arial"/>
          <w:sz w:val="19"/>
          <w:szCs w:val="19"/>
          <w:color w:val="auto"/>
        </w:rPr>
        <w:t>”); provided, however, that, for the avoidance of doubt, in the event that Company undergoes a Change of Control, the foregoing exception for Other Permira Companies shall automatically be deemed to be deleted and the general terms of the definition of Affiliate without such exception shall determine whether any such Person qualifies as an Affiliate of Company.</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Agreed % of Net Sales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7.3.</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1.6 “</w:t>
      </w:r>
      <w:r>
        <w:rPr>
          <w:rFonts w:ascii="Arial" w:cs="Arial" w:eastAsia="Arial" w:hAnsi="Arial"/>
          <w:sz w:val="22"/>
          <w:szCs w:val="22"/>
          <w:b w:val="1"/>
          <w:bCs w:val="1"/>
          <w:i w:val="1"/>
          <w:iCs w:val="1"/>
          <w:color w:val="auto"/>
        </w:rPr>
        <w:t>Annual Net Sales</w:t>
      </w:r>
      <w:r>
        <w:rPr>
          <w:rFonts w:ascii="Arial" w:cs="Arial" w:eastAsia="Arial" w:hAnsi="Arial"/>
          <w:sz w:val="22"/>
          <w:szCs w:val="22"/>
          <w:color w:val="auto"/>
        </w:rPr>
        <w:t>” means, with respect to any Calendar Year, the aggregate amount of Net Sales for such Calendar Year.</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ABC Laws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12.3.6</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1.8 “</w:t>
      </w:r>
      <w:r>
        <w:rPr>
          <w:rFonts w:ascii="Arial" w:cs="Arial" w:eastAsia="Arial" w:hAnsi="Arial"/>
          <w:sz w:val="22"/>
          <w:szCs w:val="22"/>
          <w:b w:val="1"/>
          <w:bCs w:val="1"/>
          <w:i w:val="1"/>
          <w:iCs w:val="1"/>
          <w:color w:val="auto"/>
        </w:rPr>
        <w:t>Applicable Laws</w:t>
      </w:r>
      <w:r>
        <w:rPr>
          <w:rFonts w:ascii="Arial" w:cs="Arial" w:eastAsia="Arial" w:hAnsi="Arial"/>
          <w:sz w:val="22"/>
          <w:szCs w:val="22"/>
          <w:color w:val="auto"/>
        </w:rPr>
        <w:t>” means any national, international, federal, state, or local laws, treaties, statutes, ordinances, rules, and regulations, including any rules, regulations, guidance, or guidelines of Regulatory Authorities having the binding effect of law, or of any national securities exchanges or securities listing organizations or other government authorities other than Regulatory Authorities, that are in effect from time to time during the Term and applicable to a particular activity hereunder.</w:t>
      </w:r>
    </w:p>
    <w:p>
      <w:pPr>
        <w:spacing w:after="0" w:line="18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1.9 “</w:t>
      </w:r>
      <w:r>
        <w:rPr>
          <w:rFonts w:ascii="Arial" w:cs="Arial" w:eastAsia="Arial" w:hAnsi="Arial"/>
          <w:sz w:val="21"/>
          <w:szCs w:val="21"/>
          <w:b w:val="1"/>
          <w:bCs w:val="1"/>
          <w:i w:val="1"/>
          <w:iCs w:val="1"/>
          <w:color w:val="auto"/>
        </w:rPr>
        <w:t>Arising IP</w:t>
      </w:r>
      <w:r>
        <w:rPr>
          <w:rFonts w:ascii="Arial" w:cs="Arial" w:eastAsia="Arial" w:hAnsi="Arial"/>
          <w:sz w:val="21"/>
          <w:szCs w:val="21"/>
          <w:color w:val="auto"/>
        </w:rPr>
        <w:t>” means any Technology, Proprietary Material, and/or other intellectual property arising from or otherwise conceived and reduced to practice (actually or constructively), developed, or generated as a result of or in connection with the activities contemplated by this Agreement, whether by either Party or jointly, or by Company’s Affiliate(s), Sublicensee(s), and/or Distributor(s), and whether or not patentable, copyrightable, or otherwise protectable under any intellectual property rights.</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Bankruptcy Code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11.3</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1.11 “</w:t>
      </w:r>
      <w:r>
        <w:rPr>
          <w:rFonts w:ascii="Arial" w:cs="Arial" w:eastAsia="Arial" w:hAnsi="Arial"/>
          <w:sz w:val="19"/>
          <w:szCs w:val="19"/>
          <w:b w:val="1"/>
          <w:bCs w:val="1"/>
          <w:i w:val="1"/>
          <w:iCs w:val="1"/>
          <w:color w:val="auto"/>
        </w:rPr>
        <w:t>Biosimilar Product</w:t>
      </w:r>
      <w:r>
        <w:rPr>
          <w:rFonts w:ascii="Arial" w:cs="Arial" w:eastAsia="Arial" w:hAnsi="Arial"/>
          <w:sz w:val="19"/>
          <w:szCs w:val="19"/>
          <w:color w:val="auto"/>
        </w:rPr>
        <w:t>” means a product that is developed and commercialized by a Third Party, without any involvement (contractual or otherwise) of Company and/or any of its Affiliates, (a) in countries in the European Union, that (i) is a highly similar version of the Product, (ii) is a biological medicinal product with no clinically meaningful differences from the Product and is similar to the Product in terms of structure, biological activity and efficacy, safety, and immunogenicity profile without meeting the conditions in the definition of “generic medicinal products” under and in accordance with Art. 10 (2) (b) of Directive 2001/83/EC, owing 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6" w:name="page87"/>
    <w:bookmarkEnd w:id="86"/>
    <w:p>
      <w:pPr>
        <w:jc w:val="both"/>
        <w:spacing w:after="0" w:line="245" w:lineRule="auto"/>
        <w:rPr>
          <w:sz w:val="20"/>
          <w:szCs w:val="20"/>
          <w:color w:val="auto"/>
        </w:rPr>
      </w:pPr>
      <w:r>
        <w:rPr>
          <w:rFonts w:ascii="Arial" w:cs="Arial" w:eastAsia="Arial" w:hAnsi="Arial"/>
          <w:sz w:val="21"/>
          <w:szCs w:val="21"/>
          <w:color w:val="auto"/>
        </w:rPr>
        <w:t>particular, differences relating to raw materials or differences in manufacturing processes of the Biosimilar Product and the Product under and in accordance with Art. 10 (4) of Directive 2001/83/EC, and (iii) is approved for use in the Field in the European Union by an abbreviated marketing authorization process that relies on the Product, as the original or reference medicinal product under and in accordance with Art. 10 (2) (a) of Directive 2001/83/EC, or (b) in countries in the Territory other than the European Union, a biological product that the applicable Regulatory Authority has determined is a biosimilar to the Product, meaning it is highly similar to and has no clinically meaningful differences from the Product, and is approved by an abbreviated marketing authorization process that relies on the first Marketing Authorization of the Product, as the original or reference biological product as to which the determination of biosimilarity is made (“</w:t>
      </w:r>
      <w:r>
        <w:rPr>
          <w:rFonts w:ascii="Arial" w:cs="Arial" w:eastAsia="Arial" w:hAnsi="Arial"/>
          <w:sz w:val="21"/>
          <w:szCs w:val="21"/>
          <w:b w:val="1"/>
          <w:bCs w:val="1"/>
          <w:i w:val="1"/>
          <w:iCs w:val="1"/>
          <w:color w:val="auto"/>
        </w:rPr>
        <w:t>Reference Medicinal Product</w:t>
      </w:r>
      <w:r>
        <w:rPr>
          <w:rFonts w:ascii="Arial" w:cs="Arial" w:eastAsia="Arial" w:hAnsi="Arial"/>
          <w:sz w:val="21"/>
          <w:szCs w:val="21"/>
          <w:color w:val="auto"/>
        </w:rPr>
        <w:t>”), and that is approved for use in the Field.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Brand Guidelines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2.1.3(d)</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b w:val="1"/>
          <w:bCs w:val="1"/>
          <w:i w:val="1"/>
          <w:iCs w:val="1"/>
          <w:color w:val="auto"/>
        </w:rPr>
        <w:t>Branding</w:t>
      </w:r>
      <w:r>
        <w:rPr>
          <w:rFonts w:ascii="Arial" w:cs="Arial" w:eastAsia="Arial" w:hAnsi="Arial"/>
          <w:sz w:val="22"/>
          <w:szCs w:val="22"/>
          <w:color w:val="auto"/>
        </w:rPr>
        <w:t>” means all matters relating to the branding of the Product in the Field in the Territory, including any matters related to the selection of any trademarks, brand names, product logos, branding colors, trade dress, positioning, and key messages to be incorporated into Promotional Materials used for the Product in the Field in the Territory.</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1.14 “</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day other than a Saturday or Sunday on which banking institutions in New York, New York are open for business.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Buy-Back Option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11.2.5</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1.16 “</w:t>
      </w:r>
      <w:r>
        <w:rPr>
          <w:rFonts w:ascii="Arial" w:cs="Arial" w:eastAsia="Arial" w:hAnsi="Arial"/>
          <w:sz w:val="22"/>
          <w:szCs w:val="22"/>
          <w:b w:val="1"/>
          <w:bCs w:val="1"/>
          <w:i w:val="1"/>
          <w:iCs w:val="1"/>
          <w:color w:val="auto"/>
        </w:rPr>
        <w:t>Calendar Quarter</w:t>
      </w:r>
      <w:r>
        <w:rPr>
          <w:rFonts w:ascii="Arial" w:cs="Arial" w:eastAsia="Arial" w:hAnsi="Arial"/>
          <w:sz w:val="22"/>
          <w:szCs w:val="22"/>
          <w:color w:val="auto"/>
        </w:rPr>
        <w:t>” means the period beginning on the Effective Date and ending on the last day of the calendar quarter in which the Effective Date falls, and thereafter each successive period of three (3) consecutive calendar months ending on March 31, June 30, September 30 or December 31; provided, that, the final Calendar Quarter shall end on the last day of the Term.</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b w:val="1"/>
          <w:bCs w:val="1"/>
          <w:i w:val="1"/>
          <w:iCs w:val="1"/>
          <w:color w:val="auto"/>
        </w:rPr>
        <w:t>Calendar Year</w:t>
      </w:r>
      <w:r>
        <w:rPr>
          <w:rFonts w:ascii="Arial" w:cs="Arial" w:eastAsia="Arial" w:hAnsi="Arial"/>
          <w:sz w:val="22"/>
          <w:szCs w:val="22"/>
          <w:color w:val="auto"/>
        </w:rPr>
        <w:t>” means the period beginning on the Effective Date and ending on December 31 of the calendar year in which the Effective Date falls, and thereafter each successive period of twelve (12) consecutive months commencing on January 1 and ending on December 31; provided, that, the final Calendar Year shall end on the last day of the Term.</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1.18 “</w:t>
      </w:r>
      <w:r>
        <w:rPr>
          <w:rFonts w:ascii="Arial" w:cs="Arial" w:eastAsia="Arial" w:hAnsi="Arial"/>
          <w:sz w:val="21"/>
          <w:szCs w:val="21"/>
          <w:b w:val="1"/>
          <w:bCs w:val="1"/>
          <w:i w:val="1"/>
          <w:iCs w:val="1"/>
          <w:color w:val="auto"/>
        </w:rPr>
        <w:t>Challenge</w:t>
      </w:r>
      <w:r>
        <w:rPr>
          <w:rFonts w:ascii="Arial" w:cs="Arial" w:eastAsia="Arial" w:hAnsi="Arial"/>
          <w:sz w:val="21"/>
          <w:szCs w:val="21"/>
          <w:color w:val="auto"/>
        </w:rPr>
        <w:t>” means any challenge to the validity or enforceability of any of the Licensed Patent Rights or Arising IP before any administrative, judicial, or other governmental authority, court, tribunal, or arbitration panel, including by (a) filing a declaratory judgment action in which any of the Licensed Patent Rights or Arising IP is alleged to be invalid or unenforceable; (b) citing prior art, filing a request for re-examination of any of the Licensed Patent Rights or Arising IP, or provoking or becoming a party to an interference with an application for any of the Licensed Patent Rights or Arising IP, or analogous proceedings in the Territory; or (c) filing or commencing any re-examination, opposition, cancellation, nullity, or similar proceedings against any of the Licensed Patent Rights or Arising IP in any country.</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1.19 “</w:t>
      </w:r>
      <w:r>
        <w:rPr>
          <w:rFonts w:ascii="Arial" w:cs="Arial" w:eastAsia="Arial" w:hAnsi="Arial"/>
          <w:sz w:val="22"/>
          <w:szCs w:val="22"/>
          <w:b w:val="1"/>
          <w:bCs w:val="1"/>
          <w:i w:val="1"/>
          <w:iCs w:val="1"/>
          <w:color w:val="auto"/>
        </w:rPr>
        <w:t>Change of Control</w:t>
      </w:r>
      <w:r>
        <w:rPr>
          <w:rFonts w:ascii="Arial" w:cs="Arial" w:eastAsia="Arial" w:hAnsi="Arial"/>
          <w:sz w:val="22"/>
          <w:szCs w:val="22"/>
          <w:color w:val="auto"/>
        </w:rPr>
        <w:t>” means, with respect to either Party, a transaction or series of related transactions (including any merger, consolidation, share exchange, reorganization, or combination) involving such Party and any Third Party that results in (a) the holders of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7" w:name="page88"/>
    <w:bookmarkEnd w:id="87"/>
    <w:p>
      <w:pPr>
        <w:jc w:val="both"/>
        <w:spacing w:after="0" w:line="274" w:lineRule="auto"/>
        <w:rPr>
          <w:sz w:val="20"/>
          <w:szCs w:val="20"/>
          <w:color w:val="auto"/>
        </w:rPr>
      </w:pPr>
      <w:r>
        <w:rPr>
          <w:rFonts w:ascii="Arial" w:cs="Arial" w:eastAsia="Arial" w:hAnsi="Arial"/>
          <w:sz w:val="19"/>
          <w:szCs w:val="19"/>
          <w:color w:val="auto"/>
        </w:rPr>
        <w:t>voting securities of such Party immediately prior to such transaction ceasing to represent at least fifty percent (50%) of the combined outstanding voting power of such Party or of the surviving or continuing entity immediately after such transaction or series of transactions; (b) any Third Party (other than a trustee or other fiduciary holding securities under an employee benefit plan) becoming the beneficial owner of fifty percent (50%) or more of the combined voting power of the outstanding securities of such Party (including as a single Third Party all persons who in concert or act together as a “group” for purposes of acquiring shares of such Party, in accordance with Section 13(d) of the Securities Act of 1934) (other than an investment transaction by an entity not engaged in the pharmaceutical or biotechnology business, the purpose of which is to raise capital for such Party); or (c) the sale or other disposition to a Third Party of all or substantially all of such Party’s assets.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13.1</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i w:val="1"/>
          <w:iCs w:val="1"/>
          <w:color w:val="auto"/>
        </w:rPr>
        <w:t>Clinical Data</w:t>
      </w:r>
      <w:r>
        <w:rPr>
          <w:rFonts w:ascii="Arial" w:cs="Arial" w:eastAsia="Arial" w:hAnsi="Arial"/>
          <w:sz w:val="22"/>
          <w:szCs w:val="22"/>
          <w:color w:val="auto"/>
        </w:rPr>
        <w:t>” means any and all data (together with all Clinical Trial reports and the results of analyses thereof) derived or generated from any Clinical Trial of the Compound or Product or from testing of subjects or the analysis of samples used in any such Clinical Trial.</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b w:val="1"/>
          <w:bCs w:val="1"/>
          <w:i w:val="1"/>
          <w:iCs w:val="1"/>
          <w:color w:val="auto"/>
        </w:rPr>
        <w:t>Clinical Trial</w:t>
      </w:r>
      <w:r>
        <w:rPr>
          <w:rFonts w:ascii="Arial" w:cs="Arial" w:eastAsia="Arial" w:hAnsi="Arial"/>
          <w:sz w:val="22"/>
          <w:szCs w:val="22"/>
          <w:color w:val="auto"/>
        </w:rPr>
        <w:t>” means, collectively, any Phase 1 Clinical Trial, Phase 2 Clinical Trial, Phase 3 Clinical Trial, Pivotal Clinical Trial, and/or Post-Approval Clinical Trial, as applicable.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CoC Agreement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11.2.5</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Commercial Years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5.4.1</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1.25 “</w:t>
      </w:r>
      <w:r>
        <w:rPr>
          <w:rFonts w:ascii="Arial" w:cs="Arial" w:eastAsia="Arial" w:hAnsi="Arial"/>
          <w:sz w:val="19"/>
          <w:szCs w:val="19"/>
          <w:b w:val="1"/>
          <w:bCs w:val="1"/>
          <w:i w:val="1"/>
          <w:iCs w:val="1"/>
          <w:color w:val="auto"/>
        </w:rPr>
        <w:t>Commercialization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Commercialize</w:t>
      </w:r>
      <w:r>
        <w:rPr>
          <w:rFonts w:ascii="Arial" w:cs="Arial" w:eastAsia="Arial" w:hAnsi="Arial"/>
          <w:sz w:val="19"/>
          <w:szCs w:val="19"/>
          <w:color w:val="auto"/>
        </w:rPr>
        <w:t>” means any and all activities directed to the offering for sale and sale of a product after Marketing Authorization has been obtained with respect to such product, including</w:t>
      </w:r>
    </w:p>
    <w:p>
      <w:pPr>
        <w:spacing w:after="0" w:line="1" w:lineRule="exact"/>
        <w:rPr>
          <w:sz w:val="20"/>
          <w:szCs w:val="20"/>
          <w:color w:val="auto"/>
        </w:rPr>
      </w:pPr>
    </w:p>
    <w:p>
      <w:pPr>
        <w:jc w:val="both"/>
        <w:ind w:firstLine="8"/>
        <w:spacing w:after="0" w:line="277" w:lineRule="auto"/>
        <w:tabs>
          <w:tab w:leader="none" w:pos="303"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activities directed to marketing, promoting, detailing, distributing, importing, selling, and offering to sell such product (but, for clarity,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including studies to support Product positioning and/or market penetration); (b) interacting with Regulatory Authorities regarding any of the foregoing; and (c) seeking Pricing Approvals and Reimbursement Approvals for such product. When used as a verb, “</w:t>
      </w:r>
      <w:r>
        <w:rPr>
          <w:rFonts w:ascii="Arial" w:cs="Arial" w:eastAsia="Arial" w:hAnsi="Arial"/>
          <w:sz w:val="19"/>
          <w:szCs w:val="19"/>
          <w:b w:val="1"/>
          <w:bCs w:val="1"/>
          <w:i w:val="1"/>
          <w:iCs w:val="1"/>
          <w:color w:val="auto"/>
        </w:rPr>
        <w:t>to Commercialize</w:t>
      </w:r>
      <w:r>
        <w:rPr>
          <w:rFonts w:ascii="Arial" w:cs="Arial" w:eastAsia="Arial" w:hAnsi="Arial"/>
          <w:sz w:val="19"/>
          <w:szCs w:val="19"/>
          <w:color w:val="auto"/>
        </w:rPr>
        <w:t>” and “</w:t>
      </w:r>
      <w:r>
        <w:rPr>
          <w:rFonts w:ascii="Arial" w:cs="Arial" w:eastAsia="Arial" w:hAnsi="Arial"/>
          <w:sz w:val="19"/>
          <w:szCs w:val="19"/>
          <w:b w:val="1"/>
          <w:bCs w:val="1"/>
          <w:i w:val="1"/>
          <w:iCs w:val="1"/>
          <w:color w:val="auto"/>
        </w:rPr>
        <w:t>Commercializing</w:t>
      </w:r>
      <w:r>
        <w:rPr>
          <w:rFonts w:ascii="Arial" w:cs="Arial" w:eastAsia="Arial" w:hAnsi="Arial"/>
          <w:sz w:val="19"/>
          <w:szCs w:val="19"/>
          <w:color w:val="auto"/>
        </w:rPr>
        <w:t>” means to engage in Commercialization and “</w:t>
      </w:r>
      <w:r>
        <w:rPr>
          <w:rFonts w:ascii="Arial" w:cs="Arial" w:eastAsia="Arial" w:hAnsi="Arial"/>
          <w:sz w:val="19"/>
          <w:szCs w:val="19"/>
          <w:b w:val="1"/>
          <w:bCs w:val="1"/>
          <w:i w:val="1"/>
          <w:iCs w:val="1"/>
          <w:color w:val="auto"/>
        </w:rPr>
        <w:t>Commercialized</w:t>
      </w:r>
      <w:r>
        <w:rPr>
          <w:rFonts w:ascii="Arial" w:cs="Arial" w:eastAsia="Arial" w:hAnsi="Arial"/>
          <w:sz w:val="19"/>
          <w:szCs w:val="19"/>
          <w:color w:val="auto"/>
        </w:rPr>
        <w:t>” has a corresponding meaning.</w:t>
      </w:r>
    </w:p>
    <w:p>
      <w:pPr>
        <w:spacing w:after="0" w:line="152" w:lineRule="exact"/>
        <w:rPr>
          <w:sz w:val="20"/>
          <w:szCs w:val="20"/>
          <w:color w:val="auto"/>
        </w:rPr>
      </w:pPr>
    </w:p>
    <w:p>
      <w:pPr>
        <w:ind w:firstLine="648"/>
        <w:spacing w:after="0" w:line="276" w:lineRule="auto"/>
        <w:rPr>
          <w:sz w:val="20"/>
          <w:szCs w:val="20"/>
          <w:color w:val="auto"/>
        </w:rPr>
      </w:pPr>
      <w:r>
        <w:rPr>
          <w:rFonts w:ascii="Arial" w:cs="Arial" w:eastAsia="Arial" w:hAnsi="Arial"/>
          <w:sz w:val="19"/>
          <w:szCs w:val="19"/>
          <w:color w:val="auto"/>
        </w:rPr>
        <w:t>1.26 “</w:t>
      </w:r>
      <w:r>
        <w:rPr>
          <w:rFonts w:ascii="Arial" w:cs="Arial" w:eastAsia="Arial" w:hAnsi="Arial"/>
          <w:sz w:val="19"/>
          <w:szCs w:val="19"/>
          <w:b w:val="1"/>
          <w:bCs w:val="1"/>
          <w:i w:val="1"/>
          <w:iCs w:val="1"/>
          <w:color w:val="auto"/>
        </w:rPr>
        <w:t>Commercialization Plan</w:t>
      </w:r>
      <w:r>
        <w:rPr>
          <w:rFonts w:ascii="Arial" w:cs="Arial" w:eastAsia="Arial" w:hAnsi="Arial"/>
          <w:sz w:val="19"/>
          <w:szCs w:val="19"/>
          <w:color w:val="auto"/>
        </w:rPr>
        <w:t>” means each written report that (a) describes the Commercialization activities that Company reasonably expects to conduct with respect to the Product in the Field in the Territory, and</w:t>
      </w:r>
    </w:p>
    <w:p>
      <w:pPr>
        <w:spacing w:after="0" w:line="1" w:lineRule="exact"/>
        <w:rPr>
          <w:sz w:val="20"/>
          <w:szCs w:val="20"/>
          <w:color w:val="auto"/>
        </w:rPr>
      </w:pPr>
    </w:p>
    <w:p>
      <w:pPr>
        <w:jc w:val="both"/>
        <w:ind w:firstLine="8"/>
        <w:spacing w:after="0" w:line="266" w:lineRule="auto"/>
        <w:tabs>
          <w:tab w:leader="none" w:pos="325" w:val="left"/>
        </w:tabs>
        <w:numPr>
          <w:ilvl w:val="0"/>
          <w:numId w:val="48"/>
        </w:numPr>
        <w:rPr>
          <w:rFonts w:ascii="Arial" w:cs="Arial" w:eastAsia="Arial" w:hAnsi="Arial"/>
          <w:sz w:val="19"/>
          <w:szCs w:val="19"/>
          <w:color w:val="auto"/>
        </w:rPr>
      </w:pPr>
      <w:r>
        <w:rPr>
          <w:rFonts w:ascii="Arial" w:cs="Arial" w:eastAsia="Arial" w:hAnsi="Arial"/>
          <w:sz w:val="19"/>
          <w:szCs w:val="19"/>
          <w:color w:val="auto"/>
        </w:rPr>
        <w:t>sets forth (i) a non-binding estimate of projected sales of the Product in the Field in the Territory, and (ii) a summary of all actual sales of the Product in the Field in the Territory. Without limiting the foregoing, each Commercialization Plan shall include, without limitation, (w) demographics and market dynamics, market strategies, and a marketing plan (including advertising, detailing forecasts, Pricing strategies pertaining to discounts, and sales forecasts) for the Product in the Field in the Territory; (x) specific Commercialization and marketing objectives, projected milestones, resource allocation requirements, and activities to be performed over such period (including all anticipated Territory-Specific Requirements and including the anticipated launch of the Product in the Field in any countries or regions in the Territory) (collectively, the “</w:t>
      </w:r>
      <w:r>
        <w:rPr>
          <w:rFonts w:ascii="Arial" w:cs="Arial" w:eastAsia="Arial" w:hAnsi="Arial"/>
          <w:sz w:val="19"/>
          <w:szCs w:val="19"/>
          <w:b w:val="1"/>
          <w:bCs w:val="1"/>
          <w:i w:val="1"/>
          <w:iCs w:val="1"/>
          <w:color w:val="auto"/>
        </w:rPr>
        <w:t>Commercialization Targets</w:t>
      </w:r>
      <w:r>
        <w:rPr>
          <w:rFonts w:ascii="Arial" w:cs="Arial" w:eastAsia="Arial" w:hAnsi="Arial"/>
          <w:sz w:val="19"/>
          <w:szCs w:val="19"/>
          <w:color w:val="auto"/>
        </w:rPr>
        <w:t>”);</w:t>
      </w:r>
    </w:p>
    <w:p>
      <w:pPr>
        <w:spacing w:after="0" w:line="6" w:lineRule="exact"/>
        <w:rPr>
          <w:rFonts w:ascii="Arial" w:cs="Arial" w:eastAsia="Arial" w:hAnsi="Arial"/>
          <w:sz w:val="19"/>
          <w:szCs w:val="19"/>
          <w:color w:val="auto"/>
        </w:rPr>
      </w:pPr>
    </w:p>
    <w:p>
      <w:pPr>
        <w:ind w:left="320" w:hanging="312"/>
        <w:spacing w:after="0"/>
        <w:tabs>
          <w:tab w:leader="none" w:pos="3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8" w:name="page89"/>
    <w:bookmarkEnd w:id="88"/>
    <w:p>
      <w:pPr>
        <w:jc w:val="both"/>
        <w:spacing w:after="0"/>
        <w:rPr>
          <w:sz w:val="20"/>
          <w:szCs w:val="20"/>
          <w:color w:val="auto"/>
        </w:rPr>
      </w:pPr>
      <w:r>
        <w:rPr>
          <w:rFonts w:ascii="Arial" w:cs="Arial" w:eastAsia="Arial" w:hAnsi="Arial"/>
          <w:sz w:val="22"/>
          <w:szCs w:val="22"/>
          <w:color w:val="auto"/>
        </w:rPr>
        <w:t xml:space="preserve">timeline for such activities, including the estimated launch date of such Product in the Field in each country or region of the Territory; and (z) a sales and expense forecast (including at least </w:t>
      </w:r>
      <w:r>
        <w:rPr>
          <w:rFonts w:ascii="Arial" w:cs="Arial" w:eastAsia="Arial" w:hAnsi="Arial"/>
          <w:sz w:val="17"/>
          <w:szCs w:val="17"/>
          <w:b w:val="1"/>
          <w:bCs w:val="1"/>
          <w:color w:val="auto"/>
        </w:rPr>
        <w:t>[***]</w:t>
      </w:r>
      <w:r>
        <w:rPr>
          <w:rFonts w:ascii="Arial" w:cs="Arial" w:eastAsia="Arial" w:hAnsi="Arial"/>
          <w:sz w:val="22"/>
          <w:szCs w:val="22"/>
          <w:color w:val="auto"/>
        </w:rPr>
        <w:t>) for the Product in the Field in the Territory.</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Commercialization Report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5.7</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1.28 “</w:t>
      </w:r>
      <w:r>
        <w:rPr>
          <w:rFonts w:ascii="Arial" w:cs="Arial" w:eastAsia="Arial" w:hAnsi="Arial"/>
          <w:sz w:val="19"/>
          <w:szCs w:val="19"/>
          <w:b w:val="1"/>
          <w:bCs w:val="1"/>
          <w:i w:val="1"/>
          <w:iCs w:val="1"/>
          <w:color w:val="auto"/>
        </w:rPr>
        <w:t>Commercially Reasonable Efforts</w:t>
      </w:r>
      <w:r>
        <w:rPr>
          <w:rFonts w:ascii="Arial" w:cs="Arial" w:eastAsia="Arial" w:hAnsi="Arial"/>
          <w:sz w:val="19"/>
          <w:szCs w:val="19"/>
          <w:color w:val="auto"/>
        </w:rPr>
        <w:t xml:space="preserve">” means, with respect to the activities of Company (and/or its Affiliates, Sublicensees, and Distributors), in the Development or Commercialization, as the case may be, of the Product, the level of efforts and resources typically used and expected from a pharmaceutical company for the development or commercialization of products of comparable market potential, which such products are fully owned by such pharmaceutical company without the obligation to compensate any third party in connection with such commercial exploitation (including profit sharing and other arrangements), taking into account all relevant factors including, as applicable: the stage of development; observed efficacy and safety of the Product, including as relative to other anti-CD20 monoclonal antibodies in the Field in the marketplace; actual or anticipated Regulatory Authority approved labeling; the nature and extent of market exclusivity (including patent coverage, regulatory exclusivity, and competitiveness of alternative products); the cost and likelihood of obtaining Marketing Authorization; the actual or projected profitability; and the reasonably expected and actual pricing, reimbursement, and formulary status; and </w:t>
      </w:r>
      <w:r>
        <w:rPr>
          <w:rFonts w:ascii="Arial" w:cs="Arial" w:eastAsia="Arial" w:hAnsi="Arial"/>
          <w:sz w:val="19"/>
          <w:szCs w:val="19"/>
          <w:u w:val="single" w:color="auto"/>
          <w:color w:val="auto"/>
        </w:rPr>
        <w:t>without</w:t>
      </w:r>
      <w:r>
        <w:rPr>
          <w:rFonts w:ascii="Arial" w:cs="Arial" w:eastAsia="Arial" w:hAnsi="Arial"/>
          <w:sz w:val="19"/>
          <w:szCs w:val="19"/>
          <w:color w:val="auto"/>
        </w:rPr>
        <w:t xml:space="preserve"> considering Company’s and/or its Affiliates’, Sublicensees’, and Distributors’ internal development and/or commercialization programs or its particular circumstances. For purposes of clarity, Commercially Reasonable Efforts shall be determined on a market-by-market basis for the Product, and it is anticipated that the level of effort may be different for different markets and may change over time, reflecting changes in the status of the Product and the market(s) involved.</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Company Data</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3.7</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Company Development Activities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3.1.3</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1.31 “</w:t>
      </w:r>
      <w:r>
        <w:rPr>
          <w:rFonts w:ascii="Arial" w:cs="Arial" w:eastAsia="Arial" w:hAnsi="Arial"/>
          <w:sz w:val="21"/>
          <w:szCs w:val="21"/>
          <w:b w:val="1"/>
          <w:bCs w:val="1"/>
          <w:i w:val="1"/>
          <w:iCs w:val="1"/>
          <w:color w:val="auto"/>
        </w:rPr>
        <w:t>Company Employees</w:t>
      </w:r>
      <w:r>
        <w:rPr>
          <w:rFonts w:ascii="Arial" w:cs="Arial" w:eastAsia="Arial" w:hAnsi="Arial"/>
          <w:sz w:val="21"/>
          <w:szCs w:val="21"/>
          <w:color w:val="auto"/>
        </w:rPr>
        <w:t>” means any employee, officer, agent, agency personnel, or any other person acting for or on behalf of Company or otherwise under Company’s control or direction who is wholly or mainly assigned to providing Commercialization activities and/or Company Development Activities.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Company Indemnities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13.2</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Company Persons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12.3.6</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1.34 “</w:t>
      </w:r>
      <w:r>
        <w:rPr>
          <w:rFonts w:ascii="Arial" w:cs="Arial" w:eastAsia="Arial" w:hAnsi="Arial"/>
          <w:sz w:val="22"/>
          <w:szCs w:val="22"/>
          <w:b w:val="1"/>
          <w:bCs w:val="1"/>
          <w:i w:val="1"/>
          <w:iCs w:val="1"/>
          <w:color w:val="auto"/>
        </w:rPr>
        <w:t>Competitive Program</w:t>
      </w:r>
      <w:r>
        <w:rPr>
          <w:rFonts w:ascii="Arial" w:cs="Arial" w:eastAsia="Arial" w:hAnsi="Arial"/>
          <w:sz w:val="22"/>
          <w:szCs w:val="22"/>
          <w:color w:val="auto"/>
        </w:rPr>
        <w:t xml:space="preserve">” means any program that involves the research, development or commercialization of any (a) </w:t>
      </w:r>
      <w:r>
        <w:rPr>
          <w:rFonts w:ascii="Arial" w:cs="Arial" w:eastAsia="Arial" w:hAnsi="Arial"/>
          <w:sz w:val="17"/>
          <w:szCs w:val="17"/>
          <w:b w:val="1"/>
          <w:bCs w:val="1"/>
          <w:color w:val="auto"/>
        </w:rPr>
        <w:t>[***]</w:t>
      </w:r>
      <w:r>
        <w:rPr>
          <w:rFonts w:ascii="Arial" w:cs="Arial" w:eastAsia="Arial" w:hAnsi="Arial"/>
          <w:sz w:val="22"/>
          <w:szCs w:val="22"/>
          <w:color w:val="auto"/>
        </w:rPr>
        <w:t xml:space="preserve"> or (b) </w:t>
      </w:r>
      <w:r>
        <w:rPr>
          <w:rFonts w:ascii="Arial" w:cs="Arial" w:eastAsia="Arial" w:hAnsi="Arial"/>
          <w:sz w:val="17"/>
          <w:szCs w:val="17"/>
          <w:b w:val="1"/>
          <w:bCs w:val="1"/>
          <w:color w:val="auto"/>
        </w:rPr>
        <w:t>[***]</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1.35 “</w:t>
      </w:r>
      <w:r>
        <w:rPr>
          <w:rFonts w:ascii="Arial" w:cs="Arial" w:eastAsia="Arial" w:hAnsi="Arial"/>
          <w:sz w:val="22"/>
          <w:szCs w:val="22"/>
          <w:b w:val="1"/>
          <w:bCs w:val="1"/>
          <w:i w:val="1"/>
          <w:iCs w:val="1"/>
          <w:color w:val="auto"/>
        </w:rPr>
        <w:t>Compound</w:t>
      </w:r>
      <w:r>
        <w:rPr>
          <w:rFonts w:ascii="Arial" w:cs="Arial" w:eastAsia="Arial" w:hAnsi="Arial"/>
          <w:sz w:val="22"/>
          <w:szCs w:val="22"/>
          <w:color w:val="auto"/>
        </w:rPr>
        <w:t>” means the CD20 targeting antibody referred to as ublituximab (CAS 1174014-05-1), previously known as TG-1101 or LFB-R603.</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1.36 “</w:t>
      </w:r>
      <w:r>
        <w:rPr>
          <w:rFonts w:ascii="Arial" w:cs="Arial" w:eastAsia="Arial" w:hAnsi="Arial"/>
          <w:sz w:val="22"/>
          <w:szCs w:val="22"/>
          <w:b w:val="1"/>
          <w:bCs w:val="1"/>
          <w:i w:val="1"/>
          <w:iCs w:val="1"/>
          <w:color w:val="auto"/>
        </w:rPr>
        <w:t>Confidential Information</w:t>
      </w:r>
      <w:r>
        <w:rPr>
          <w:rFonts w:ascii="Arial" w:cs="Arial" w:eastAsia="Arial" w:hAnsi="Arial"/>
          <w:sz w:val="22"/>
          <w:szCs w:val="22"/>
          <w:color w:val="auto"/>
        </w:rPr>
        <w:t>” means with respect to each Party, all information, Technology, and Proprietary Materials that is disclosed or provided by or on behalf of such Party (the “</w:t>
      </w:r>
      <w:r>
        <w:rPr>
          <w:rFonts w:ascii="Arial" w:cs="Arial" w:eastAsia="Arial" w:hAnsi="Arial"/>
          <w:sz w:val="22"/>
          <w:szCs w:val="22"/>
          <w:b w:val="1"/>
          <w:bCs w:val="1"/>
          <w:i w:val="1"/>
          <w:iCs w:val="1"/>
          <w:color w:val="auto"/>
        </w:rPr>
        <w:t>Disclosing Party</w:t>
      </w:r>
      <w:r>
        <w:rPr>
          <w:rFonts w:ascii="Arial" w:cs="Arial" w:eastAsia="Arial" w:hAnsi="Arial"/>
          <w:sz w:val="22"/>
          <w:szCs w:val="22"/>
          <w:color w:val="auto"/>
        </w:rPr>
        <w:t>”) to the other Party (the “</w:t>
      </w:r>
      <w:r>
        <w:rPr>
          <w:rFonts w:ascii="Arial" w:cs="Arial" w:eastAsia="Arial" w:hAnsi="Arial"/>
          <w:sz w:val="22"/>
          <w:szCs w:val="22"/>
          <w:b w:val="1"/>
          <w:bCs w:val="1"/>
          <w:i w:val="1"/>
          <w:iCs w:val="1"/>
          <w:color w:val="auto"/>
        </w:rPr>
        <w:t>Receiving Party</w:t>
      </w:r>
      <w:r>
        <w:rPr>
          <w:rFonts w:ascii="Arial" w:cs="Arial" w:eastAsia="Arial" w:hAnsi="Arial"/>
          <w:sz w:val="22"/>
          <w:szCs w:val="22"/>
          <w:color w:val="auto"/>
        </w:rPr>
        <w:t>”) or to any of the Receiving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89" w:name="page90"/>
    <w:bookmarkEnd w:id="89"/>
    <w:p>
      <w:pPr>
        <w:jc w:val="both"/>
        <w:spacing w:after="0" w:line="268" w:lineRule="auto"/>
        <w:rPr>
          <w:sz w:val="20"/>
          <w:szCs w:val="20"/>
          <w:color w:val="auto"/>
        </w:rPr>
      </w:pPr>
      <w:r>
        <w:rPr>
          <w:rFonts w:ascii="Arial" w:cs="Arial" w:eastAsia="Arial" w:hAnsi="Arial"/>
          <w:sz w:val="19"/>
          <w:szCs w:val="19"/>
          <w:color w:val="auto"/>
        </w:rPr>
        <w:t>Party’s employees, consultants, Affiliates, or sublicensees, or that is otherwise developed under this Agreement; provided, that, none of the foregoing shall be Confidential Information if: (a) as of the date of disclosure, it is known to the Receiving Party or its Affiliates as demonstrated by contemporaneous written documentation maintained in the ordinary course of business, other than by virtue of a prior confidential disclosure to such Receiving Party; (b) as of the date of disclosure it is in the public domain, or it subsequently enters the public domain through no fault of the Receiving Party; (c) it is obtained by the Receiving Party from a Third Party having a lawful right to make such disclosure free from any obligation of confidentiality to the Disclosing Party; or (d) it is independently developed by or for the Receiving Party without reference to or use of any Confidential Information of the Disclosing Party as demonstrated by contemporaneous written documentation maintained in the ordinary course of business. For purposes of clarity, (w) unless excluded from Confidential Information pursuant to the preceding sentence, any scientific, technical, manufacturing, or financial information of a Party that is disclosed through any report (including any audit report) shall constitute Confidential Information of the Disclosing Party; (x) all Clinical Data disclosed to Company as part of the Licensed Technology or otherwise produced by TG in connection with the Global Development Activities shall be Confidential Information of TG;</w:t>
      </w:r>
    </w:p>
    <w:p>
      <w:pPr>
        <w:spacing w:after="0" w:line="4" w:lineRule="exact"/>
        <w:rPr>
          <w:sz w:val="20"/>
          <w:szCs w:val="20"/>
          <w:color w:val="auto"/>
        </w:rPr>
      </w:pPr>
    </w:p>
    <w:p>
      <w:pPr>
        <w:jc w:val="both"/>
        <w:ind w:firstLine="8"/>
        <w:spacing w:after="0" w:line="244" w:lineRule="auto"/>
        <w:tabs>
          <w:tab w:leader="none" w:pos="338"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all Clinical Data produced by Company in connection with the Company Development Activities shall be Confidential Information of Company (except to the extent necessary for TG exercise its rights under </w:t>
      </w:r>
      <w:r>
        <w:rPr>
          <w:rFonts w:ascii="Arial" w:cs="Arial" w:eastAsia="Arial" w:hAnsi="Arial"/>
          <w:sz w:val="21"/>
          <w:szCs w:val="21"/>
          <w:u w:val="single" w:color="auto"/>
          <w:color w:val="auto"/>
        </w:rPr>
        <w:t>Sections 3.7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11.4</w:t>
      </w:r>
      <w:r>
        <w:rPr>
          <w:rFonts w:ascii="Arial" w:cs="Arial" w:eastAsia="Arial" w:hAnsi="Arial"/>
          <w:sz w:val="21"/>
          <w:szCs w:val="21"/>
          <w:color w:val="auto"/>
        </w:rPr>
        <w:t>); and (z)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1.37 “</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or “</w:t>
      </w:r>
      <w:r>
        <w:rPr>
          <w:rFonts w:ascii="Arial" w:cs="Arial" w:eastAsia="Arial" w:hAnsi="Arial"/>
          <w:sz w:val="19"/>
          <w:szCs w:val="19"/>
          <w:b w:val="1"/>
          <w:bCs w:val="1"/>
          <w:i w:val="1"/>
          <w:iCs w:val="1"/>
          <w:color w:val="auto"/>
        </w:rPr>
        <w:t>Controlled</w:t>
      </w:r>
      <w:r>
        <w:rPr>
          <w:rFonts w:ascii="Arial" w:cs="Arial" w:eastAsia="Arial" w:hAnsi="Arial"/>
          <w:sz w:val="19"/>
          <w:szCs w:val="19"/>
          <w:color w:val="auto"/>
        </w:rPr>
        <w:t>” means (a) with respect to Technology (other than Proprietary Materials) or Patent Rights, the possession by a Party of the right to grant a license or sublicense to such Technology or Patent Rights as provided herein without violating the terms of any agreement or arrangement with, infringing the Patent Rights of, or misappropriating the proprietary or trade secret information of, any Third Party and without violating any Applicable Laws and (b) with respect to Proprietary Materials, the possession by a Party of the right to supply such Proprietary Materials to the other Party as provided herein without violating the terms of any agreement or arrangement with any Third Party and without violating any Applicable Laws. Notwithstanding the foregoing, no Party shall be deemed to Control any Technology, Proprietary Materials, or Patent Rights solely by virtue of the license grants set forth in this Agreement.</w:t>
      </w:r>
    </w:p>
    <w:p>
      <w:pPr>
        <w:spacing w:after="0" w:line="15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1.38 “</w:t>
      </w:r>
      <w:r>
        <w:rPr>
          <w:rFonts w:ascii="Arial" w:cs="Arial" w:eastAsia="Arial" w:hAnsi="Arial"/>
          <w:sz w:val="22"/>
          <w:szCs w:val="22"/>
          <w:b w:val="1"/>
          <w:bCs w:val="1"/>
          <w:i w:val="1"/>
          <w:iCs w:val="1"/>
          <w:color w:val="auto"/>
        </w:rPr>
        <w:t>Cover</w:t>
      </w:r>
      <w:r>
        <w:rPr>
          <w:rFonts w:ascii="Arial" w:cs="Arial" w:eastAsia="Arial" w:hAnsi="Arial"/>
          <w:sz w:val="22"/>
          <w:szCs w:val="22"/>
          <w:color w:val="auto"/>
        </w:rPr>
        <w:t>” or “</w:t>
      </w:r>
      <w:r>
        <w:rPr>
          <w:rFonts w:ascii="Arial" w:cs="Arial" w:eastAsia="Arial" w:hAnsi="Arial"/>
          <w:sz w:val="22"/>
          <w:szCs w:val="22"/>
          <w:b w:val="1"/>
          <w:bCs w:val="1"/>
          <w:i w:val="1"/>
          <w:iCs w:val="1"/>
          <w:color w:val="auto"/>
        </w:rPr>
        <w:t>Covered</w:t>
      </w:r>
      <w:r>
        <w:rPr>
          <w:rFonts w:ascii="Arial" w:cs="Arial" w:eastAsia="Arial" w:hAnsi="Arial"/>
          <w:sz w:val="22"/>
          <w:szCs w:val="22"/>
          <w:color w:val="auto"/>
        </w:rPr>
        <w:t>” means, with respect to the Product, that the manufacture, use, sale, or other Commercialization of the Product in a particular country by an unlicensed Third Party would infringe a Valid Claim.</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Defensive Action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10.5.2(a)</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1.40 “</w:t>
      </w:r>
      <w:r>
        <w:rPr>
          <w:rFonts w:ascii="Arial" w:cs="Arial" w:eastAsia="Arial" w:hAnsi="Arial"/>
          <w:sz w:val="22"/>
          <w:szCs w:val="22"/>
          <w:b w:val="1"/>
          <w:bCs w:val="1"/>
          <w:i w:val="1"/>
          <w:iCs w:val="1"/>
          <w:color w:val="auto"/>
        </w:rPr>
        <w:t>Development</w:t>
      </w:r>
      <w:r>
        <w:rPr>
          <w:rFonts w:ascii="Arial" w:cs="Arial" w:eastAsia="Arial" w:hAnsi="Arial"/>
          <w:sz w:val="22"/>
          <w:szCs w:val="22"/>
          <w:color w:val="auto"/>
        </w:rPr>
        <w:t>” or “</w:t>
      </w:r>
      <w:r>
        <w:rPr>
          <w:rFonts w:ascii="Arial" w:cs="Arial" w:eastAsia="Arial" w:hAnsi="Arial"/>
          <w:sz w:val="22"/>
          <w:szCs w:val="22"/>
          <w:b w:val="1"/>
          <w:bCs w:val="1"/>
          <w:i w:val="1"/>
          <w:iCs w:val="1"/>
          <w:color w:val="auto"/>
        </w:rPr>
        <w:t>Develop</w:t>
      </w:r>
      <w:r>
        <w:rPr>
          <w:rFonts w:ascii="Arial" w:cs="Arial" w:eastAsia="Arial" w:hAnsi="Arial"/>
          <w:sz w:val="22"/>
          <w:szCs w:val="22"/>
          <w:color w:val="auto"/>
        </w:rPr>
        <w:t>” means (a) all non-clinical and clinical development activities that are undertaken with respect to the Product, including, without limitation, (i) the conduct of Clinical Trials, toxicology and pharmacology testing, test method development and stability testing, formulation development, delivery system development, quality assurance and quality control development, analytical method development, human clinical studies, regulatory affairs activities, statistical analysis, and report writing; (ii) the preparation of Clinical Trial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0" w:name="page91"/>
    <w:bookmarkEnd w:id="90"/>
    <w:p>
      <w:pPr>
        <w:jc w:val="both"/>
        <w:spacing w:after="0" w:line="236" w:lineRule="auto"/>
        <w:rPr>
          <w:sz w:val="20"/>
          <w:szCs w:val="20"/>
          <w:color w:val="auto"/>
        </w:rPr>
      </w:pPr>
      <w:r>
        <w:rPr>
          <w:rFonts w:ascii="Arial" w:cs="Arial" w:eastAsia="Arial" w:hAnsi="Arial"/>
          <w:sz w:val="22"/>
          <w:szCs w:val="22"/>
          <w:color w:val="auto"/>
        </w:rPr>
        <w:t>and operations; and (iii) without limiting the generality of the foregoing (i), the conduct of Post Approval Clinical Trials and any post-marketing safety surveillance and maintaining databases, including studies to support Product positioning and/or market penetration; and (b) any and all other activities that may be necessary or useful to obtain Regulatory Approval. When used as a verb, “</w:t>
      </w:r>
      <w:r>
        <w:rPr>
          <w:rFonts w:ascii="Arial" w:cs="Arial" w:eastAsia="Arial" w:hAnsi="Arial"/>
          <w:sz w:val="22"/>
          <w:szCs w:val="22"/>
          <w:b w:val="1"/>
          <w:bCs w:val="1"/>
          <w:i w:val="1"/>
          <w:iCs w:val="1"/>
          <w:color w:val="auto"/>
        </w:rPr>
        <w:t>Developing</w:t>
      </w:r>
      <w:r>
        <w:rPr>
          <w:rFonts w:ascii="Arial" w:cs="Arial" w:eastAsia="Arial" w:hAnsi="Arial"/>
          <w:sz w:val="22"/>
          <w:szCs w:val="22"/>
          <w:color w:val="auto"/>
        </w:rPr>
        <w:t>” means to engage in Development and “</w:t>
      </w:r>
      <w:r>
        <w:rPr>
          <w:rFonts w:ascii="Arial" w:cs="Arial" w:eastAsia="Arial" w:hAnsi="Arial"/>
          <w:sz w:val="22"/>
          <w:szCs w:val="22"/>
          <w:b w:val="1"/>
          <w:bCs w:val="1"/>
          <w:i w:val="1"/>
          <w:iCs w:val="1"/>
          <w:color w:val="auto"/>
        </w:rPr>
        <w:t>Developed</w:t>
      </w:r>
      <w:r>
        <w:rPr>
          <w:rFonts w:ascii="Arial" w:cs="Arial" w:eastAsia="Arial" w:hAnsi="Arial"/>
          <w:sz w:val="22"/>
          <w:szCs w:val="22"/>
          <w:color w:val="auto"/>
        </w:rPr>
        <w:t>” has a corresponding meaning.</w:t>
      </w:r>
    </w:p>
    <w:p>
      <w:pPr>
        <w:spacing w:after="0" w:line="1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1.41 “</w:t>
      </w:r>
      <w:r>
        <w:rPr>
          <w:rFonts w:ascii="Arial" w:cs="Arial" w:eastAsia="Arial" w:hAnsi="Arial"/>
          <w:sz w:val="21"/>
          <w:szCs w:val="21"/>
          <w:b w:val="1"/>
          <w:bCs w:val="1"/>
          <w:i w:val="1"/>
          <w:iCs w:val="1"/>
          <w:color w:val="auto"/>
        </w:rPr>
        <w:t>Development Plan</w:t>
      </w:r>
      <w:r>
        <w:rPr>
          <w:rFonts w:ascii="Arial" w:cs="Arial" w:eastAsia="Arial" w:hAnsi="Arial"/>
          <w:sz w:val="21"/>
          <w:szCs w:val="21"/>
          <w:color w:val="auto"/>
        </w:rPr>
        <w:t xml:space="preserve">” means the non-binding written plan for, and estimated budget applicable to, the anticipated Company Development Activities relating to the Product, as such written plan may be amended, modified, or updated in accordance with </w:t>
      </w:r>
      <w:r>
        <w:rPr>
          <w:rFonts w:ascii="Arial" w:cs="Arial" w:eastAsia="Arial" w:hAnsi="Arial"/>
          <w:sz w:val="21"/>
          <w:szCs w:val="21"/>
          <w:u w:val="single" w:color="auto"/>
          <w:color w:val="auto"/>
        </w:rPr>
        <w:t>Section 3.4</w:t>
      </w:r>
      <w:r>
        <w:rPr>
          <w:rFonts w:ascii="Arial" w:cs="Arial" w:eastAsia="Arial" w:hAnsi="Arial"/>
          <w:sz w:val="21"/>
          <w:szCs w:val="21"/>
          <w:color w:val="auto"/>
        </w:rPr>
        <w:t xml:space="preserve">. Topics that shall be covered in the plan include: (a) any Clinical Trials (including investigator-initiated clinical trials) related to the Product in the Field that Company expects to conduct in accordance with </w:t>
      </w:r>
      <w:r>
        <w:rPr>
          <w:rFonts w:ascii="Arial" w:cs="Arial" w:eastAsia="Arial" w:hAnsi="Arial"/>
          <w:sz w:val="21"/>
          <w:szCs w:val="21"/>
          <w:u w:val="single" w:color="auto"/>
          <w:color w:val="auto"/>
        </w:rPr>
        <w:t>Sections 3.1.2(b)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3.1.3</w:t>
      </w:r>
      <w:r>
        <w:rPr>
          <w:rFonts w:ascii="Arial" w:cs="Arial" w:eastAsia="Arial" w:hAnsi="Arial"/>
          <w:sz w:val="21"/>
          <w:szCs w:val="21"/>
          <w:color w:val="auto"/>
        </w:rPr>
        <w:t xml:space="preserve"> and the expected timeline for conducting such Clinical Trials; and (b) the Drug Approval Applications for the Product in the Field in the Territory, and the expected timetable for filing such Drug Approval Applications.</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Development Report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3.6</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Dispute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14.1</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Distribution Agreement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2.2.2</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1.45 “</w:t>
      </w:r>
      <w:r>
        <w:rPr>
          <w:rFonts w:ascii="Arial" w:cs="Arial" w:eastAsia="Arial" w:hAnsi="Arial"/>
          <w:sz w:val="22"/>
          <w:szCs w:val="22"/>
          <w:b w:val="1"/>
          <w:bCs w:val="1"/>
          <w:i w:val="1"/>
          <w:iCs w:val="1"/>
          <w:color w:val="auto"/>
        </w:rPr>
        <w:t>Distributor</w:t>
      </w:r>
      <w:r>
        <w:rPr>
          <w:rFonts w:ascii="Arial" w:cs="Arial" w:eastAsia="Arial" w:hAnsi="Arial"/>
          <w:sz w:val="22"/>
          <w:szCs w:val="22"/>
          <w:color w:val="auto"/>
        </w:rPr>
        <w:t>” means any Person that purchases Product from Company or any of Company’s Affiliates or Sublicensees for purposes of resale of Product to end users in the Territory (including any wholesalers, pharmacists, or hospitals).</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DP PSA</w:t>
      </w:r>
      <w:r>
        <w:rPr>
          <w:rFonts w:ascii="Arial" w:cs="Arial" w:eastAsia="Arial" w:hAnsi="Arial"/>
          <w:sz w:val="19"/>
          <w:szCs w:val="19"/>
          <w:color w:val="auto"/>
        </w:rPr>
        <w:t>” has the meaning set forth in Article 6.</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1.47 “</w:t>
      </w:r>
      <w:r>
        <w:rPr>
          <w:rFonts w:ascii="Arial" w:cs="Arial" w:eastAsia="Arial" w:hAnsi="Arial"/>
          <w:sz w:val="22"/>
          <w:szCs w:val="22"/>
          <w:b w:val="1"/>
          <w:bCs w:val="1"/>
          <w:i w:val="1"/>
          <w:iCs w:val="1"/>
          <w:color w:val="auto"/>
        </w:rPr>
        <w:t>Drug Approval Application</w:t>
      </w:r>
      <w:r>
        <w:rPr>
          <w:rFonts w:ascii="Arial" w:cs="Arial" w:eastAsia="Arial" w:hAnsi="Arial"/>
          <w:sz w:val="22"/>
          <w:szCs w:val="22"/>
          <w:color w:val="auto"/>
        </w:rPr>
        <w:t>” means, with respect to the Product in any country or region in the Territory, an application for Marketing Authorization for the Product in such country or region. For purposes of clarity, Drug Approval Application shall include, without limitation, (a) a marketing authorization application (MAA) for Europe; (b) a counterpart of an MAA in any other country or region in the Territory; and (c) and all supplements and amendments to the foregoing.</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Drug Substance</w:t>
      </w:r>
      <w:r>
        <w:rPr>
          <w:rFonts w:ascii="Arial" w:cs="Arial" w:eastAsia="Arial" w:hAnsi="Arial"/>
          <w:sz w:val="19"/>
          <w:szCs w:val="19"/>
          <w:color w:val="auto"/>
        </w:rPr>
        <w:t>” has the meaning set forth in the DS PSA.</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Drug Product</w:t>
      </w:r>
      <w:r>
        <w:rPr>
          <w:rFonts w:ascii="Arial" w:cs="Arial" w:eastAsia="Arial" w:hAnsi="Arial"/>
          <w:sz w:val="19"/>
          <w:szCs w:val="19"/>
          <w:color w:val="auto"/>
        </w:rPr>
        <w:t>” has the meaning set forth in the DP PSA.</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DS PSA</w:t>
      </w:r>
      <w:r>
        <w:rPr>
          <w:rFonts w:ascii="Arial" w:cs="Arial" w:eastAsia="Arial" w:hAnsi="Arial"/>
          <w:sz w:val="19"/>
          <w:szCs w:val="19"/>
          <w:color w:val="auto"/>
        </w:rPr>
        <w:t>” has the meaning set forth in Article 6.</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DTT Residence Certificate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8.3.6</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EMA</w:t>
      </w:r>
      <w:r>
        <w:rPr>
          <w:rFonts w:ascii="Arial" w:cs="Arial" w:eastAsia="Arial" w:hAnsi="Arial"/>
          <w:sz w:val="19"/>
          <w:szCs w:val="19"/>
          <w:color w:val="auto"/>
        </w:rPr>
        <w:t>” means the European Medicines Agency or any successor agency or authority thereto.</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1.53 “</w:t>
      </w:r>
      <w:r>
        <w:rPr>
          <w:rFonts w:ascii="Arial" w:cs="Arial" w:eastAsia="Arial" w:hAnsi="Arial"/>
          <w:sz w:val="22"/>
          <w:szCs w:val="22"/>
          <w:b w:val="1"/>
          <w:bCs w:val="1"/>
          <w:i w:val="1"/>
          <w:iCs w:val="1"/>
          <w:color w:val="auto"/>
        </w:rPr>
        <w:t>Excluded Application</w:t>
      </w:r>
      <w:r>
        <w:rPr>
          <w:rFonts w:ascii="Arial" w:cs="Arial" w:eastAsia="Arial" w:hAnsi="Arial"/>
          <w:sz w:val="22"/>
          <w:szCs w:val="22"/>
          <w:color w:val="auto"/>
        </w:rPr>
        <w:t>” means (a) any application involving the determination or monitoring of (i) the presence or absence of a disease; (ii) the stage, progression, or severity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1" w:name="page92"/>
    <w:bookmarkEnd w:id="91"/>
    <w:p>
      <w:pPr>
        <w:jc w:val="both"/>
        <w:spacing w:after="0" w:line="250" w:lineRule="auto"/>
        <w:rPr>
          <w:sz w:val="20"/>
          <w:szCs w:val="20"/>
          <w:color w:val="auto"/>
        </w:rPr>
      </w:pPr>
      <w:r>
        <w:rPr>
          <w:rFonts w:ascii="Arial" w:cs="Arial" w:eastAsia="Arial" w:hAnsi="Arial"/>
          <w:sz w:val="22"/>
          <w:szCs w:val="22"/>
          <w:color w:val="auto"/>
        </w:rPr>
        <w:t xml:space="preserve">disease or (iii) the effect on a disease of a particular treatment; (b) any application involving the selection of patients for a particular treatment; and (c) any </w:t>
      </w:r>
      <w:r>
        <w:rPr>
          <w:rFonts w:ascii="Arial" w:cs="Arial" w:eastAsia="Arial" w:hAnsi="Arial"/>
          <w:sz w:val="22"/>
          <w:szCs w:val="22"/>
          <w:i w:val="1"/>
          <w:iCs w:val="1"/>
          <w:color w:val="auto"/>
        </w:rPr>
        <w:t>in vitro</w:t>
      </w:r>
      <w:r>
        <w:rPr>
          <w:rFonts w:ascii="Arial" w:cs="Arial" w:eastAsia="Arial" w:hAnsi="Arial"/>
          <w:sz w:val="22"/>
          <w:szCs w:val="22"/>
          <w:color w:val="auto"/>
        </w:rPr>
        <w:t xml:space="preserve"> applications or uses.</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1.54 “</w:t>
      </w:r>
      <w:r>
        <w:rPr>
          <w:rFonts w:ascii="Arial" w:cs="Arial" w:eastAsia="Arial" w:hAnsi="Arial"/>
          <w:sz w:val="22"/>
          <w:szCs w:val="22"/>
          <w:b w:val="1"/>
          <w:bCs w:val="1"/>
          <w:i w:val="1"/>
          <w:iCs w:val="1"/>
          <w:color w:val="auto"/>
        </w:rPr>
        <w:t>Excluded Territory</w:t>
      </w:r>
      <w:r>
        <w:rPr>
          <w:rFonts w:ascii="Arial" w:cs="Arial" w:eastAsia="Arial" w:hAnsi="Arial"/>
          <w:sz w:val="22"/>
          <w:szCs w:val="22"/>
          <w:color w:val="auto"/>
        </w:rPr>
        <w:t>” means all of the following countries, regions, and jurisdictions: (a) United States; (b) Canada; (c) Mexico; (d) South Korea; (e) Taiwan; (f) Singapore; (g) Indonesia; (h) Malaysia; (i) Thailand; (j) Philippines; (k) Vietnam; and (l) Myanmar; in each case, including all of its territories, commonwealths, and possessions.</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1.55 “</w:t>
      </w:r>
      <w:r>
        <w:rPr>
          <w:rFonts w:ascii="Arial" w:cs="Arial" w:eastAsia="Arial" w:hAnsi="Arial"/>
          <w:sz w:val="22"/>
          <w:szCs w:val="22"/>
          <w:b w:val="1"/>
          <w:bCs w:val="1"/>
          <w:i w:val="1"/>
          <w:iCs w:val="1"/>
          <w:color w:val="auto"/>
        </w:rPr>
        <w:t>Excluded Territory-Specific PMCs/PMRs</w:t>
      </w:r>
      <w:r>
        <w:rPr>
          <w:rFonts w:ascii="Arial" w:cs="Arial" w:eastAsia="Arial" w:hAnsi="Arial"/>
          <w:sz w:val="22"/>
          <w:szCs w:val="22"/>
          <w:color w:val="auto"/>
        </w:rPr>
        <w:t xml:space="preserve">” means (a) those Post-Marketing Commitments &amp; Requirements that are identified as Excluded Territory-Specific PMCs/PMRs on </w:t>
      </w:r>
      <w:r>
        <w:rPr>
          <w:rFonts w:ascii="Arial" w:cs="Arial" w:eastAsia="Arial" w:hAnsi="Arial"/>
          <w:sz w:val="22"/>
          <w:szCs w:val="22"/>
          <w:u w:val="single" w:color="auto"/>
          <w:color w:val="auto"/>
        </w:rPr>
        <w:t>Schedule 3.1.2</w:t>
      </w:r>
      <w:r>
        <w:rPr>
          <w:rFonts w:ascii="Arial" w:cs="Arial" w:eastAsia="Arial" w:hAnsi="Arial"/>
          <w:sz w:val="22"/>
          <w:szCs w:val="22"/>
          <w:color w:val="auto"/>
        </w:rPr>
        <w:t>, and (b) any other Post-Marketing Commitment &amp; Requirement that is specific to the Excluded Territory that arises following the Effective Date.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FCPA</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12.3.6</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1.57 “</w:t>
      </w:r>
      <w:r>
        <w:rPr>
          <w:rFonts w:ascii="Arial" w:cs="Arial" w:eastAsia="Arial" w:hAnsi="Arial"/>
          <w:sz w:val="22"/>
          <w:szCs w:val="22"/>
          <w:b w:val="1"/>
          <w:bCs w:val="1"/>
          <w:i w:val="1"/>
          <w:iCs w:val="1"/>
          <w:color w:val="auto"/>
        </w:rPr>
        <w:t>FDA</w:t>
      </w:r>
      <w:r>
        <w:rPr>
          <w:rFonts w:ascii="Arial" w:cs="Arial" w:eastAsia="Arial" w:hAnsi="Arial"/>
          <w:sz w:val="22"/>
          <w:szCs w:val="22"/>
          <w:color w:val="auto"/>
        </w:rPr>
        <w:t>” means the United States Food and Drug Administration or any successor agency or authority thereto.</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1.58 “</w:t>
      </w:r>
      <w:r>
        <w:rPr>
          <w:rFonts w:ascii="Arial" w:cs="Arial" w:eastAsia="Arial" w:hAnsi="Arial"/>
          <w:sz w:val="19"/>
          <w:szCs w:val="19"/>
          <w:b w:val="1"/>
          <w:bCs w:val="1"/>
          <w:i w:val="1"/>
          <w:iCs w:val="1"/>
          <w:color w:val="auto"/>
        </w:rPr>
        <w:t>Field</w:t>
      </w:r>
      <w:r>
        <w:rPr>
          <w:rFonts w:ascii="Arial" w:cs="Arial" w:eastAsia="Arial" w:hAnsi="Arial"/>
          <w:sz w:val="19"/>
          <w:szCs w:val="19"/>
          <w:color w:val="auto"/>
        </w:rPr>
        <w:t>” means solely the treatment of relapsing forms of Multiple Sclerosis in adults, which shall comprise relapsing-remitting multiple sclerosis (RRMS) and active secondary progressive multiple sclerosis (SPMS). For purpose of clarity, the definition of “</w:t>
      </w:r>
      <w:r>
        <w:rPr>
          <w:rFonts w:ascii="Arial" w:cs="Arial" w:eastAsia="Arial" w:hAnsi="Arial"/>
          <w:sz w:val="19"/>
          <w:szCs w:val="19"/>
          <w:b w:val="1"/>
          <w:bCs w:val="1"/>
          <w:i w:val="1"/>
          <w:iCs w:val="1"/>
          <w:color w:val="auto"/>
        </w:rPr>
        <w:t>Field</w:t>
      </w:r>
      <w:r>
        <w:rPr>
          <w:rFonts w:ascii="Arial" w:cs="Arial" w:eastAsia="Arial" w:hAnsi="Arial"/>
          <w:sz w:val="19"/>
          <w:szCs w:val="19"/>
          <w:color w:val="auto"/>
        </w:rPr>
        <w:t>” shall not include any Excluded Application.</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1.59 “</w:t>
      </w:r>
      <w:r>
        <w:rPr>
          <w:rFonts w:ascii="Arial" w:cs="Arial" w:eastAsia="Arial" w:hAnsi="Arial"/>
          <w:sz w:val="19"/>
          <w:szCs w:val="19"/>
          <w:b w:val="1"/>
          <w:bCs w:val="1"/>
          <w:i w:val="1"/>
          <w:iCs w:val="1"/>
          <w:color w:val="auto"/>
        </w:rPr>
        <w:t>First Commercial Sale</w:t>
      </w:r>
      <w:r>
        <w:rPr>
          <w:rFonts w:ascii="Arial" w:cs="Arial" w:eastAsia="Arial" w:hAnsi="Arial"/>
          <w:sz w:val="19"/>
          <w:szCs w:val="19"/>
          <w:color w:val="auto"/>
        </w:rPr>
        <w:t>” means, with respect to the Product in the Field in the Territory, the first sale, transfer, or disposition for value to an end user of such Product in the Field in the Territory after Marketing Authorization for the Product has been received in the Territory; provided, that, a First Commercial Sale shall not include: (a) any sale to an Affiliate, Sublicensee, or Distributor (unless the Affiliate, Sublicensee, or Distributor is the last entity in the distribution chain of the Product), (b) any use of the Product in Clinical Trials, pre-clinical studies, or other research or development activities, or (c) the disposal or transfer of Products for a bona fide charitable purpose, including compassionate use or named patient use.</w:t>
      </w:r>
    </w:p>
    <w:p>
      <w:pPr>
        <w:spacing w:after="0" w:line="1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1.60 “</w:t>
      </w:r>
      <w:r>
        <w:rPr>
          <w:rFonts w:ascii="Arial" w:cs="Arial" w:eastAsia="Arial" w:hAnsi="Arial"/>
          <w:sz w:val="19"/>
          <w:szCs w:val="19"/>
          <w:b w:val="1"/>
          <w:bCs w:val="1"/>
          <w:i w:val="1"/>
          <w:iCs w:val="1"/>
          <w:color w:val="auto"/>
        </w:rPr>
        <w:t>Force Majeure</w:t>
      </w:r>
      <w:r>
        <w:rPr>
          <w:rFonts w:ascii="Arial" w:cs="Arial" w:eastAsia="Arial" w:hAnsi="Arial"/>
          <w:sz w:val="19"/>
          <w:szCs w:val="19"/>
          <w:color w:val="auto"/>
        </w:rPr>
        <w:t>” means any occurrence beyond the reasonable control of a Party that (a) prevents or substantially interferes with the performance by such Party of any of its obligations hereunder (other than payment obligations), and (b) occurs by reason of any act of God, flood, fire, explosion, earthquake, strike, lockout, labor dispute, casualty, or accident, or war, revolution, civil commotion, act of terrorism, blockage, or embargo, or any injunction, law, order, proclamation, regulation, ordinance, demand, or requirement of any government or of any subdivision, authority, or representative of any such government.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Global Development Activities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3.1.1</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1.62 “</w:t>
      </w:r>
      <w:r>
        <w:rPr>
          <w:rFonts w:ascii="Arial" w:cs="Arial" w:eastAsia="Arial" w:hAnsi="Arial"/>
          <w:sz w:val="19"/>
          <w:szCs w:val="19"/>
          <w:b w:val="1"/>
          <w:bCs w:val="1"/>
          <w:i w:val="1"/>
          <w:iCs w:val="1"/>
          <w:color w:val="auto"/>
        </w:rPr>
        <w:t>Global PMCs/PMRs</w:t>
      </w:r>
      <w:r>
        <w:rPr>
          <w:rFonts w:ascii="Arial" w:cs="Arial" w:eastAsia="Arial" w:hAnsi="Arial"/>
          <w:sz w:val="19"/>
          <w:szCs w:val="19"/>
          <w:color w:val="auto"/>
        </w:rPr>
        <w:t xml:space="preserve">” means (a) those Post-Marketing Commitments &amp; Requirements that are identified as Global PMCs/PMRs on </w:t>
      </w:r>
      <w:r>
        <w:rPr>
          <w:rFonts w:ascii="Arial" w:cs="Arial" w:eastAsia="Arial" w:hAnsi="Arial"/>
          <w:sz w:val="19"/>
          <w:szCs w:val="19"/>
          <w:u w:val="single" w:color="auto"/>
          <w:color w:val="auto"/>
        </w:rPr>
        <w:t>Schedule 3.1.2</w:t>
      </w:r>
      <w:r>
        <w:rPr>
          <w:rFonts w:ascii="Arial" w:cs="Arial" w:eastAsia="Arial" w:hAnsi="Arial"/>
          <w:sz w:val="19"/>
          <w:szCs w:val="19"/>
          <w:color w:val="auto"/>
        </w:rPr>
        <w:t>, and (b) any other Post-Marketing Commitment &amp; Requirement that is required, whether by the applicable Regulatory Authorities or as a voluntary commitment by the holder of the Marketing Authorization, in connection with the maintenance of Marketing Authorizations for the Product in the Field in both the Excluded Territory and the Territory that arises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2" w:name="page93"/>
    <w:bookmarkEnd w:id="92"/>
    <w:p>
      <w:pPr>
        <w:jc w:val="both"/>
        <w:ind w:firstLine="648"/>
        <w:spacing w:after="0" w:line="250" w:lineRule="auto"/>
        <w:rPr>
          <w:sz w:val="20"/>
          <w:szCs w:val="20"/>
          <w:color w:val="auto"/>
        </w:rPr>
      </w:pPr>
      <w:r>
        <w:rPr>
          <w:rFonts w:ascii="Arial" w:cs="Arial" w:eastAsia="Arial" w:hAnsi="Arial"/>
          <w:sz w:val="22"/>
          <w:szCs w:val="22"/>
          <w:color w:val="auto"/>
        </w:rPr>
        <w:t>1.63 “</w:t>
      </w:r>
      <w:r>
        <w:rPr>
          <w:rFonts w:ascii="Arial" w:cs="Arial" w:eastAsia="Arial" w:hAnsi="Arial"/>
          <w:sz w:val="22"/>
          <w:szCs w:val="22"/>
          <w:b w:val="1"/>
          <w:bCs w:val="1"/>
          <w:i w:val="1"/>
          <w:iCs w:val="1"/>
          <w:color w:val="auto"/>
        </w:rPr>
        <w:t>GLP</w:t>
      </w:r>
      <w:r>
        <w:rPr>
          <w:rFonts w:ascii="Arial" w:cs="Arial" w:eastAsia="Arial" w:hAnsi="Arial"/>
          <w:sz w:val="22"/>
          <w:szCs w:val="22"/>
          <w:color w:val="auto"/>
        </w:rPr>
        <w:t>” means the then-current Good Laboratory Practice Standards or comparable regulatory standards promulgated or endorsed by the applicable Regulatory Authority.</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1.64 “</w:t>
      </w:r>
      <w:r>
        <w:rPr>
          <w:rFonts w:ascii="Arial" w:cs="Arial" w:eastAsia="Arial" w:hAnsi="Arial"/>
          <w:sz w:val="22"/>
          <w:szCs w:val="22"/>
          <w:b w:val="1"/>
          <w:bCs w:val="1"/>
          <w:i w:val="1"/>
          <w:iCs w:val="1"/>
          <w:color w:val="auto"/>
        </w:rPr>
        <w:t>GMP</w:t>
      </w:r>
      <w:r>
        <w:rPr>
          <w:rFonts w:ascii="Arial" w:cs="Arial" w:eastAsia="Arial" w:hAnsi="Arial"/>
          <w:sz w:val="22"/>
          <w:szCs w:val="22"/>
          <w:color w:val="auto"/>
        </w:rPr>
        <w:t xml:space="preserve"> ” means current Good Manufacturing Practices that apply to the Manufacture of Drug Substance and/or the clinical or commercial supply of Products or comparable regulatory standards promoted or endorsed by the applicable Regulatory Authority and the International Conference on Harmonization Guidelines ICH Q7 Good Manufacturing Practice Guidance for API or the principles and guidelines of Good Manufacturing Practices for Medicinal Products as defined with EC Directive 2003/94/EC and associated EC Guide to Good Manufacturing Practice.</w:t>
      </w:r>
    </w:p>
    <w:p>
      <w:pPr>
        <w:spacing w:after="0" w:line="1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1.65 “</w:t>
      </w:r>
      <w:r>
        <w:rPr>
          <w:rFonts w:ascii="Arial" w:cs="Arial" w:eastAsia="Arial" w:hAnsi="Arial"/>
          <w:sz w:val="21"/>
          <w:szCs w:val="21"/>
          <w:b w:val="1"/>
          <w:bCs w:val="1"/>
          <w:i w:val="1"/>
          <w:iCs w:val="1"/>
          <w:color w:val="auto"/>
        </w:rPr>
        <w:t>Good Clinical Practice</w:t>
      </w:r>
      <w:r>
        <w:rPr>
          <w:rFonts w:ascii="Arial" w:cs="Arial" w:eastAsia="Arial" w:hAnsi="Arial"/>
          <w:sz w:val="21"/>
          <w:szCs w:val="21"/>
          <w:color w:val="auto"/>
        </w:rPr>
        <w:t>” or “</w:t>
      </w:r>
      <w:r>
        <w:rPr>
          <w:rFonts w:ascii="Arial" w:cs="Arial" w:eastAsia="Arial" w:hAnsi="Arial"/>
          <w:sz w:val="21"/>
          <w:szCs w:val="21"/>
          <w:b w:val="1"/>
          <w:bCs w:val="1"/>
          <w:i w:val="1"/>
          <w:iCs w:val="1"/>
          <w:color w:val="auto"/>
        </w:rPr>
        <w:t>GCP</w:t>
      </w:r>
      <w:r>
        <w:rPr>
          <w:rFonts w:ascii="Arial" w:cs="Arial" w:eastAsia="Arial" w:hAnsi="Arial"/>
          <w:sz w:val="21"/>
          <w:szCs w:val="21"/>
          <w:color w:val="auto"/>
        </w:rPr>
        <w:t>” means the applicable regulations or guidance relating to the design, conduct, recording, and reporting of Clinical Trials that involve the participation of human subjects, when generating Clinical Trial data intended to be submitted to Regulatory Authorities, as set forth under Applicable Law and any regulations or guidance documents promulgated thereunder, including but not limited to the ICH E6 consolidated guidance on Good Clinical Practice.</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1.66 “</w:t>
      </w:r>
      <w:r>
        <w:rPr>
          <w:rFonts w:ascii="Arial" w:cs="Arial" w:eastAsia="Arial" w:hAnsi="Arial"/>
          <w:sz w:val="22"/>
          <w:szCs w:val="22"/>
          <w:b w:val="1"/>
          <w:bCs w:val="1"/>
          <w:i w:val="1"/>
          <w:iCs w:val="1"/>
          <w:color w:val="auto"/>
        </w:rPr>
        <w:t>GVP</w:t>
      </w:r>
      <w:r>
        <w:rPr>
          <w:rFonts w:ascii="Arial" w:cs="Arial" w:eastAsia="Arial" w:hAnsi="Arial"/>
          <w:sz w:val="22"/>
          <w:szCs w:val="22"/>
          <w:color w:val="auto"/>
        </w:rPr>
        <w:t>” means Good Pharmacovigilance Practice or comparable regulatory standards that apply for the conduct of pharmacovigilance as endorsed by the applicable Regulatory Authority and guidelines as defined in Directive 2001/83/EC.</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1.67 “</w:t>
      </w:r>
      <w:r>
        <w:rPr>
          <w:rFonts w:ascii="Arial" w:cs="Arial" w:eastAsia="Arial" w:hAnsi="Arial"/>
          <w:sz w:val="22"/>
          <w:szCs w:val="22"/>
          <w:b w:val="1"/>
          <w:bCs w:val="1"/>
          <w:i w:val="1"/>
          <w:iCs w:val="1"/>
          <w:color w:val="auto"/>
        </w:rPr>
        <w:t>Hadam License</w:t>
      </w:r>
      <w:r>
        <w:rPr>
          <w:rFonts w:ascii="Arial" w:cs="Arial" w:eastAsia="Arial" w:hAnsi="Arial"/>
          <w:sz w:val="22"/>
          <w:szCs w:val="22"/>
          <w:color w:val="auto"/>
        </w:rPr>
        <w:t>” means that certain License Agreement, dated August 15, 2006, by and between Laboratoire Français du Fractionnement et des Biotechnologies S.A. and Dr. Martin R. Hadam, as it may be amended from time to time.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ICH</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3.5</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Indemnified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13.3</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Indemnifying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13.3</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1.71 “</w:t>
      </w:r>
      <w:r>
        <w:rPr>
          <w:rFonts w:ascii="Arial" w:cs="Arial" w:eastAsia="Arial" w:hAnsi="Arial"/>
          <w:sz w:val="19"/>
          <w:szCs w:val="19"/>
          <w:b w:val="1"/>
          <w:bCs w:val="1"/>
          <w:i w:val="1"/>
          <w:iCs w:val="1"/>
          <w:color w:val="auto"/>
        </w:rPr>
        <w:t>Indication</w:t>
      </w:r>
      <w:r>
        <w:rPr>
          <w:rFonts w:ascii="Arial" w:cs="Arial" w:eastAsia="Arial" w:hAnsi="Arial"/>
          <w:sz w:val="19"/>
          <w:szCs w:val="19"/>
          <w:color w:val="auto"/>
        </w:rPr>
        <w:t xml:space="preserve">” means each separate and distinct disease, illness, and/or condition, interruption, cessation, or disorder of a particular bodily function, system, tissue type, or organ, or sign or symptom of any such items or conditions, regardless of the severity, frequency, or route of any treatment, dosage strength, or patient class, for which Regulatory Approval is being sought. For clarity, for the purpose of this Agreement (i) </w:t>
      </w:r>
      <w:r>
        <w:rPr>
          <w:rFonts w:ascii="Arial" w:cs="Arial" w:eastAsia="Arial" w:hAnsi="Arial"/>
          <w:sz w:val="15"/>
          <w:szCs w:val="15"/>
          <w:b w:val="1"/>
          <w:bCs w:val="1"/>
          <w:color w:val="auto"/>
        </w:rPr>
        <w:t>[***]</w:t>
      </w:r>
      <w:r>
        <w:rPr>
          <w:rFonts w:ascii="Arial" w:cs="Arial" w:eastAsia="Arial" w:hAnsi="Arial"/>
          <w:sz w:val="19"/>
          <w:szCs w:val="19"/>
          <w:color w:val="auto"/>
        </w:rPr>
        <w:t>, and</w:t>
      </w:r>
    </w:p>
    <w:p>
      <w:pPr>
        <w:spacing w:after="0" w:line="3"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22"/>
          <w:szCs w:val="22"/>
          <w:color w:val="auto"/>
        </w:rPr>
      </w:pPr>
      <w:r>
        <w:rPr>
          <w:rFonts w:ascii="Arial" w:cs="Arial" w:eastAsia="Arial" w:hAnsi="Arial"/>
          <w:sz w:val="18"/>
          <w:szCs w:val="18"/>
          <w:b w:val="1"/>
          <w:bCs w:val="1"/>
          <w:color w:val="auto"/>
        </w:rPr>
        <w:t>[***]</w:t>
      </w:r>
      <w:r>
        <w:rPr>
          <w:rFonts w:ascii="Arial" w:cs="Arial" w:eastAsia="Arial" w:hAnsi="Arial"/>
          <w:sz w:val="21"/>
          <w:szCs w:val="21"/>
          <w:color w:val="auto"/>
        </w:rPr>
        <w: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Initial Period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5.5.1</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Infringement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10.5.1(a)</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Infringement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10.5.1(a)</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1.75 “</w:t>
      </w:r>
      <w:r>
        <w:rPr>
          <w:rFonts w:ascii="Arial" w:cs="Arial" w:eastAsia="Arial" w:hAnsi="Arial"/>
          <w:sz w:val="22"/>
          <w:szCs w:val="22"/>
          <w:b w:val="1"/>
          <w:bCs w:val="1"/>
          <w:i w:val="1"/>
          <w:iCs w:val="1"/>
          <w:color w:val="auto"/>
        </w:rPr>
        <w:t>Investigator’s Brochure</w:t>
      </w:r>
      <w:r>
        <w:rPr>
          <w:rFonts w:ascii="Arial" w:cs="Arial" w:eastAsia="Arial" w:hAnsi="Arial"/>
          <w:sz w:val="22"/>
          <w:szCs w:val="22"/>
          <w:color w:val="auto"/>
        </w:rPr>
        <w:t>” means a compilation of preclinical data and Clinical Data with respect to a new investigational drug that is proposed for filing with a Regulatory Authority and used to provide information to clinical investigators and Regulatory Authorities.</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JSC</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3" w:name="page94"/>
    <w:bookmarkEnd w:id="93"/>
    <w:p>
      <w:pPr>
        <w:ind w:left="660"/>
        <w:spacing w:after="0"/>
        <w:tabs>
          <w:tab w:leader="none" w:pos="1280" w:val="left"/>
        </w:tabs>
        <w:rPr>
          <w:sz w:val="20"/>
          <w:szCs w:val="20"/>
          <w:color w:val="auto"/>
        </w:rPr>
      </w:pPr>
      <w:r>
        <w:rPr>
          <w:rFonts w:ascii="Arial" w:cs="Arial" w:eastAsia="Arial" w:hAnsi="Arial"/>
          <w:sz w:val="22"/>
          <w:szCs w:val="22"/>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Key Markets</w:t>
      </w:r>
      <w:r>
        <w:rPr>
          <w:rFonts w:ascii="Arial" w:cs="Arial" w:eastAsia="Arial" w:hAnsi="Arial"/>
          <w:sz w:val="19"/>
          <w:szCs w:val="19"/>
          <w:color w:val="auto"/>
        </w:rPr>
        <w:t xml:space="preserve">” means </w:t>
      </w:r>
      <w:r>
        <w:rPr>
          <w:rFonts w:ascii="Arial" w:cs="Arial" w:eastAsia="Arial" w:hAnsi="Arial"/>
          <w:sz w:val="15"/>
          <w:szCs w:val="15"/>
          <w:b w:val="1"/>
          <w:bCs w:val="1"/>
          <w:color w:val="auto"/>
        </w:rPr>
        <w:t>[***]</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1.78 “</w:t>
      </w:r>
      <w:r>
        <w:rPr>
          <w:rFonts w:ascii="Arial" w:cs="Arial" w:eastAsia="Arial" w:hAnsi="Arial"/>
          <w:sz w:val="22"/>
          <w:szCs w:val="22"/>
          <w:b w:val="1"/>
          <w:bCs w:val="1"/>
          <w:i w:val="1"/>
          <w:iCs w:val="1"/>
          <w:color w:val="auto"/>
        </w:rPr>
        <w:t>Key Multiple Sclerosis Centers</w:t>
      </w:r>
      <w:r>
        <w:rPr>
          <w:rFonts w:ascii="Arial" w:cs="Arial" w:eastAsia="Arial" w:hAnsi="Arial"/>
          <w:sz w:val="22"/>
          <w:szCs w:val="22"/>
          <w:color w:val="auto"/>
        </w:rPr>
        <w:t xml:space="preserve">” means the approx. [***] centers dedicated to the treatment of Multiple Sclerosis in the Territory that are referred to in Section 2.3 of the initial Commercialization Plan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the details of which Company will provide to TG without undue delay following the Effective Date.</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1.79 “</w:t>
      </w:r>
      <w:r>
        <w:rPr>
          <w:rFonts w:ascii="Arial" w:cs="Arial" w:eastAsia="Arial" w:hAnsi="Arial"/>
          <w:sz w:val="21"/>
          <w:szCs w:val="21"/>
          <w:b w:val="1"/>
          <w:bCs w:val="1"/>
          <w:i w:val="1"/>
          <w:iCs w:val="1"/>
          <w:color w:val="auto"/>
        </w:rPr>
        <w:t>Knowledge</w:t>
      </w:r>
      <w:r>
        <w:rPr>
          <w:rFonts w:ascii="Arial" w:cs="Arial" w:eastAsia="Arial" w:hAnsi="Arial"/>
          <w:sz w:val="21"/>
          <w:szCs w:val="21"/>
          <w:color w:val="auto"/>
        </w:rPr>
        <w:t>” means, with respect to a Party, the actual knowledge of any executive officer (as defined for purposes of Section 14 of the Securities Exchange Act of 1934, as amended) of such Party.</w:t>
      </w:r>
    </w:p>
    <w:p>
      <w:pPr>
        <w:spacing w:after="0" w:line="15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1.80 “</w:t>
      </w:r>
      <w:r>
        <w:rPr>
          <w:rFonts w:ascii="Arial" w:cs="Arial" w:eastAsia="Arial" w:hAnsi="Arial"/>
          <w:sz w:val="22"/>
          <w:szCs w:val="22"/>
          <w:b w:val="1"/>
          <w:bCs w:val="1"/>
          <w:i w:val="1"/>
          <w:iCs w:val="1"/>
          <w:color w:val="auto"/>
        </w:rPr>
        <w:t>LFB</w:t>
      </w:r>
      <w:r>
        <w:rPr>
          <w:rFonts w:ascii="Arial" w:cs="Arial" w:eastAsia="Arial" w:hAnsi="Arial"/>
          <w:sz w:val="22"/>
          <w:szCs w:val="22"/>
          <w:color w:val="auto"/>
        </w:rPr>
        <w:t>” means, collectively, GTC Biotherapeutics, Inc., LFB Biotechnologies S.A.S., and LFB/GTC LLC.</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1.81 “</w:t>
      </w:r>
      <w:r>
        <w:rPr>
          <w:rFonts w:ascii="Arial" w:cs="Arial" w:eastAsia="Arial" w:hAnsi="Arial"/>
          <w:sz w:val="22"/>
          <w:szCs w:val="22"/>
          <w:b w:val="1"/>
          <w:bCs w:val="1"/>
          <w:i w:val="1"/>
          <w:iCs w:val="1"/>
          <w:color w:val="auto"/>
        </w:rPr>
        <w:t>LFB Background Patent Rights</w:t>
      </w:r>
      <w:r>
        <w:rPr>
          <w:rFonts w:ascii="Arial" w:cs="Arial" w:eastAsia="Arial" w:hAnsi="Arial"/>
          <w:sz w:val="22"/>
          <w:szCs w:val="22"/>
          <w:color w:val="auto"/>
        </w:rPr>
        <w:t xml:space="preserve">” means the Patents Controlled by TG pursuant to the LFB License that are identified therein as “Background Patent Rights,” including, as of the Effective Date, as listed in </w:t>
      </w:r>
      <w:r>
        <w:rPr>
          <w:rFonts w:ascii="Arial" w:cs="Arial" w:eastAsia="Arial" w:hAnsi="Arial"/>
          <w:sz w:val="22"/>
          <w:szCs w:val="22"/>
          <w:u w:val="single" w:color="auto"/>
          <w:color w:val="auto"/>
        </w:rPr>
        <w:t>Schedule 12.2.2(a)</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1.82 “</w:t>
      </w:r>
      <w:r>
        <w:rPr>
          <w:rFonts w:ascii="Arial" w:cs="Arial" w:eastAsia="Arial" w:hAnsi="Arial"/>
          <w:sz w:val="22"/>
          <w:szCs w:val="22"/>
          <w:b w:val="1"/>
          <w:bCs w:val="1"/>
          <w:i w:val="1"/>
          <w:iCs w:val="1"/>
          <w:color w:val="auto"/>
        </w:rPr>
        <w:t>LFB License</w:t>
      </w:r>
      <w:r>
        <w:rPr>
          <w:rFonts w:ascii="Arial" w:cs="Arial" w:eastAsia="Arial" w:hAnsi="Arial"/>
          <w:sz w:val="22"/>
          <w:szCs w:val="22"/>
          <w:color w:val="auto"/>
        </w:rPr>
        <w:t>” means that certain Exclusive License Agreement, dated January 30, 2012, by and among GTC Biotherapeutics, Inc., LFB Biotechnologies S.A.S., LFB/GTC LLC, and TG Biologics, Inc. (f/k/a TG Therapeutics, Inc.), as amended from time to time.</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1.83 “</w:t>
      </w:r>
      <w:r>
        <w:rPr>
          <w:rFonts w:ascii="Arial" w:cs="Arial" w:eastAsia="Arial" w:hAnsi="Arial"/>
          <w:sz w:val="21"/>
          <w:szCs w:val="21"/>
          <w:b w:val="1"/>
          <w:bCs w:val="1"/>
          <w:i w:val="1"/>
          <w:iCs w:val="1"/>
          <w:color w:val="auto"/>
        </w:rPr>
        <w:t>Licensed Patent Right</w:t>
      </w:r>
      <w:r>
        <w:rPr>
          <w:rFonts w:ascii="Arial" w:cs="Arial" w:eastAsia="Arial" w:hAnsi="Arial"/>
          <w:sz w:val="21"/>
          <w:szCs w:val="21"/>
          <w:b w:val="1"/>
          <w:bCs w:val="1"/>
          <w:color w:val="auto"/>
        </w:rPr>
        <w:t>s</w:t>
      </w:r>
      <w:r>
        <w:rPr>
          <w:rFonts w:ascii="Arial" w:cs="Arial" w:eastAsia="Arial" w:hAnsi="Arial"/>
          <w:sz w:val="21"/>
          <w:szCs w:val="21"/>
          <w:color w:val="auto"/>
        </w:rPr>
        <w:t xml:space="preserve">” means any Patent Right (including any Product Improvement solely to the extent Company exercises its option in </w:t>
      </w:r>
      <w:r>
        <w:rPr>
          <w:rFonts w:ascii="Arial" w:cs="Arial" w:eastAsia="Arial" w:hAnsi="Arial"/>
          <w:sz w:val="21"/>
          <w:szCs w:val="21"/>
          <w:u w:val="single" w:color="auto"/>
          <w:color w:val="auto"/>
        </w:rPr>
        <w:t>Section 3.2.1(c)</w:t>
      </w:r>
      <w:r>
        <w:rPr>
          <w:rFonts w:ascii="Arial" w:cs="Arial" w:eastAsia="Arial" w:hAnsi="Arial"/>
          <w:sz w:val="21"/>
          <w:szCs w:val="21"/>
          <w:color w:val="auto"/>
        </w:rPr>
        <w:t xml:space="preserve">) that (a) is necessary or useful for Company to Commercialize the Product in the Field (including any New CNS Indication solely to the extent Company exercises its option in accordance with </w:t>
      </w:r>
      <w:r>
        <w:rPr>
          <w:rFonts w:ascii="Arial" w:cs="Arial" w:eastAsia="Arial" w:hAnsi="Arial"/>
          <w:sz w:val="21"/>
          <w:szCs w:val="21"/>
          <w:u w:val="single" w:color="auto"/>
          <w:color w:val="auto"/>
        </w:rPr>
        <w:t>Section 3.2.1(d)</w:t>
      </w:r>
      <w:r>
        <w:rPr>
          <w:rFonts w:ascii="Arial" w:cs="Arial" w:eastAsia="Arial" w:hAnsi="Arial"/>
          <w:sz w:val="21"/>
          <w:szCs w:val="21"/>
          <w:color w:val="auto"/>
        </w:rPr>
        <w:t xml:space="preserve">) in the Territory, and (b) is (i) Controlled by TG as of the Effective Date, or (ii) developed or reduced to practice, and Controlled, by TG under and pursuant to this Agreement after the Effective Date. For clarity, the Licensed Patent Rights, including, as of the Effective Date, as listed in </w:t>
      </w:r>
      <w:r>
        <w:rPr>
          <w:rFonts w:ascii="Arial" w:cs="Arial" w:eastAsia="Arial" w:hAnsi="Arial"/>
          <w:sz w:val="21"/>
          <w:szCs w:val="21"/>
          <w:u w:val="single" w:color="auto"/>
          <w:color w:val="auto"/>
        </w:rPr>
        <w:t>Schedule 12.2.2(b)</w:t>
      </w:r>
      <w:r>
        <w:rPr>
          <w:rFonts w:ascii="Arial" w:cs="Arial" w:eastAsia="Arial" w:hAnsi="Arial"/>
          <w:sz w:val="21"/>
          <w:szCs w:val="21"/>
          <w:color w:val="auto"/>
        </w:rPr>
        <w:t>, include, without limitation, such Patents Rights Controlled by TG pursuant to the LFB License, but exclude the LFB Background Patent Rights.</w:t>
      </w:r>
    </w:p>
    <w:p>
      <w:pPr>
        <w:spacing w:after="0" w:line="17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1.84 “</w:t>
      </w:r>
      <w:r>
        <w:rPr>
          <w:rFonts w:ascii="Arial" w:cs="Arial" w:eastAsia="Arial" w:hAnsi="Arial"/>
          <w:sz w:val="22"/>
          <w:szCs w:val="22"/>
          <w:b w:val="1"/>
          <w:bCs w:val="1"/>
          <w:i w:val="1"/>
          <w:iCs w:val="1"/>
          <w:color w:val="auto"/>
        </w:rPr>
        <w:t>Licensed Technology</w:t>
      </w:r>
      <w:r>
        <w:rPr>
          <w:rFonts w:ascii="Arial" w:cs="Arial" w:eastAsia="Arial" w:hAnsi="Arial"/>
          <w:sz w:val="22"/>
          <w:szCs w:val="22"/>
          <w:color w:val="auto"/>
        </w:rPr>
        <w:t xml:space="preserve">” means any Technology (including any Product Improvement solely to the extent Company exercises its option in </w:t>
      </w:r>
      <w:r>
        <w:rPr>
          <w:rFonts w:ascii="Arial" w:cs="Arial" w:eastAsia="Arial" w:hAnsi="Arial"/>
          <w:sz w:val="22"/>
          <w:szCs w:val="22"/>
          <w:u w:val="single" w:color="auto"/>
          <w:color w:val="auto"/>
        </w:rPr>
        <w:t>Section 3.2.1(c)</w:t>
      </w:r>
      <w:r>
        <w:rPr>
          <w:rFonts w:ascii="Arial" w:cs="Arial" w:eastAsia="Arial" w:hAnsi="Arial"/>
          <w:sz w:val="22"/>
          <w:szCs w:val="22"/>
          <w:color w:val="auto"/>
        </w:rPr>
        <w:t xml:space="preserve">) that (a) is necessary or useful for Company to Commercialize the Product in the Field (including any New CNS Indication solely to the extent Company exercises its option in accordance with </w:t>
      </w:r>
      <w:r>
        <w:rPr>
          <w:rFonts w:ascii="Arial" w:cs="Arial" w:eastAsia="Arial" w:hAnsi="Arial"/>
          <w:sz w:val="22"/>
          <w:szCs w:val="22"/>
          <w:u w:val="single" w:color="auto"/>
          <w:color w:val="auto"/>
        </w:rPr>
        <w:t>Section 3.2.1(d)</w:t>
      </w:r>
      <w:r>
        <w:rPr>
          <w:rFonts w:ascii="Arial" w:cs="Arial" w:eastAsia="Arial" w:hAnsi="Arial"/>
          <w:sz w:val="22"/>
          <w:szCs w:val="22"/>
          <w:color w:val="auto"/>
        </w:rPr>
        <w:t xml:space="preserve">) in the Territory, and (b) is (i) Controlled by TG as of the Effective Date or (ii) developed or reduced to practice, and Controlled, by TG under and pursuant to this Agreement after the Effective Date. For clarity, the Licensed Technology (A) includes, without limitation, such Technology that is Controlled by TG pursuant to the LFB License, and (B) </w:t>
      </w:r>
      <w:r>
        <w:rPr>
          <w:rFonts w:ascii="Arial" w:cs="Arial" w:eastAsia="Arial" w:hAnsi="Arial"/>
          <w:sz w:val="17"/>
          <w:szCs w:val="17"/>
          <w:b w:val="1"/>
          <w:bCs w:val="1"/>
          <w:color w:val="auto"/>
        </w:rPr>
        <w:t>[***]</w:t>
      </w:r>
      <w:r>
        <w:rPr>
          <w:rFonts w:ascii="Arial" w:cs="Arial" w:eastAsia="Arial" w:hAnsi="Arial"/>
          <w:sz w:val="22"/>
          <w:szCs w:val="22"/>
          <w:color w:val="auto"/>
        </w:rPr>
        <w:t>) (the “</w:t>
      </w:r>
      <w:r>
        <w:rPr>
          <w:rFonts w:ascii="Arial" w:cs="Arial" w:eastAsia="Arial" w:hAnsi="Arial"/>
          <w:sz w:val="22"/>
          <w:szCs w:val="22"/>
          <w:b w:val="1"/>
          <w:bCs w:val="1"/>
          <w:i w:val="1"/>
          <w:iCs w:val="1"/>
          <w:color w:val="auto"/>
        </w:rPr>
        <w:t>Excluded Manufacturing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Know-How</w:t>
      </w:r>
      <w:r>
        <w:rPr>
          <w:rFonts w:ascii="Arial" w:cs="Arial" w:eastAsia="Arial" w:hAnsi="Arial"/>
          <w:sz w:val="22"/>
          <w:szCs w:val="22"/>
          <w:color w:val="auto"/>
        </w:rPr>
        <w:t>”).</w:t>
      </w:r>
    </w:p>
    <w:p>
      <w:pPr>
        <w:spacing w:after="0" w:line="18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1.85 “</w:t>
      </w:r>
      <w:r>
        <w:rPr>
          <w:rFonts w:ascii="Arial" w:cs="Arial" w:eastAsia="Arial" w:hAnsi="Arial"/>
          <w:sz w:val="22"/>
          <w:szCs w:val="22"/>
          <w:b w:val="1"/>
          <w:bCs w:val="1"/>
          <w:i w:val="1"/>
          <w:iCs w:val="1"/>
          <w:color w:val="auto"/>
        </w:rPr>
        <w:t>Licensed Trademark</w:t>
      </w:r>
      <w:r>
        <w:rPr>
          <w:rFonts w:ascii="Arial" w:cs="Arial" w:eastAsia="Arial" w:hAnsi="Arial"/>
          <w:sz w:val="22"/>
          <w:szCs w:val="22"/>
          <w:color w:val="auto"/>
        </w:rPr>
        <w:t>” means BRIUMVI (or, solely to the extent that BRIUMVI is not available for use or registration in a particular country in the Territory or otherwise as mutually agreed by the Parties, any other trademark chosen in the future by TG and Company collaboratively, for Commercialization purposes), together with all goodwill associated therewith, including, without limitation, EUTM Reg. No. 018489086 and all other BRIUMVI trademarks applied for and/or registered in any country in the Territory. A list of those Licensed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4" w:name="page95"/>
    <w:bookmarkEnd w:id="94"/>
    <w:p>
      <w:pPr>
        <w:jc w:val="both"/>
        <w:spacing w:after="0" w:line="238" w:lineRule="auto"/>
        <w:rPr>
          <w:sz w:val="20"/>
          <w:szCs w:val="20"/>
          <w:color w:val="auto"/>
        </w:rPr>
      </w:pPr>
      <w:r>
        <w:rPr>
          <w:rFonts w:ascii="Arial" w:cs="Arial" w:eastAsia="Arial" w:hAnsi="Arial"/>
          <w:sz w:val="22"/>
          <w:szCs w:val="22"/>
          <w:color w:val="auto"/>
        </w:rPr>
        <w:t xml:space="preserve">applied for and/or registered at the Effective Date is attached hereto in </w:t>
      </w:r>
      <w:r>
        <w:rPr>
          <w:rFonts w:ascii="Arial" w:cs="Arial" w:eastAsia="Arial" w:hAnsi="Arial"/>
          <w:sz w:val="22"/>
          <w:szCs w:val="22"/>
          <w:u w:val="single" w:color="auto"/>
          <w:color w:val="auto"/>
        </w:rPr>
        <w:t>Schedule 12.2.2(c)</w:t>
      </w:r>
      <w:r>
        <w:rPr>
          <w:rFonts w:ascii="Arial" w:cs="Arial" w:eastAsia="Arial" w:hAnsi="Arial"/>
          <w:sz w:val="22"/>
          <w:szCs w:val="22"/>
          <w:color w:val="auto"/>
        </w:rPr>
        <w:t xml:space="preserve">. For the avoidance of doubt, any BRIUMVI (or alternatively chosen trademarks) applied for and registered in the future shall automatically be included in </w:t>
      </w:r>
      <w:r>
        <w:rPr>
          <w:rFonts w:ascii="Arial" w:cs="Arial" w:eastAsia="Arial" w:hAnsi="Arial"/>
          <w:sz w:val="22"/>
          <w:szCs w:val="22"/>
          <w:u w:val="single" w:color="auto"/>
          <w:color w:val="auto"/>
        </w:rPr>
        <w:t>Schedule 12.2.2(c)</w:t>
      </w:r>
      <w:r>
        <w:rPr>
          <w:rFonts w:ascii="Arial" w:cs="Arial" w:eastAsia="Arial" w:hAnsi="Arial"/>
          <w:sz w:val="22"/>
          <w:szCs w:val="22"/>
          <w:color w:val="auto"/>
        </w:rPr>
        <w:t xml:space="preserve"> and shall become part of the licensing regime under this Agreement.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13.1</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1.87 “</w:t>
      </w:r>
      <w:r>
        <w:rPr>
          <w:rFonts w:ascii="Arial" w:cs="Arial" w:eastAsia="Arial" w:hAnsi="Arial"/>
          <w:sz w:val="22"/>
          <w:szCs w:val="22"/>
          <w:b w:val="1"/>
          <w:bCs w:val="1"/>
          <w:i w:val="1"/>
          <w:iCs w:val="1"/>
          <w:color w:val="auto"/>
        </w:rPr>
        <w:t>Manufacture</w:t>
      </w:r>
      <w:r>
        <w:rPr>
          <w:rFonts w:ascii="Arial" w:cs="Arial" w:eastAsia="Arial" w:hAnsi="Arial"/>
          <w:sz w:val="22"/>
          <w:szCs w:val="22"/>
          <w:color w:val="auto"/>
        </w:rPr>
        <w:t>” or “</w:t>
      </w:r>
      <w:r>
        <w:rPr>
          <w:rFonts w:ascii="Arial" w:cs="Arial" w:eastAsia="Arial" w:hAnsi="Arial"/>
          <w:sz w:val="22"/>
          <w:szCs w:val="22"/>
          <w:b w:val="1"/>
          <w:bCs w:val="1"/>
          <w:i w:val="1"/>
          <w:iCs w:val="1"/>
          <w:color w:val="auto"/>
        </w:rPr>
        <w:t>Manufacturing</w:t>
      </w:r>
      <w:r>
        <w:rPr>
          <w:rFonts w:ascii="Arial" w:cs="Arial" w:eastAsia="Arial" w:hAnsi="Arial"/>
          <w:sz w:val="22"/>
          <w:szCs w:val="22"/>
          <w:color w:val="auto"/>
        </w:rPr>
        <w:t>” or “</w:t>
      </w:r>
      <w:r>
        <w:rPr>
          <w:rFonts w:ascii="Arial" w:cs="Arial" w:eastAsia="Arial" w:hAnsi="Arial"/>
          <w:sz w:val="22"/>
          <w:szCs w:val="22"/>
          <w:b w:val="1"/>
          <w:bCs w:val="1"/>
          <w:i w:val="1"/>
          <w:iCs w:val="1"/>
          <w:color w:val="auto"/>
        </w:rPr>
        <w:t>Manufactured</w:t>
      </w:r>
      <w:r>
        <w:rPr>
          <w:rFonts w:ascii="Arial" w:cs="Arial" w:eastAsia="Arial" w:hAnsi="Arial"/>
          <w:sz w:val="22"/>
          <w:szCs w:val="22"/>
          <w:color w:val="auto"/>
        </w:rPr>
        <w:t>” means all activities related to the production of any Drug Substance or Drug Product, including the manufacture, receipt, inspection, storage, and handling of materials, and the manufacture, processing, purification, packaging, labeling, warehousing, quality control testing (including in-process release and stability testing), shipping, and release of Drug Substance or Drug Product.</w:t>
      </w:r>
    </w:p>
    <w:p>
      <w:pPr>
        <w:spacing w:after="0" w:line="18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1.88 “</w:t>
      </w:r>
      <w:r>
        <w:rPr>
          <w:rFonts w:ascii="Arial" w:cs="Arial" w:eastAsia="Arial" w:hAnsi="Arial"/>
          <w:sz w:val="21"/>
          <w:szCs w:val="21"/>
          <w:b w:val="1"/>
          <w:bCs w:val="1"/>
          <w:i w:val="1"/>
          <w:iCs w:val="1"/>
          <w:color w:val="auto"/>
        </w:rPr>
        <w:t>Marketing Authorization</w:t>
      </w:r>
      <w:r>
        <w:rPr>
          <w:rFonts w:ascii="Arial" w:cs="Arial" w:eastAsia="Arial" w:hAnsi="Arial"/>
          <w:sz w:val="21"/>
          <w:szCs w:val="21"/>
          <w:color w:val="auto"/>
        </w:rPr>
        <w:t>” means, with respect to the Product in any country or region in the Territory, the Regulatory Approval required by Applicable Laws to market and sell the Product for use in the Field in such country or region. For purposes of clarity, “</w:t>
      </w:r>
      <w:r>
        <w:rPr>
          <w:rFonts w:ascii="Arial" w:cs="Arial" w:eastAsia="Arial" w:hAnsi="Arial"/>
          <w:sz w:val="21"/>
          <w:szCs w:val="21"/>
          <w:b w:val="1"/>
          <w:bCs w:val="1"/>
          <w:i w:val="1"/>
          <w:iCs w:val="1"/>
          <w:color w:val="auto"/>
        </w:rPr>
        <w:t>Marketing Authorization</w:t>
      </w:r>
      <w:r>
        <w:rPr>
          <w:rFonts w:ascii="Arial" w:cs="Arial" w:eastAsia="Arial" w:hAnsi="Arial"/>
          <w:sz w:val="21"/>
          <w:szCs w:val="21"/>
          <w:color w:val="auto"/>
        </w:rPr>
        <w:t>” in the European Union means marketing authorization for the Product granted by the EMA pursuant to Council Directive 2001/83/EC, as amended, or Regulation (EC) No 726/2004, as amended. For the avoidance of doubt, Marketing Authorization does not include Pricing Approvals and Reimbursement Approvals.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Milestone Payments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8.2.1</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1.90 “</w:t>
      </w:r>
      <w:r>
        <w:rPr>
          <w:rFonts w:ascii="Arial" w:cs="Arial" w:eastAsia="Arial" w:hAnsi="Arial"/>
          <w:sz w:val="19"/>
          <w:szCs w:val="19"/>
          <w:b w:val="1"/>
          <w:bCs w:val="1"/>
          <w:i w:val="1"/>
          <w:iCs w:val="1"/>
          <w:color w:val="auto"/>
        </w:rPr>
        <w:t>Net Sales</w:t>
      </w:r>
      <w:r>
        <w:rPr>
          <w:rFonts w:ascii="Arial" w:cs="Arial" w:eastAsia="Arial" w:hAnsi="Arial"/>
          <w:sz w:val="19"/>
          <w:szCs w:val="19"/>
          <w:color w:val="auto"/>
        </w:rPr>
        <w:t>” means the gross amount billed or invoiced by Company or any of its Affiliates, Sublicensees, or Distributors (each, a “</w:t>
      </w:r>
      <w:r>
        <w:rPr>
          <w:rFonts w:ascii="Arial" w:cs="Arial" w:eastAsia="Arial" w:hAnsi="Arial"/>
          <w:sz w:val="19"/>
          <w:szCs w:val="19"/>
          <w:b w:val="1"/>
          <w:bCs w:val="1"/>
          <w:i w:val="1"/>
          <w:iCs w:val="1"/>
          <w:color w:val="auto"/>
        </w:rPr>
        <w:t>Seller</w:t>
      </w:r>
      <w:r>
        <w:rPr>
          <w:rFonts w:ascii="Arial" w:cs="Arial" w:eastAsia="Arial" w:hAnsi="Arial"/>
          <w:sz w:val="19"/>
          <w:szCs w:val="19"/>
          <w:color w:val="auto"/>
        </w:rPr>
        <w:t xml:space="preserve">”) to Third Parties in the Territory for sales or other dispositions or transfers for value of the Product, </w:t>
      </w:r>
      <w:r>
        <w:rPr>
          <w:rFonts w:ascii="Arial" w:cs="Arial" w:eastAsia="Arial" w:hAnsi="Arial"/>
          <w:sz w:val="19"/>
          <w:szCs w:val="19"/>
          <w:i w:val="1"/>
          <w:iCs w:val="1"/>
          <w:u w:val="single" w:color="auto"/>
          <w:color w:val="auto"/>
        </w:rPr>
        <w:t>less</w:t>
      </w:r>
      <w:r>
        <w:rPr>
          <w:rFonts w:ascii="Arial" w:cs="Arial" w:eastAsia="Arial" w:hAnsi="Arial"/>
          <w:sz w:val="19"/>
          <w:szCs w:val="19"/>
          <w:color w:val="auto"/>
        </w:rPr>
        <w:t xml:space="preserve"> (a) allowances for trade, quantity, and cash discounts actually allowed and taken; (b) freight, transportation, insurance, postage charges, and customs duties included on a Seller’s bill or invoice or as a separate item; (c) credits, rebates, allowances, and amounts repaid due to returns, recalls, or government regulations, including allowances for uncollectible amounts and/or bad debts on previously sold Products; (d) retroactive price reductions that are actually allowed or granted; (e) sales taxes, excise taxes, value-added taxes, and other taxes (other than income taxes) levied on the invoiced amount; and (f) duties, tariffs, and other governmental charges. In addition, Net Sales are subject to the following:</w:t>
      </w:r>
    </w:p>
    <w:p>
      <w:pPr>
        <w:spacing w:after="0" w:line="158" w:lineRule="exact"/>
        <w:rPr>
          <w:sz w:val="20"/>
          <w:szCs w:val="20"/>
          <w:color w:val="auto"/>
        </w:rPr>
      </w:pPr>
    </w:p>
    <w:p>
      <w:pPr>
        <w:ind w:firstLine="1304"/>
        <w:spacing w:after="0" w:line="328" w:lineRule="auto"/>
        <w:tabs>
          <w:tab w:leader="none" w:pos="1944" w:val="left"/>
        </w:tabs>
        <w:numPr>
          <w:ilvl w:val="0"/>
          <w:numId w:val="52"/>
        </w:numPr>
        <w:rPr>
          <w:rFonts w:ascii="Arial" w:cs="Arial" w:eastAsia="Arial" w:hAnsi="Arial"/>
          <w:sz w:val="19"/>
          <w:szCs w:val="19"/>
          <w:color w:val="auto"/>
        </w:rPr>
      </w:pPr>
      <w:r>
        <w:rPr>
          <w:rFonts w:ascii="Arial" w:cs="Arial" w:eastAsia="Arial" w:hAnsi="Arial"/>
          <w:sz w:val="19"/>
          <w:szCs w:val="19"/>
          <w:color w:val="auto"/>
        </w:rPr>
        <w:t>Net Sales shall not include sales or transfers between Company and any of its Affiliates, Sublicensees, or Distributors unless such Affiliate, Sublicensee, or Distributor is the end user of the Product.</w:t>
      </w:r>
    </w:p>
    <w:p>
      <w:pPr>
        <w:spacing w:after="0" w:line="104" w:lineRule="exact"/>
        <w:rPr>
          <w:rFonts w:ascii="Arial" w:cs="Arial" w:eastAsia="Arial" w:hAnsi="Arial"/>
          <w:sz w:val="19"/>
          <w:szCs w:val="19"/>
          <w:color w:val="auto"/>
        </w:rPr>
      </w:pPr>
    </w:p>
    <w:p>
      <w:pPr>
        <w:jc w:val="both"/>
        <w:ind w:firstLine="1304"/>
        <w:spacing w:after="0" w:line="282" w:lineRule="auto"/>
        <w:tabs>
          <w:tab w:leader="none" w:pos="1944" w:val="left"/>
        </w:tabs>
        <w:numPr>
          <w:ilvl w:val="0"/>
          <w:numId w:val="52"/>
        </w:numPr>
        <w:rPr>
          <w:rFonts w:ascii="Arial" w:cs="Arial" w:eastAsia="Arial" w:hAnsi="Arial"/>
          <w:sz w:val="19"/>
          <w:szCs w:val="19"/>
          <w:color w:val="auto"/>
        </w:rPr>
      </w:pPr>
      <w:r>
        <w:rPr>
          <w:rFonts w:ascii="Arial" w:cs="Arial" w:eastAsia="Arial" w:hAnsi="Arial"/>
          <w:sz w:val="19"/>
          <w:szCs w:val="19"/>
          <w:color w:val="auto"/>
        </w:rPr>
        <w:t>If any Seller effects a sale, disposition, or transfer of the Product to a Third Party in a particular country other than on customary commercial terms or for non-monetary consideration, the Net Sales of such Product to such Third Party shall be deemed to be “the fair market value” of such Product. For purposes of this subsection (ii), “fair market value” means the value that would have been derived had such Product been sold as a separate product to another customer in the country concerned on customary commercial terms.</w:t>
      </w:r>
    </w:p>
    <w:p>
      <w:pPr>
        <w:spacing w:after="0" w:line="147" w:lineRule="exact"/>
        <w:rPr>
          <w:rFonts w:ascii="Arial" w:cs="Arial" w:eastAsia="Arial" w:hAnsi="Arial"/>
          <w:sz w:val="19"/>
          <w:szCs w:val="19"/>
          <w:color w:val="auto"/>
        </w:rPr>
      </w:pPr>
    </w:p>
    <w:p>
      <w:pPr>
        <w:ind w:firstLine="1304"/>
        <w:spacing w:after="0" w:line="250" w:lineRule="auto"/>
        <w:tabs>
          <w:tab w:leader="none" w:pos="1944"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For purposes of this Agreement, “sale” shall mean any transfer or other distribution or disposition, but shall not include transfers or other distributions or dispositions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5" w:name="page96"/>
    <w:bookmarkEnd w:id="95"/>
    <w:p>
      <w:pPr>
        <w:jc w:val="both"/>
        <w:spacing w:after="0" w:line="287" w:lineRule="auto"/>
        <w:rPr>
          <w:sz w:val="20"/>
          <w:szCs w:val="20"/>
          <w:color w:val="auto"/>
        </w:rPr>
      </w:pPr>
      <w:r>
        <w:rPr>
          <w:rFonts w:ascii="Arial" w:cs="Arial" w:eastAsia="Arial" w:hAnsi="Arial"/>
          <w:sz w:val="19"/>
          <w:szCs w:val="19"/>
          <w:color w:val="auto"/>
        </w:rPr>
        <w:t>Product at no charge for academic research, preclinical, clinical, or regulatory purposes (including the use of the Product in Clinical Trials) or in connection with patient assistance programs or other charitable purposes or to physicians or hospitals for promotional purposes (including free samples to a level and in an amount which is customary in the industry and/or which is reasonably proportional to the market for the Product).</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New CNS Indication</w:t>
      </w:r>
      <w:r>
        <w:rPr>
          <w:rFonts w:ascii="Arial" w:cs="Arial" w:eastAsia="Arial" w:hAnsi="Arial"/>
          <w:sz w:val="19"/>
          <w:szCs w:val="19"/>
          <w:color w:val="auto"/>
        </w:rPr>
        <w:t>” has the meaning set forth in Section 3.2.1(d).</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New CNS Indication Development Activities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3.2.1(d)</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New CNS Indication IP</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3.2.1(d)</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New CNS Indication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3.2.1(d)</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1.95 “</w:t>
      </w:r>
      <w:r>
        <w:rPr>
          <w:rFonts w:ascii="Arial" w:cs="Arial" w:eastAsia="Arial" w:hAnsi="Arial"/>
          <w:sz w:val="22"/>
          <w:szCs w:val="22"/>
          <w:b w:val="1"/>
          <w:bCs w:val="1"/>
          <w:i w:val="1"/>
          <w:iCs w:val="1"/>
          <w:color w:val="auto"/>
        </w:rPr>
        <w:t>New Commercialization Provider</w:t>
      </w:r>
      <w:r>
        <w:rPr>
          <w:rFonts w:ascii="Arial" w:cs="Arial" w:eastAsia="Arial" w:hAnsi="Arial"/>
          <w:sz w:val="22"/>
          <w:szCs w:val="22"/>
          <w:color w:val="auto"/>
        </w:rPr>
        <w:t>” means the provider of Commercialization activities and/or Company Development Activities (or activities which are substantially the same as, or the replacements to, the Commercialization activities and/or the Company Development Activities) as a successor to Company following the termination of all or part of this Agreement.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New Sales Representative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5.3.2(c)</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Officials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12.3.6</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Optional Territory-Based Development Activities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3.1.3</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1.99 “</w:t>
      </w:r>
      <w:r>
        <w:rPr>
          <w:rFonts w:ascii="Arial" w:cs="Arial" w:eastAsia="Arial" w:hAnsi="Arial"/>
          <w:sz w:val="19"/>
          <w:szCs w:val="19"/>
          <w:b w:val="1"/>
          <w:bCs w:val="1"/>
          <w:i w:val="1"/>
          <w:iCs w:val="1"/>
          <w:color w:val="auto"/>
        </w:rPr>
        <w:t>Patent Rights</w:t>
      </w:r>
      <w:r>
        <w:rPr>
          <w:rFonts w:ascii="Arial" w:cs="Arial" w:eastAsia="Arial" w:hAnsi="Arial"/>
          <w:sz w:val="19"/>
          <w:szCs w:val="19"/>
          <w:color w:val="auto"/>
        </w:rPr>
        <w:t>” means the rights and interests in and to issued patents and pending patent applications (which, for purposes of this Agreement, include certificates of invention, applications for certificates of invention, and priority rights) in any country or region, including all provisional applications, substitutions, continuations, continuations-in-part, divisions, renewals, all letters patent granted thereon, and all reissues, re-examinations, and extensions thereof, and all foreign counterparts of any of the foregoing.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1.100  “</w:t>
      </w:r>
      <w:r>
        <w:rPr>
          <w:rFonts w:ascii="Arial" w:cs="Arial" w:eastAsia="Arial" w:hAnsi="Arial"/>
          <w:sz w:val="22"/>
          <w:szCs w:val="22"/>
          <w:b w:val="1"/>
          <w:bCs w:val="1"/>
          <w:i w:val="1"/>
          <w:iCs w:val="1"/>
          <w:color w:val="auto"/>
        </w:rPr>
        <w:t>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12.3.6</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1.101 “</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department, or agency of a government.</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1.102 “</w:t>
      </w:r>
      <w:r>
        <w:rPr>
          <w:rFonts w:ascii="Arial" w:cs="Arial" w:eastAsia="Arial" w:hAnsi="Arial"/>
          <w:sz w:val="22"/>
          <w:szCs w:val="22"/>
          <w:b w:val="1"/>
          <w:bCs w:val="1"/>
          <w:i w:val="1"/>
          <w:iCs w:val="1"/>
          <w:color w:val="auto"/>
        </w:rPr>
        <w:t>Phase 1 Clinical Trial</w:t>
      </w:r>
      <w:r>
        <w:rPr>
          <w:rFonts w:ascii="Arial" w:cs="Arial" w:eastAsia="Arial" w:hAnsi="Arial"/>
          <w:sz w:val="22"/>
          <w:szCs w:val="22"/>
          <w:color w:val="auto"/>
        </w:rPr>
        <w:t>” means a human clinical trial conducted for the Product in any country that would satisfy the requirements of 21 CFR 312.21(a), as amended (or its foreign equivalent, e.g., Regulation (EU) No 536/2014).</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1.103 “</w:t>
      </w:r>
      <w:r>
        <w:rPr>
          <w:rFonts w:ascii="Arial" w:cs="Arial" w:eastAsia="Arial" w:hAnsi="Arial"/>
          <w:sz w:val="22"/>
          <w:szCs w:val="22"/>
          <w:b w:val="1"/>
          <w:bCs w:val="1"/>
          <w:i w:val="1"/>
          <w:iCs w:val="1"/>
          <w:color w:val="auto"/>
        </w:rPr>
        <w:t>Phase 2 Clinical Trial</w:t>
      </w:r>
      <w:r>
        <w:rPr>
          <w:rFonts w:ascii="Arial" w:cs="Arial" w:eastAsia="Arial" w:hAnsi="Arial"/>
          <w:sz w:val="22"/>
          <w:szCs w:val="22"/>
          <w:color w:val="auto"/>
        </w:rPr>
        <w:t>” means a human clinical trial conducted for the Product for any Indication that would satisfy the requirements of 21 CFR 312.21(b), as amended (or its foreign equivalent, e.g., Regulation (EU) No 536/2014) and is intended to explore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6" w:name="page97"/>
    <w:bookmarkEnd w:id="96"/>
    <w:p>
      <w:pPr>
        <w:jc w:val="both"/>
        <w:spacing w:after="0" w:line="250" w:lineRule="auto"/>
        <w:rPr>
          <w:sz w:val="20"/>
          <w:szCs w:val="20"/>
          <w:color w:val="auto"/>
        </w:rPr>
      </w:pPr>
      <w:r>
        <w:rPr>
          <w:rFonts w:ascii="Arial" w:cs="Arial" w:eastAsia="Arial" w:hAnsi="Arial"/>
          <w:sz w:val="22"/>
          <w:szCs w:val="22"/>
          <w:color w:val="auto"/>
        </w:rPr>
        <w:t>doses, dose response, and duration of effect, and to generate initial evidence of clinical activity and safety for the Product in the target patient population.</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1.104 “</w:t>
      </w:r>
      <w:r>
        <w:rPr>
          <w:rFonts w:ascii="Arial" w:cs="Arial" w:eastAsia="Arial" w:hAnsi="Arial"/>
          <w:sz w:val="19"/>
          <w:szCs w:val="19"/>
          <w:b w:val="1"/>
          <w:bCs w:val="1"/>
          <w:i w:val="1"/>
          <w:iCs w:val="1"/>
          <w:color w:val="auto"/>
        </w:rPr>
        <w:t>Phase 3 Clinical Trial</w:t>
      </w:r>
      <w:r>
        <w:rPr>
          <w:rFonts w:ascii="Arial" w:cs="Arial" w:eastAsia="Arial" w:hAnsi="Arial"/>
          <w:sz w:val="19"/>
          <w:szCs w:val="19"/>
          <w:color w:val="auto"/>
        </w:rPr>
        <w:t>” means a pivotal human clinical trial conducted for the Product for any Indication that would satisfy the requirements of 21 CFR 312.21(c), as amended (or its foreign equivalent, e.g., Regulation (EU) No 536/2014) and is intended to confirm with statistical significance the efficacy and safety of the Product with respect to a particular Indication, and is performed to obtain Marketing Authorization.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1.105  “</w:t>
      </w:r>
      <w:r>
        <w:rPr>
          <w:rFonts w:ascii="Arial" w:cs="Arial" w:eastAsia="Arial" w:hAnsi="Arial"/>
          <w:sz w:val="19"/>
          <w:szCs w:val="19"/>
          <w:b w:val="1"/>
          <w:bCs w:val="1"/>
          <w:i w:val="1"/>
          <w:iCs w:val="1"/>
          <w:color w:val="auto"/>
        </w:rPr>
        <w:t>Pivotal Clinical Trial</w:t>
      </w:r>
      <w:r>
        <w:rPr>
          <w:rFonts w:ascii="Arial" w:cs="Arial" w:eastAsia="Arial" w:hAnsi="Arial"/>
          <w:sz w:val="19"/>
          <w:szCs w:val="19"/>
          <w:color w:val="auto"/>
        </w:rPr>
        <w:t>” means (a) a Phase 3 Clinical Trial or, (b) a Phase 2 Clinical Trial to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extent: (i) in the United States, the protocol for that Phase 2 Clinical Trial shall have been reviewed by the FDA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under its current Special Protocol Assessment Guidelines (or equivalent guidelines issued in the future), and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comments from the FDA on that protocol are incorporated in the final protocol for that Phase 2 Clinical Trial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are resolved to the FDA’s satisfaction as evidenced by further written communications from the FDA; or (ii)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process with a comparable result – acceptance of a Phase 2 Clinical Trial protocol as “potentially pivotal” – has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occurred with the EMA/CHMP in the European Union; or (iii) based on the results of that Phase 2 Clinical Trial,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either the FDA or the EMA has determined that the Phase 2 Clinical Trial can be considered as a pivotal clinical</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trial for purposes of obtaining Marketing Authorization; or (iv) the equivalent of the foregoing in other</w:t>
      </w:r>
    </w:p>
    <w:p>
      <w:pPr>
        <w:spacing w:after="0"/>
        <w:rPr>
          <w:sz w:val="20"/>
          <w:szCs w:val="20"/>
          <w:color w:val="auto"/>
        </w:rPr>
      </w:pPr>
      <w:r>
        <w:rPr>
          <w:rFonts w:ascii="Arial" w:cs="Arial" w:eastAsia="Arial" w:hAnsi="Arial"/>
          <w:sz w:val="22"/>
          <w:szCs w:val="22"/>
          <w:color w:val="auto"/>
        </w:rPr>
        <w:t>jurisdictions in the Territory.</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1.106 “</w:t>
      </w:r>
      <w:r>
        <w:rPr>
          <w:rFonts w:ascii="Arial" w:cs="Arial" w:eastAsia="Arial" w:hAnsi="Arial"/>
          <w:sz w:val="22"/>
          <w:szCs w:val="22"/>
          <w:b w:val="1"/>
          <w:bCs w:val="1"/>
          <w:i w:val="1"/>
          <w:iCs w:val="1"/>
          <w:color w:val="auto"/>
        </w:rPr>
        <w:t>Post Approval Clinical Trials</w:t>
      </w:r>
      <w:r>
        <w:rPr>
          <w:rFonts w:ascii="Arial" w:cs="Arial" w:eastAsia="Arial" w:hAnsi="Arial"/>
          <w:sz w:val="22"/>
          <w:szCs w:val="22"/>
          <w:color w:val="auto"/>
        </w:rPr>
        <w:t>” means any Phase 4 clinical trial and/or any clinical trial undertaken after any Marketing Approval is granted for the Product in the Field in the Territory, such as, without limitation, an Investigator sponsored study.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1.107  “</w:t>
      </w:r>
      <w:r>
        <w:rPr>
          <w:rFonts w:ascii="Arial" w:cs="Arial" w:eastAsia="Arial" w:hAnsi="Arial"/>
          <w:sz w:val="19"/>
          <w:szCs w:val="19"/>
          <w:b w:val="1"/>
          <w:bCs w:val="1"/>
          <w:i w:val="1"/>
          <w:iCs w:val="1"/>
          <w:color w:val="auto"/>
        </w:rPr>
        <w:t>Post-Marketing Commitments &amp; Requirements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3.1.2</w:t>
      </w:r>
      <w:r>
        <w:rPr>
          <w:rFonts w:ascii="Arial" w:cs="Arial" w:eastAsia="Arial" w:hAnsi="Arial"/>
          <w:sz w:val="19"/>
          <w:szCs w:val="19"/>
          <w:color w:val="auto"/>
        </w:rPr>
        <w:t>.</w:t>
      </w:r>
    </w:p>
    <w:p>
      <w:pPr>
        <w:spacing w:after="0" w:line="24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1.108 “</w:t>
      </w:r>
      <w:r>
        <w:rPr>
          <w:rFonts w:ascii="Arial" w:cs="Arial" w:eastAsia="Arial" w:hAnsi="Arial"/>
          <w:sz w:val="22"/>
          <w:szCs w:val="22"/>
          <w:b w:val="1"/>
          <w:bCs w:val="1"/>
          <w:i w:val="1"/>
          <w:iCs w:val="1"/>
          <w:color w:val="auto"/>
        </w:rPr>
        <w:t>Pricing</w:t>
      </w:r>
      <w:r>
        <w:rPr>
          <w:rFonts w:ascii="Arial" w:cs="Arial" w:eastAsia="Arial" w:hAnsi="Arial"/>
          <w:sz w:val="22"/>
          <w:szCs w:val="22"/>
          <w:color w:val="auto"/>
        </w:rPr>
        <w:t>” means the determination of Product pricing at all levels, including the Product list price (also referred to as Wholesale Acquisition Cost) and the net price in which the Product is offered to purchasers and payers (including both private sector and government entities).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1.109 “</w:t>
      </w:r>
      <w:r>
        <w:rPr>
          <w:rFonts w:ascii="Arial" w:cs="Arial" w:eastAsia="Arial" w:hAnsi="Arial"/>
          <w:sz w:val="22"/>
          <w:szCs w:val="22"/>
          <w:b w:val="1"/>
          <w:bCs w:val="1"/>
          <w:i w:val="1"/>
          <w:iCs w:val="1"/>
          <w:color w:val="auto"/>
        </w:rPr>
        <w:t>Pricing Approval</w:t>
      </w:r>
      <w:r>
        <w:rPr>
          <w:rFonts w:ascii="Arial" w:cs="Arial" w:eastAsia="Arial" w:hAnsi="Arial"/>
          <w:sz w:val="22"/>
          <w:szCs w:val="22"/>
          <w:color w:val="auto"/>
        </w:rPr>
        <w:t>” means any pricing approvals, guidance, or recommendations reasonably necessary to market the Product in the Field in the Territory.</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Prior Year Spend</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7.3</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1.111 “</w:t>
      </w:r>
      <w:r>
        <w:rPr>
          <w:rFonts w:ascii="Arial" w:cs="Arial" w:eastAsia="Arial" w:hAnsi="Arial"/>
          <w:sz w:val="22"/>
          <w:szCs w:val="22"/>
          <w:b w:val="1"/>
          <w:bCs w:val="1"/>
          <w:i w:val="1"/>
          <w:iCs w:val="1"/>
          <w:color w:val="auto"/>
        </w:rPr>
        <w:t>Product</w:t>
      </w:r>
      <w:r>
        <w:rPr>
          <w:rFonts w:ascii="Arial" w:cs="Arial" w:eastAsia="Arial" w:hAnsi="Arial"/>
          <w:sz w:val="22"/>
          <w:szCs w:val="22"/>
          <w:color w:val="auto"/>
        </w:rPr>
        <w:t xml:space="preserve"> ” means Briumvi, 150mg of the Compound at a concentration of 25 mg/mL for solution for intravenous infusion in the Field.</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1.112 “</w:t>
      </w:r>
      <w:r>
        <w:rPr>
          <w:rFonts w:ascii="Arial" w:cs="Arial" w:eastAsia="Arial" w:hAnsi="Arial"/>
          <w:sz w:val="19"/>
          <w:szCs w:val="19"/>
          <w:b w:val="1"/>
          <w:bCs w:val="1"/>
          <w:i w:val="1"/>
          <w:iCs w:val="1"/>
          <w:color w:val="auto"/>
        </w:rPr>
        <w:t>Product Improvement</w:t>
      </w:r>
      <w:r>
        <w:rPr>
          <w:rFonts w:ascii="Arial" w:cs="Arial" w:eastAsia="Arial" w:hAnsi="Arial"/>
          <w:sz w:val="19"/>
          <w:szCs w:val="19"/>
          <w:color w:val="auto"/>
        </w:rPr>
        <w:t xml:space="preserve">” means any development, innovation, and/or modification to the Product in the Field that (a) may modify the Product Label, or (b) otherwise relates to chemistry, manufacturing, and controls (CMC) of the Product in the Field (including, for the avoidance of doubt and without limitation, changes to and modifications of the Manufacturing process and the supply chain, consistent with the types of activities specified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attached hereto). For clarity, (y) the development of a pharmaceutical product to be used inside the Field containing the Compound as active ingredient and using a route of administration other than intravenous infusion (an “</w:t>
      </w:r>
      <w:r>
        <w:rPr>
          <w:rFonts w:ascii="Arial" w:cs="Arial" w:eastAsia="Arial" w:hAnsi="Arial"/>
          <w:sz w:val="19"/>
          <w:szCs w:val="19"/>
          <w:b w:val="1"/>
          <w:bCs w:val="1"/>
          <w:i w:val="1"/>
          <w:iCs w:val="1"/>
          <w:color w:val="auto"/>
        </w:rPr>
        <w:t>MoA Product Improvement</w:t>
      </w:r>
      <w:r>
        <w:rPr>
          <w:rFonts w:ascii="Arial" w:cs="Arial" w:eastAsia="Arial" w:hAnsi="Arial"/>
          <w:sz w:val="19"/>
          <w:szCs w:val="19"/>
          <w:color w:val="auto"/>
        </w:rPr>
        <w:t>”) and (z) the establishment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7" w:name="page98"/>
    <w:bookmarkEnd w:id="97"/>
    <w:p>
      <w:pPr>
        <w:jc w:val="both"/>
        <w:spacing w:after="0" w:line="252" w:lineRule="auto"/>
        <w:rPr>
          <w:sz w:val="20"/>
          <w:szCs w:val="20"/>
          <w:color w:val="auto"/>
        </w:rPr>
      </w:pPr>
      <w:r>
        <w:rPr>
          <w:rFonts w:ascii="Arial" w:cs="Arial" w:eastAsia="Arial" w:hAnsi="Arial"/>
          <w:sz w:val="21"/>
          <w:szCs w:val="21"/>
          <w:color w:val="auto"/>
        </w:rPr>
        <w:t>alternative sources for manufacturing the Product (drug substance and/or drug product) shall, in each case (y) and (z), be considered a Product Improvement. Notwithstanding the foregoing, the term Product Improvement does not include any development, innovation and/or modification that (i) results in a ROFN Product or a New CNS Indication for the Product, or (ii) results from any Territory-Specific CMC PMCs.</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Product Improvement Development Activities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3.2.1(c)</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Product Improvement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3.2.1(c)</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1.115 “</w:t>
      </w:r>
      <w:r>
        <w:rPr>
          <w:rFonts w:ascii="Arial" w:cs="Arial" w:eastAsia="Arial" w:hAnsi="Arial"/>
          <w:sz w:val="22"/>
          <w:szCs w:val="22"/>
          <w:b w:val="1"/>
          <w:bCs w:val="1"/>
          <w:i w:val="1"/>
          <w:iCs w:val="1"/>
          <w:color w:val="auto"/>
        </w:rPr>
        <w:t>Product Label</w:t>
      </w:r>
      <w:r>
        <w:rPr>
          <w:rFonts w:ascii="Arial" w:cs="Arial" w:eastAsia="Arial" w:hAnsi="Arial"/>
          <w:sz w:val="22"/>
          <w:szCs w:val="22"/>
          <w:color w:val="auto"/>
        </w:rPr>
        <w:t>” means (a) with respect to the European Economic Area countries, the label for the Product in the Field that received initial authorization by the EMA on 30 March 2023 (EMA/H/C/005914), and (b) with respect to all other countries and/or regions in the Territory, the label for the Product in the Field in such countries and/or territories, which is substantially similar to the label described in subsection (a) with respect to all material characteristics.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Promotional Materials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2.1.3(d)</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1.117 “</w:t>
      </w:r>
      <w:r>
        <w:rPr>
          <w:rFonts w:ascii="Arial" w:cs="Arial" w:eastAsia="Arial" w:hAnsi="Arial"/>
          <w:sz w:val="22"/>
          <w:szCs w:val="22"/>
          <w:b w:val="1"/>
          <w:bCs w:val="1"/>
          <w:i w:val="1"/>
          <w:iCs w:val="1"/>
          <w:color w:val="auto"/>
        </w:rPr>
        <w:t>Proprietary Materials</w:t>
      </w:r>
      <w:r>
        <w:rPr>
          <w:rFonts w:ascii="Arial" w:cs="Arial" w:eastAsia="Arial" w:hAnsi="Arial"/>
          <w:sz w:val="22"/>
          <w:szCs w:val="22"/>
          <w:color w:val="auto"/>
        </w:rPr>
        <w:t>” means any tangible chemical, biological, or physical materials that (a) are furnished by or on behalf of one Party to the other Party in connection with this Agreement, whether or not specifically designated as proprietary by such Transferring Party, or (b) that are otherwise conceived or reduced to practice by Company in the conduct of the Company Development Activities and/or in connection with the Commercialization of the Product.</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1.118 “</w:t>
      </w:r>
      <w:r>
        <w:rPr>
          <w:rFonts w:ascii="Arial" w:cs="Arial" w:eastAsia="Arial" w:hAnsi="Arial"/>
          <w:sz w:val="22"/>
          <w:szCs w:val="22"/>
          <w:b w:val="1"/>
          <w:bCs w:val="1"/>
          <w:i w:val="1"/>
          <w:iCs w:val="1"/>
          <w:color w:val="auto"/>
        </w:rPr>
        <w:t>Qualified Person</w:t>
      </w:r>
      <w:r>
        <w:rPr>
          <w:rFonts w:ascii="Arial" w:cs="Arial" w:eastAsia="Arial" w:hAnsi="Arial"/>
          <w:sz w:val="22"/>
          <w:szCs w:val="22"/>
          <w:color w:val="auto"/>
        </w:rPr>
        <w:t>” has the meaning assigned to such term in Article 48 of Directive 2001/83/EC, as amended, and Article 52 of Directive 2001/82/EC.</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Raw Material</w:t>
      </w:r>
      <w:r>
        <w:rPr>
          <w:rFonts w:ascii="Arial" w:cs="Arial" w:eastAsia="Arial" w:hAnsi="Arial"/>
          <w:sz w:val="19"/>
          <w:szCs w:val="19"/>
          <w:color w:val="auto"/>
        </w:rPr>
        <w:t>” has the meaning set forth in the Supply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1.120  “</w:t>
      </w:r>
      <w:r>
        <w:rPr>
          <w:rFonts w:ascii="Arial" w:cs="Arial" w:eastAsia="Arial" w:hAnsi="Arial"/>
          <w:sz w:val="22"/>
          <w:szCs w:val="22"/>
          <w:b w:val="1"/>
          <w:bCs w:val="1"/>
          <w:i w:val="1"/>
          <w:iCs w:val="1"/>
          <w:color w:val="auto"/>
        </w:rPr>
        <w:t>Recall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5.8</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1.121 “</w:t>
      </w:r>
      <w:r>
        <w:rPr>
          <w:rFonts w:ascii="Arial" w:cs="Arial" w:eastAsia="Arial" w:hAnsi="Arial"/>
          <w:sz w:val="22"/>
          <w:szCs w:val="22"/>
          <w:b w:val="1"/>
          <w:bCs w:val="1"/>
          <w:i w:val="1"/>
          <w:iCs w:val="1"/>
          <w:color w:val="auto"/>
        </w:rPr>
        <w:t>Regulatory Approval</w:t>
      </w:r>
      <w:r>
        <w:rPr>
          <w:rFonts w:ascii="Arial" w:cs="Arial" w:eastAsia="Arial" w:hAnsi="Arial"/>
          <w:sz w:val="22"/>
          <w:szCs w:val="22"/>
          <w:color w:val="auto"/>
        </w:rPr>
        <w:t xml:space="preserve"> ” means, with respect to the Territory, any approval, product and establishment license, registration, or authorization of any Regulatory Authority required for the Manufacture, use, storage, importation, exportation, transport, or distribution of the Product in the Territory, including any Marketing Authorization, Reimbursement Approval, and Pricing Approval.</w:t>
      </w:r>
    </w:p>
    <w:p>
      <w:pPr>
        <w:spacing w:after="0" w:line="1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1.122 “</w:t>
      </w:r>
      <w:r>
        <w:rPr>
          <w:rFonts w:ascii="Arial" w:cs="Arial" w:eastAsia="Arial" w:hAnsi="Arial"/>
          <w:sz w:val="21"/>
          <w:szCs w:val="21"/>
          <w:b w:val="1"/>
          <w:bCs w:val="1"/>
          <w:i w:val="1"/>
          <w:iCs w:val="1"/>
          <w:color w:val="auto"/>
        </w:rPr>
        <w:t>Regulatory Authority</w:t>
      </w:r>
      <w:r>
        <w:rPr>
          <w:rFonts w:ascii="Arial" w:cs="Arial" w:eastAsia="Arial" w:hAnsi="Arial"/>
          <w:sz w:val="21"/>
          <w:szCs w:val="21"/>
          <w:color w:val="auto"/>
        </w:rPr>
        <w:t>” means any national, international, regional, state, or local regulatory agency, department, bureau, commission, council, or other governmental entity with authority over the distribution, importation, exportation, Manufacture, production, use, storage, transport, clinical testing, marketing, Pricing, or sale of the Product in the Field in the Territory, including, without limitation, the EMA and The Medicines and Healthcare Regulatory Authority of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8" w:name="page99"/>
    <w:bookmarkEnd w:id="98"/>
    <w:p>
      <w:pPr>
        <w:jc w:val="both"/>
        <w:ind w:firstLine="648"/>
        <w:spacing w:after="0" w:line="236" w:lineRule="auto"/>
        <w:rPr>
          <w:sz w:val="20"/>
          <w:szCs w:val="20"/>
          <w:color w:val="auto"/>
        </w:rPr>
      </w:pPr>
      <w:r>
        <w:rPr>
          <w:rFonts w:ascii="Arial" w:cs="Arial" w:eastAsia="Arial" w:hAnsi="Arial"/>
          <w:sz w:val="22"/>
          <w:szCs w:val="22"/>
          <w:color w:val="auto"/>
        </w:rPr>
        <w:t>1.123 “</w:t>
      </w:r>
      <w:r>
        <w:rPr>
          <w:rFonts w:ascii="Arial" w:cs="Arial" w:eastAsia="Arial" w:hAnsi="Arial"/>
          <w:sz w:val="22"/>
          <w:szCs w:val="22"/>
          <w:b w:val="1"/>
          <w:bCs w:val="1"/>
          <w:i w:val="1"/>
          <w:iCs w:val="1"/>
          <w:color w:val="auto"/>
        </w:rPr>
        <w:t>Regulatory Filings</w:t>
      </w:r>
      <w:r>
        <w:rPr>
          <w:rFonts w:ascii="Arial" w:cs="Arial" w:eastAsia="Arial" w:hAnsi="Arial"/>
          <w:sz w:val="22"/>
          <w:szCs w:val="22"/>
          <w:color w:val="auto"/>
        </w:rPr>
        <w:t>” means, collectively: (a) all MAAs, establishment license applications, Drug Master Files, and all other similar filings (including, without limitation, counterparts of any of the foregoing in any country in the Territory); (b) all supplements and amendments to any of the foregoing; (c) all data and other information contained in, and correspondence relating to, any of the foregoing; and (d) any and all orphan drug applications.</w:t>
      </w:r>
    </w:p>
    <w:p>
      <w:pPr>
        <w:spacing w:after="0" w:line="18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1.124 “</w:t>
      </w:r>
      <w:r>
        <w:rPr>
          <w:rFonts w:ascii="Arial" w:cs="Arial" w:eastAsia="Arial" w:hAnsi="Arial"/>
          <w:sz w:val="22"/>
          <w:szCs w:val="22"/>
          <w:b w:val="1"/>
          <w:bCs w:val="1"/>
          <w:i w:val="1"/>
          <w:iCs w:val="1"/>
          <w:color w:val="auto"/>
        </w:rPr>
        <w:t>Reimbursement Approval</w:t>
      </w:r>
      <w:r>
        <w:rPr>
          <w:rFonts w:ascii="Arial" w:cs="Arial" w:eastAsia="Arial" w:hAnsi="Arial"/>
          <w:sz w:val="22"/>
          <w:szCs w:val="22"/>
          <w:color w:val="auto"/>
        </w:rPr>
        <w:t>” means any pricing reimbursement registration or listing on formularies or any other similar approvals necessary or useful to an optimal introduction of the Product in the Field on the market.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1.125  “</w:t>
      </w:r>
      <w:r>
        <w:rPr>
          <w:rFonts w:ascii="Arial" w:cs="Arial" w:eastAsia="Arial" w:hAnsi="Arial"/>
          <w:sz w:val="22"/>
          <w:szCs w:val="22"/>
          <w:b w:val="1"/>
          <w:bCs w:val="1"/>
          <w:i w:val="1"/>
          <w:iCs w:val="1"/>
          <w:color w:val="auto"/>
        </w:rPr>
        <w:t>Results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9.4</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1.126  “</w:t>
      </w:r>
      <w:r>
        <w:rPr>
          <w:rFonts w:ascii="Arial" w:cs="Arial" w:eastAsia="Arial" w:hAnsi="Arial"/>
          <w:sz w:val="22"/>
          <w:szCs w:val="22"/>
          <w:b w:val="1"/>
          <w:bCs w:val="1"/>
          <w:i w:val="1"/>
          <w:iCs w:val="1"/>
          <w:color w:val="auto"/>
        </w:rPr>
        <w:t>ROFN Opportunity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1.127 “</w:t>
      </w:r>
      <w:r>
        <w:rPr>
          <w:rFonts w:ascii="Arial" w:cs="Arial" w:eastAsia="Arial" w:hAnsi="Arial"/>
          <w:sz w:val="19"/>
          <w:szCs w:val="19"/>
          <w:b w:val="1"/>
          <w:bCs w:val="1"/>
          <w:i w:val="1"/>
          <w:iCs w:val="1"/>
          <w:color w:val="auto"/>
        </w:rPr>
        <w:t>ROFN Product</w:t>
      </w:r>
      <w:r>
        <w:rPr>
          <w:rFonts w:ascii="Arial" w:cs="Arial" w:eastAsia="Arial" w:hAnsi="Arial"/>
          <w:sz w:val="19"/>
          <w:szCs w:val="19"/>
          <w:color w:val="auto"/>
        </w:rPr>
        <w:t>” means any pharmaceutical product that (a) contains the Compound as an active ingredient, and (b) is for an indication that is both: (i) outside the Field and (ii) not a New CNS Indication.</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1.128  “</w:t>
      </w:r>
      <w:r>
        <w:rPr>
          <w:rFonts w:ascii="Arial" w:cs="Arial" w:eastAsia="Arial" w:hAnsi="Arial"/>
          <w:sz w:val="22"/>
          <w:szCs w:val="22"/>
          <w:b w:val="1"/>
          <w:bCs w:val="1"/>
          <w:i w:val="1"/>
          <w:iCs w:val="1"/>
          <w:color w:val="auto"/>
        </w:rPr>
        <w:t>Sales Target</w:t>
      </w:r>
      <w:r>
        <w:rPr>
          <w:rFonts w:ascii="Arial" w:cs="Arial" w:eastAsia="Arial" w:hAnsi="Arial"/>
          <w:sz w:val="22"/>
          <w:szCs w:val="22"/>
          <w:color w:val="auto"/>
        </w:rPr>
        <w:t xml:space="preserve">” means, </w:t>
      </w:r>
      <w:r>
        <w:rPr>
          <w:rFonts w:ascii="Arial" w:cs="Arial" w:eastAsia="Arial" w:hAnsi="Arial"/>
          <w:sz w:val="17"/>
          <w:szCs w:val="17"/>
          <w:b w:val="1"/>
          <w:bCs w:val="1"/>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1.129  “</w:t>
      </w:r>
      <w:r>
        <w:rPr>
          <w:rFonts w:ascii="Arial" w:cs="Arial" w:eastAsia="Arial" w:hAnsi="Arial"/>
          <w:sz w:val="22"/>
          <w:szCs w:val="22"/>
          <w:b w:val="1"/>
          <w:bCs w:val="1"/>
          <w:i w:val="1"/>
          <w:iCs w:val="1"/>
          <w:color w:val="auto"/>
        </w:rPr>
        <w:t>SBL</w:t>
      </w:r>
      <w:r>
        <w:rPr>
          <w:rFonts w:ascii="Arial" w:cs="Arial" w:eastAsia="Arial" w:hAnsi="Arial"/>
          <w:sz w:val="22"/>
          <w:szCs w:val="22"/>
          <w:color w:val="auto"/>
        </w:rPr>
        <w:t>” has the meaning set forth in the Supply Agreement.</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1.130 “</w:t>
      </w:r>
      <w:r>
        <w:rPr>
          <w:rFonts w:ascii="Arial" w:cs="Arial" w:eastAsia="Arial" w:hAnsi="Arial"/>
          <w:sz w:val="21"/>
          <w:szCs w:val="21"/>
          <w:b w:val="1"/>
          <w:bCs w:val="1"/>
          <w:i w:val="1"/>
          <w:iCs w:val="1"/>
          <w:color w:val="auto"/>
        </w:rPr>
        <w:t>Serious Adverse Event</w:t>
      </w:r>
      <w:r>
        <w:rPr>
          <w:rFonts w:ascii="Arial" w:cs="Arial" w:eastAsia="Arial" w:hAnsi="Arial"/>
          <w:sz w:val="21"/>
          <w:szCs w:val="21"/>
          <w:color w:val="auto"/>
        </w:rPr>
        <w:t>” means any untoward medical occurrence that, at any dose, results in death, is life-threatening, requires inpatient hospitalization or prolongation of existing hospitalization, results in persistent or significant disability/incapacity, or is a congenital anomaly/birth defect, including as more fully defined in 21 CFR § 312.32 and Art. 1 para. 12 of Directive 2001/83/EC.</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1.131 “</w:t>
      </w:r>
      <w:r>
        <w:rPr>
          <w:rFonts w:ascii="Arial" w:cs="Arial" w:eastAsia="Arial" w:hAnsi="Arial"/>
          <w:sz w:val="19"/>
          <w:szCs w:val="19"/>
          <w:b w:val="1"/>
          <w:bCs w:val="1"/>
          <w:i w:val="1"/>
          <w:iCs w:val="1"/>
          <w:color w:val="auto"/>
        </w:rPr>
        <w:t>Significant Development Event</w:t>
      </w:r>
      <w:r>
        <w:rPr>
          <w:rFonts w:ascii="Arial" w:cs="Arial" w:eastAsia="Arial" w:hAnsi="Arial"/>
          <w:sz w:val="19"/>
          <w:szCs w:val="19"/>
          <w:color w:val="auto"/>
        </w:rPr>
        <w:t xml:space="preserve">” means any of the following material Development events, a summary of which shall be included in any Development Report: (a) any material interaction and/or written correspondence between Company and any Regulatory Authority with respect to the Product; (b) any material event with respect to any Clinical Trial involving the Product conducted by or on behalf of Company, including any such event that is ongoing as of the date of the applicable Development Report, or is reasonably expected to occur or be initiated within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the date of the applicable Development Report; and (c) any material result obtained in the conduct of any Clinical Trial involving the Product conducted by or on behalf of Company during the period covered by the Development Report. For purposes of clarity, all information provided to TG with respect to Significant Development Events, shall be deemed to be Confidential Information of Company. For purposes of this definition, “material” shall be defined as any event and/or result which have had or may have a significant impact on the activities and timelines defined in the Development Plan of the Product.</w:t>
      </w:r>
    </w:p>
    <w:p>
      <w:pPr>
        <w:spacing w:after="0" w:line="15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1.132 “</w:t>
      </w:r>
      <w:r>
        <w:rPr>
          <w:rFonts w:ascii="Arial" w:cs="Arial" w:eastAsia="Arial" w:hAnsi="Arial"/>
          <w:sz w:val="22"/>
          <w:szCs w:val="22"/>
          <w:b w:val="1"/>
          <w:bCs w:val="1"/>
          <w:i w:val="1"/>
          <w:iCs w:val="1"/>
          <w:color w:val="auto"/>
        </w:rPr>
        <w:t>Sublicensee</w:t>
      </w:r>
      <w:r>
        <w:rPr>
          <w:rFonts w:ascii="Arial" w:cs="Arial" w:eastAsia="Arial" w:hAnsi="Arial"/>
          <w:sz w:val="22"/>
          <w:szCs w:val="22"/>
          <w:color w:val="auto"/>
        </w:rPr>
        <w:t xml:space="preserve">” means any Third Party to which Company grants a sublicense in accordance with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1.133 “</w:t>
      </w:r>
      <w:r>
        <w:rPr>
          <w:rFonts w:ascii="Arial" w:cs="Arial" w:eastAsia="Arial" w:hAnsi="Arial"/>
          <w:sz w:val="22"/>
          <w:szCs w:val="22"/>
          <w:b w:val="1"/>
          <w:bCs w:val="1"/>
          <w:i w:val="1"/>
          <w:iCs w:val="1"/>
          <w:color w:val="auto"/>
        </w:rPr>
        <w:t>Sublicense Agreement</w:t>
      </w:r>
      <w:r>
        <w:rPr>
          <w:rFonts w:ascii="Arial" w:cs="Arial" w:eastAsia="Arial" w:hAnsi="Arial"/>
          <w:sz w:val="22"/>
          <w:szCs w:val="22"/>
          <w:color w:val="auto"/>
        </w:rPr>
        <w:t xml:space="preserve">” means any agreement by and between a Party and a Sublicensee which is entered into in accordance with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99" w:name="page100"/>
    <w:bookmarkEnd w:id="99"/>
    <w:p>
      <w:pPr>
        <w:ind w:left="660"/>
        <w:spacing w:after="0"/>
        <w:rPr>
          <w:sz w:val="20"/>
          <w:szCs w:val="20"/>
          <w:color w:val="auto"/>
        </w:rPr>
      </w:pPr>
      <w:r>
        <w:rPr>
          <w:rFonts w:ascii="Arial" w:cs="Arial" w:eastAsia="Arial" w:hAnsi="Arial"/>
          <w:sz w:val="22"/>
          <w:szCs w:val="22"/>
          <w:color w:val="auto"/>
        </w:rPr>
        <w:t>1.134  “</w:t>
      </w:r>
      <w:r>
        <w:rPr>
          <w:rFonts w:ascii="Arial" w:cs="Arial" w:eastAsia="Arial" w:hAnsi="Arial"/>
          <w:sz w:val="22"/>
          <w:szCs w:val="22"/>
          <w:b w:val="1"/>
          <w:bCs w:val="1"/>
          <w:i w:val="1"/>
          <w:iCs w:val="1"/>
          <w:color w:val="auto"/>
        </w:rPr>
        <w:t>Supply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1.135 “</w:t>
      </w:r>
      <w:r>
        <w:rPr>
          <w:rFonts w:ascii="Arial" w:cs="Arial" w:eastAsia="Arial" w:hAnsi="Arial"/>
          <w:sz w:val="22"/>
          <w:szCs w:val="22"/>
          <w:b w:val="1"/>
          <w:bCs w:val="1"/>
          <w:i w:val="1"/>
          <w:iCs w:val="1"/>
          <w:color w:val="auto"/>
        </w:rPr>
        <w:t>Taxes</w:t>
      </w:r>
      <w:r>
        <w:rPr>
          <w:rFonts w:ascii="Arial" w:cs="Arial" w:eastAsia="Arial" w:hAnsi="Arial"/>
          <w:sz w:val="22"/>
          <w:szCs w:val="22"/>
          <w:color w:val="auto"/>
        </w:rPr>
        <w:t>” means: (a) any form of tax on income, profits and gains; and (b) all other taxes, levies, duties, imposts, charges, contributions and withholdings in the nature of taxation imposed, collected or assessed by, or payable to, a Tax authority, including any excise, property, value added, sales, transfer, franchise and payroll taxes, in each case regardless of whether levied as a primary, secondary or joint liability and together with all penalties, fines, charges, additions to tax and interest relating to any of the foregoing or to any late or incorrect return in respect of any of them.</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1.136 “</w:t>
      </w:r>
      <w:r>
        <w:rPr>
          <w:rFonts w:ascii="Arial" w:cs="Arial" w:eastAsia="Arial" w:hAnsi="Arial"/>
          <w:sz w:val="19"/>
          <w:szCs w:val="19"/>
          <w:b w:val="1"/>
          <w:bCs w:val="1"/>
          <w:i w:val="1"/>
          <w:iCs w:val="1"/>
          <w:color w:val="auto"/>
        </w:rPr>
        <w:t>Technology</w:t>
      </w:r>
      <w:r>
        <w:rPr>
          <w:rFonts w:ascii="Arial" w:cs="Arial" w:eastAsia="Arial" w:hAnsi="Arial"/>
          <w:sz w:val="19"/>
          <w:szCs w:val="19"/>
          <w:color w:val="auto"/>
        </w:rPr>
        <w:t>” means, collectively, all inventions, discoveries, improvements, trade secrets, and proprietary information and methods, whether or not patentable or patented, including without limitation: (a) methods of use of, and structural and functional information pertaining to, chemical compounds; (b) compositions of matter, data, formulations, processes, techniques, know-how, and results (including any negative results); and</w:t>
      </w:r>
    </w:p>
    <w:p>
      <w:pPr>
        <w:spacing w:after="0" w:line="3" w:lineRule="exact"/>
        <w:rPr>
          <w:sz w:val="20"/>
          <w:szCs w:val="20"/>
          <w:color w:val="auto"/>
        </w:rPr>
      </w:pPr>
    </w:p>
    <w:p>
      <w:pPr>
        <w:ind w:firstLine="8"/>
        <w:spacing w:after="0" w:line="236" w:lineRule="auto"/>
        <w:tabs>
          <w:tab w:leader="none" w:pos="329" w:val="left"/>
        </w:tabs>
        <w:numPr>
          <w:ilvl w:val="0"/>
          <w:numId w:val="53"/>
        </w:numPr>
        <w:rPr>
          <w:rFonts w:ascii="Arial" w:cs="Arial" w:eastAsia="Arial" w:hAnsi="Arial"/>
          <w:sz w:val="22"/>
          <w:szCs w:val="22"/>
          <w:color w:val="auto"/>
        </w:rPr>
      </w:pPr>
      <w:r>
        <w:rPr>
          <w:rFonts w:ascii="Arial" w:cs="Arial" w:eastAsia="Arial" w:hAnsi="Arial"/>
          <w:sz w:val="22"/>
          <w:szCs w:val="22"/>
          <w:color w:val="auto"/>
        </w:rPr>
        <w:t>results of clinical trials, pre-clinical trials, and other Development activities, including, without limitation, Clinical Data.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1.137  “</w:t>
      </w:r>
      <w:r>
        <w:rPr>
          <w:rFonts w:ascii="Arial" w:cs="Arial" w:eastAsia="Arial" w:hAnsi="Arial"/>
          <w:sz w:val="22"/>
          <w:szCs w:val="22"/>
          <w:b w:val="1"/>
          <w:bCs w:val="1"/>
          <w:i w:val="1"/>
          <w:iCs w:val="1"/>
          <w:color w:val="auto"/>
        </w:rPr>
        <w:t>Term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1.138  “</w:t>
      </w:r>
      <w:r>
        <w:rPr>
          <w:rFonts w:ascii="Arial" w:cs="Arial" w:eastAsia="Arial" w:hAnsi="Arial"/>
          <w:sz w:val="22"/>
          <w:szCs w:val="22"/>
          <w:b w:val="1"/>
          <w:bCs w:val="1"/>
          <w:i w:val="1"/>
          <w:iCs w:val="1"/>
          <w:color w:val="auto"/>
        </w:rPr>
        <w:t>Territory</w:t>
      </w:r>
      <w:r>
        <w:rPr>
          <w:rFonts w:ascii="Arial" w:cs="Arial" w:eastAsia="Arial" w:hAnsi="Arial"/>
          <w:sz w:val="22"/>
          <w:szCs w:val="22"/>
          <w:color w:val="auto"/>
        </w:rPr>
        <w:t>” means worldwide, other than the Excluded Territory.</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1.139 “</w:t>
      </w:r>
      <w:r>
        <w:rPr>
          <w:rFonts w:ascii="Arial" w:cs="Arial" w:eastAsia="Arial" w:hAnsi="Arial"/>
          <w:sz w:val="22"/>
          <w:szCs w:val="22"/>
          <w:b w:val="1"/>
          <w:bCs w:val="1"/>
          <w:i w:val="1"/>
          <w:iCs w:val="1"/>
          <w:color w:val="auto"/>
        </w:rPr>
        <w:t>Territory-Specific CMC PMCs</w:t>
      </w:r>
      <w:r>
        <w:rPr>
          <w:rFonts w:ascii="Arial" w:cs="Arial" w:eastAsia="Arial" w:hAnsi="Arial"/>
          <w:sz w:val="22"/>
          <w:szCs w:val="22"/>
          <w:color w:val="auto"/>
        </w:rPr>
        <w:t>” means any Post-Marketing Commitment &amp; Requirement that is related to CMC of the Product in the Field that is specific to the Territory (and, for clarity, not the Excluded Territory) and that arises prior to or following the Effective Date.</w:t>
      </w:r>
    </w:p>
    <w:p>
      <w:pPr>
        <w:spacing w:after="0" w:line="18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1.140 “</w:t>
      </w:r>
      <w:r>
        <w:rPr>
          <w:rFonts w:ascii="Arial" w:cs="Arial" w:eastAsia="Arial" w:hAnsi="Arial"/>
          <w:sz w:val="22"/>
          <w:szCs w:val="22"/>
          <w:b w:val="1"/>
          <w:bCs w:val="1"/>
          <w:i w:val="1"/>
          <w:iCs w:val="1"/>
          <w:color w:val="auto"/>
        </w:rPr>
        <w:t>Territory-Specific Requirements</w:t>
      </w:r>
      <w:r>
        <w:rPr>
          <w:rFonts w:ascii="Arial" w:cs="Arial" w:eastAsia="Arial" w:hAnsi="Arial"/>
          <w:sz w:val="22"/>
          <w:szCs w:val="22"/>
          <w:color w:val="auto"/>
        </w:rPr>
        <w:t xml:space="preserve">” means (a) the Post-Marketing Commitment &amp; Requirements that are identified as a Territory-Specific Requirement on </w:t>
      </w:r>
      <w:r>
        <w:rPr>
          <w:rFonts w:ascii="Arial" w:cs="Arial" w:eastAsia="Arial" w:hAnsi="Arial"/>
          <w:sz w:val="22"/>
          <w:szCs w:val="22"/>
          <w:u w:val="single" w:color="auto"/>
          <w:color w:val="auto"/>
        </w:rPr>
        <w:t>Schedule 3.1.2</w:t>
      </w:r>
      <w:r>
        <w:rPr>
          <w:rFonts w:ascii="Arial" w:cs="Arial" w:eastAsia="Arial" w:hAnsi="Arial"/>
          <w:sz w:val="22"/>
          <w:szCs w:val="22"/>
          <w:color w:val="auto"/>
        </w:rPr>
        <w:t xml:space="preserve"> , (b) any other Post-Marketing Commitment &amp; Requirement that is specific to the Territory, not related to CMC, and arises following the Effective Date, and (c) any Development studies or activities that are specific to the Territory, arise following the Effective Date, and are required to obtain Marketing Authorization for the Product in the Field in a country in the Territory, but not including Territory-Specific CMC PMCs.</w:t>
      </w:r>
    </w:p>
    <w:p>
      <w:pPr>
        <w:spacing w:after="0" w:line="1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1.141 “</w:t>
      </w:r>
      <w:r>
        <w:rPr>
          <w:rFonts w:ascii="Arial" w:cs="Arial" w:eastAsia="Arial" w:hAnsi="Arial"/>
          <w:sz w:val="21"/>
          <w:szCs w:val="21"/>
          <w:b w:val="1"/>
          <w:bCs w:val="1"/>
          <w:i w:val="1"/>
          <w:iCs w:val="1"/>
          <w:color w:val="auto"/>
        </w:rPr>
        <w:t>TG EU Commercial Personnel</w:t>
      </w:r>
      <w:r>
        <w:rPr>
          <w:rFonts w:ascii="Arial" w:cs="Arial" w:eastAsia="Arial" w:hAnsi="Arial"/>
          <w:sz w:val="21"/>
          <w:szCs w:val="21"/>
          <w:color w:val="auto"/>
        </w:rPr>
        <w:t>” means EU-based marketing, medical and/or sales personnel engaged by TG from time to time, at TG’s sole expense, to perform specific targeted interactions with key opinion leaders regarding Multiple Sclerosis located in the Territory and/or to perform market assessment, in each case as directed by TG and subject to prior discussion and agreement by the JSC, to support the commercial success of the Product in the Field in the European Economic Area.</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1.142  “</w:t>
      </w:r>
      <w:r>
        <w:rPr>
          <w:rFonts w:ascii="Arial" w:cs="Arial" w:eastAsia="Arial" w:hAnsi="Arial"/>
          <w:sz w:val="22"/>
          <w:szCs w:val="22"/>
          <w:b w:val="1"/>
          <w:bCs w:val="1"/>
          <w:i w:val="1"/>
          <w:iCs w:val="1"/>
          <w:color w:val="auto"/>
        </w:rPr>
        <w:t>TG Indemnities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13.1</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1.143  “</w:t>
      </w:r>
      <w:r>
        <w:rPr>
          <w:rFonts w:ascii="Arial" w:cs="Arial" w:eastAsia="Arial" w:hAnsi="Arial"/>
          <w:sz w:val="22"/>
          <w:szCs w:val="22"/>
          <w:b w:val="1"/>
          <w:bCs w:val="1"/>
          <w:i w:val="1"/>
          <w:iCs w:val="1"/>
          <w:color w:val="auto"/>
        </w:rPr>
        <w:t>TG Residence Confirmation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8.3.6</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1.144 “</w:t>
      </w:r>
      <w:r>
        <w:rPr>
          <w:rFonts w:ascii="Arial" w:cs="Arial" w:eastAsia="Arial" w:hAnsi="Arial"/>
          <w:sz w:val="22"/>
          <w:szCs w:val="22"/>
          <w:b w:val="1"/>
          <w:bCs w:val="1"/>
          <w:i w:val="1"/>
          <w:iCs w:val="1"/>
          <w:color w:val="auto"/>
        </w:rPr>
        <w:t>Third Party</w:t>
      </w:r>
      <w:r>
        <w:rPr>
          <w:rFonts w:ascii="Arial" w:cs="Arial" w:eastAsia="Arial" w:hAnsi="Arial"/>
          <w:sz w:val="22"/>
          <w:szCs w:val="22"/>
          <w:color w:val="auto"/>
        </w:rPr>
        <w:t>” means (a) with respect to Company, any Person other than Company and its respective Affiliates, Sublicensees, and Distributors and (b) with respect to TG, any Person other than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0" w:name="page101"/>
    <w:bookmarkEnd w:id="100"/>
    <w:p>
      <w:pPr>
        <w:ind w:left="660"/>
        <w:spacing w:after="0"/>
        <w:rPr>
          <w:sz w:val="20"/>
          <w:szCs w:val="20"/>
          <w:color w:val="auto"/>
        </w:rPr>
      </w:pPr>
      <w:r>
        <w:rPr>
          <w:rFonts w:ascii="Arial" w:cs="Arial" w:eastAsia="Arial" w:hAnsi="Arial"/>
          <w:sz w:val="22"/>
          <w:szCs w:val="22"/>
          <w:color w:val="auto"/>
        </w:rPr>
        <w:t>1.145  “</w:t>
      </w:r>
      <w:r>
        <w:rPr>
          <w:rFonts w:ascii="Arial" w:cs="Arial" w:eastAsia="Arial" w:hAnsi="Arial"/>
          <w:sz w:val="22"/>
          <w:szCs w:val="22"/>
          <w:b w:val="1"/>
          <w:bCs w:val="1"/>
          <w:i w:val="1"/>
          <w:iCs w:val="1"/>
          <w:color w:val="auto"/>
        </w:rPr>
        <w:t>Transfer Claimant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11.4.4(i)</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1.146 “</w:t>
      </w:r>
      <w:r>
        <w:rPr>
          <w:rFonts w:ascii="Arial" w:cs="Arial" w:eastAsia="Arial" w:hAnsi="Arial"/>
          <w:sz w:val="19"/>
          <w:szCs w:val="19"/>
          <w:b w:val="1"/>
          <w:bCs w:val="1"/>
          <w:i w:val="1"/>
          <w:iCs w:val="1"/>
          <w:color w:val="auto"/>
        </w:rPr>
        <w:t>Transfer Regulations</w:t>
      </w:r>
      <w:r>
        <w:rPr>
          <w:rFonts w:ascii="Arial" w:cs="Arial" w:eastAsia="Arial" w:hAnsi="Arial"/>
          <w:sz w:val="19"/>
          <w:szCs w:val="19"/>
          <w:color w:val="auto"/>
        </w:rPr>
        <w:t>” means the Transfer of Undertakings (Protection of Employment) Regulations 2006, as amended, augmented, and/or replaced by similar law enacted by the UK Government from time-to-time, the EU Directive 2001/23/EC on the approximation of the laws of the European Union member states relating to the safeguarding of employees rights in the event of transfers of undertakings or businesses (referred to as the Acquired Rights Directive), and any national laws implementing the same or similar law(s) or any successor legislation in force from time to time; and any other law (as amended, augmented and/or replaced by similar law(s) from time-to-time) which governs or provides for the automatic transfer of any employee.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1.147  “</w:t>
      </w:r>
      <w:r>
        <w:rPr>
          <w:rFonts w:ascii="Arial" w:cs="Arial" w:eastAsia="Arial" w:hAnsi="Arial"/>
          <w:sz w:val="22"/>
          <w:szCs w:val="22"/>
          <w:b w:val="1"/>
          <w:bCs w:val="1"/>
          <w:i w:val="1"/>
          <w:iCs w:val="1"/>
          <w:color w:val="auto"/>
        </w:rPr>
        <w:t>Transferring Employees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11.2.5(a)(v)</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1.148  “</w:t>
      </w:r>
      <w:r>
        <w:rPr>
          <w:rFonts w:ascii="Arial" w:cs="Arial" w:eastAsia="Arial" w:hAnsi="Arial"/>
          <w:sz w:val="22"/>
          <w:szCs w:val="22"/>
          <w:b w:val="1"/>
          <w:bCs w:val="1"/>
          <w:i w:val="1"/>
          <w:iCs w:val="1"/>
          <w:color w:val="auto"/>
        </w:rPr>
        <w:t>Upfront 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8.1.</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1.149 “</w:t>
      </w:r>
      <w:r>
        <w:rPr>
          <w:rFonts w:ascii="Arial" w:cs="Arial" w:eastAsia="Arial" w:hAnsi="Arial"/>
          <w:sz w:val="19"/>
          <w:szCs w:val="19"/>
          <w:b w:val="1"/>
          <w:bCs w:val="1"/>
          <w:i w:val="1"/>
          <w:iCs w:val="1"/>
          <w:color w:val="auto"/>
        </w:rPr>
        <w:t>Valid Claim</w:t>
      </w:r>
      <w:r>
        <w:rPr>
          <w:rFonts w:ascii="Arial" w:cs="Arial" w:eastAsia="Arial" w:hAnsi="Arial"/>
          <w:sz w:val="19"/>
          <w:szCs w:val="19"/>
          <w:color w:val="auto"/>
        </w:rPr>
        <w:t>” means any claim of (a) an issued unexpired patent that (i) has not been finally canceled, withdrawn, abandoned or rejected by any administrative agency or other body of competent jurisdiction,</w:t>
      </w:r>
    </w:p>
    <w:p>
      <w:pPr>
        <w:spacing w:after="0" w:line="1" w:lineRule="exact"/>
        <w:rPr>
          <w:sz w:val="20"/>
          <w:szCs w:val="20"/>
          <w:color w:val="auto"/>
        </w:rPr>
      </w:pPr>
    </w:p>
    <w:p>
      <w:pPr>
        <w:jc w:val="both"/>
        <w:ind w:firstLine="8"/>
        <w:spacing w:after="0" w:line="232" w:lineRule="auto"/>
        <w:tabs>
          <w:tab w:leader="none" w:pos="331" w:val="left"/>
        </w:tabs>
        <w:numPr>
          <w:ilvl w:val="0"/>
          <w:numId w:val="54"/>
        </w:numPr>
        <w:rPr>
          <w:rFonts w:ascii="Arial" w:cs="Arial" w:eastAsia="Arial" w:hAnsi="Arial"/>
          <w:sz w:val="22"/>
          <w:szCs w:val="22"/>
          <w:color w:val="auto"/>
        </w:rPr>
      </w:pPr>
      <w:r>
        <w:rPr>
          <w:rFonts w:ascii="Arial" w:cs="Arial" w:eastAsia="Arial" w:hAnsi="Arial"/>
          <w:sz w:val="22"/>
          <w:szCs w:val="22"/>
          <w:color w:val="auto"/>
        </w:rPr>
        <w:t>has not been permanently revoked, held invalid, or declared unpatentable or unenforceable in a decision of a court or other body of competent jurisdiction that is unappealable or unappealed within the time allowed for appeal, (iii) has not been rendered unenforceable through terminal disclaimer or otherwise, and (iv) is not lost through an interference proceeding that is unappealable or unappealed within the time allowed for appeal; or (b) a claim of a pending Patent application, which claim has not been abandoned or finally disallowed without the possibility of appeal.</w:t>
      </w:r>
    </w:p>
    <w:p>
      <w:pPr>
        <w:spacing w:after="0" w:line="182" w:lineRule="exact"/>
        <w:rPr>
          <w:rFonts w:ascii="Arial" w:cs="Arial" w:eastAsia="Arial" w:hAnsi="Arial"/>
          <w:sz w:val="22"/>
          <w:szCs w:val="22"/>
          <w:color w:val="auto"/>
        </w:rPr>
      </w:pPr>
    </w:p>
    <w:p>
      <w:pPr>
        <w:ind w:left="2720" w:hanging="652"/>
        <w:spacing w:after="0"/>
        <w:tabs>
          <w:tab w:leader="none" w:pos="2720" w:val="left"/>
        </w:tabs>
        <w:numPr>
          <w:ilvl w:val="1"/>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COMMERCIAL LICENSE GRANTS; EXCLUSIVITY</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Commercial License</w:t>
      </w:r>
      <w:r>
        <w:rPr>
          <w:rFonts w:ascii="Arial" w:cs="Arial" w:eastAsia="Arial" w:hAnsi="Arial"/>
          <w:sz w:val="19"/>
          <w:szCs w:val="19"/>
          <w:color w:val="auto"/>
        </w:rPr>
        <w:t>.</w:t>
      </w:r>
    </w:p>
    <w:p>
      <w:pPr>
        <w:spacing w:after="0" w:line="20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u w:val="single" w:color="auto"/>
          <w:color w:val="auto"/>
        </w:rPr>
        <w:t>Grant of Commercial License to Company</w:t>
      </w:r>
      <w:r>
        <w:rPr>
          <w:rFonts w:ascii="Arial" w:cs="Arial" w:eastAsia="Arial" w:hAnsi="Arial"/>
          <w:sz w:val="19"/>
          <w:szCs w:val="19"/>
          <w:color w:val="auto"/>
        </w:rPr>
        <w:t>.</w:t>
      </w:r>
    </w:p>
    <w:p>
      <w:pPr>
        <w:spacing w:after="0" w:line="206" w:lineRule="exact"/>
        <w:rPr>
          <w:sz w:val="20"/>
          <w:szCs w:val="20"/>
          <w:color w:val="auto"/>
        </w:rPr>
      </w:pPr>
    </w:p>
    <w:p>
      <w:pPr>
        <w:jc w:val="both"/>
        <w:ind w:firstLine="1952"/>
        <w:spacing w:after="0" w:line="275" w:lineRule="auto"/>
        <w:tabs>
          <w:tab w:leader="none" w:pos="2592"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TG hereby grants to Company an exclusive (including with respect to TG and its Affiliates, except to perform its obligations and/or exercise its rights under this Agreement), royalty-bearing license or sublicense (with respect to Licensed Technology and/or Licensed Patent Rights licensed by Third Parties to TG, including, without limitation, pursuant to the LFB License), including the right to grant sublicenses as provided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under the Licensed Technology and Licensed Patent Rights to sell, offer to sell, import, have imported, market, carry out the tasks assigned to Company pursuant to the Supply Agreement, and otherwise Commercialize the Product in the Field in the Territory, and, solely as set forth in </w:t>
      </w:r>
      <w:r>
        <w:rPr>
          <w:rFonts w:ascii="Arial" w:cs="Arial" w:eastAsia="Arial" w:hAnsi="Arial"/>
          <w:sz w:val="19"/>
          <w:szCs w:val="19"/>
          <w:u w:val="single" w:color="auto"/>
          <w:color w:val="auto"/>
        </w:rPr>
        <w:t>Sections 3.1.2(b)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3.1.3</w:t>
      </w:r>
      <w:r>
        <w:rPr>
          <w:rFonts w:ascii="Arial" w:cs="Arial" w:eastAsia="Arial" w:hAnsi="Arial"/>
          <w:sz w:val="19"/>
          <w:szCs w:val="19"/>
          <w:color w:val="auto"/>
        </w:rPr>
        <w:t>, to Develop the Product in the Field.</w:t>
      </w:r>
    </w:p>
    <w:p>
      <w:pPr>
        <w:spacing w:after="0" w:line="157" w:lineRule="exact"/>
        <w:rPr>
          <w:rFonts w:ascii="Arial" w:cs="Arial" w:eastAsia="Arial" w:hAnsi="Arial"/>
          <w:sz w:val="19"/>
          <w:szCs w:val="19"/>
          <w:color w:val="auto"/>
        </w:rPr>
      </w:pPr>
    </w:p>
    <w:p>
      <w:pPr>
        <w:jc w:val="both"/>
        <w:ind w:firstLine="1952"/>
        <w:spacing w:after="0" w:line="235" w:lineRule="auto"/>
        <w:tabs>
          <w:tab w:leader="none" w:pos="2592"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Subject to the terms and conditions of this Agreement, TG hereby grants to Company a non-exclusive sublicense, including the right to grant sublicenses as provided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under the LFB Background Patent Rights to the extent necessary to sell, offer to sell, import, have imported, market, carry out the tasks assigned to Company pursuant to the Supply Agreement, and otherwise Commercialize the Product in the Field in the Territory, and, solely as set forth in </w:t>
      </w:r>
      <w:r>
        <w:rPr>
          <w:rFonts w:ascii="Arial" w:cs="Arial" w:eastAsia="Arial" w:hAnsi="Arial"/>
          <w:sz w:val="22"/>
          <w:szCs w:val="22"/>
          <w:u w:val="single" w:color="auto"/>
          <w:color w:val="auto"/>
        </w:rPr>
        <w:t>Sections 3.1.2(b)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3.1.3</w:t>
      </w:r>
      <w:r>
        <w:rPr>
          <w:rFonts w:ascii="Arial" w:cs="Arial" w:eastAsia="Arial" w:hAnsi="Arial"/>
          <w:sz w:val="22"/>
          <w:szCs w:val="22"/>
          <w:color w:val="auto"/>
        </w:rPr>
        <w:t>, to Develop the Product in the 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1" w:name="page102"/>
    <w:bookmarkEnd w:id="101"/>
    <w:p>
      <w:pPr>
        <w:jc w:val="both"/>
        <w:ind w:firstLine="1296"/>
        <w:spacing w:after="0" w:line="274"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Reversion</w:t>
      </w:r>
      <w:r>
        <w:rPr>
          <w:rFonts w:ascii="Arial" w:cs="Arial" w:eastAsia="Arial" w:hAnsi="Arial"/>
          <w:sz w:val="19"/>
          <w:szCs w:val="19"/>
          <w:color w:val="auto"/>
        </w:rPr>
        <w:t xml:space="preserve">. Should Company, its Affiliates or its Sublicensee(s) stop the Commercialization of the Product in the Field in the Territory, any and all licenses and sublicenses granted to Company by TG in respect of the Product shall automatically revert back to TG (including licenses granted according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2.1.3</w:t>
      </w:r>
      <w:r>
        <w:rPr>
          <w:rFonts w:ascii="Arial" w:cs="Arial" w:eastAsia="Arial" w:hAnsi="Arial"/>
          <w:sz w:val="19"/>
          <w:szCs w:val="19"/>
          <w:color w:val="auto"/>
        </w:rPr>
        <w:t>). In such case, Company commits to grant to TG an exclusive, royalty-free license or sublicense (with respect to Patent Rights and other intellectual property rights licensed by Third Parties to Company), including the right to grant sublicenses through multiple tiers, under the Patent Rights and other Technology and intellectual property rights Controlled by Company necessary or useful for TG to Develop, use, have used, Manufacture, have Manufactured, supply, sell, offer to sell, import, have imported, market, and otherwise Commercialize the Product in the Field in the Territory.</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avoidance of doubt, the Commercialization of the Product in the Field in the Territory shall be considered as stopped if, after all Regulatory Approvals and Reimbursement Approvals have been granted in any one or more of the Key Markets:</w:t>
      </w:r>
    </w:p>
    <w:p>
      <w:pPr>
        <w:spacing w:after="0" w:line="186" w:lineRule="exact"/>
        <w:rPr>
          <w:sz w:val="20"/>
          <w:szCs w:val="20"/>
          <w:color w:val="auto"/>
        </w:rPr>
      </w:pPr>
    </w:p>
    <w:p>
      <w:pPr>
        <w:ind w:left="980" w:hanging="324"/>
        <w:spacing w:after="0" w:line="326"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9"/>
          <w:szCs w:val="19"/>
          <w:color w:val="auto"/>
        </w:rPr>
        <w:t>the aggregate amount spent by Company or its Sublicensee(s) (or its or their Affiliates) on the Commercialization activities for the Product in the Field in the Territory is less than $</w:t>
      </w:r>
      <w:r>
        <w:rPr>
          <w:rFonts w:ascii="Arial" w:cs="Arial" w:eastAsia="Arial" w:hAnsi="Arial"/>
          <w:sz w:val="15"/>
          <w:szCs w:val="15"/>
          <w:b w:val="1"/>
          <w:bCs w:val="1"/>
          <w:color w:val="auto"/>
        </w:rPr>
        <w:t>[***]</w:t>
      </w:r>
      <w:r>
        <w:rPr>
          <w:rFonts w:ascii="Arial" w:cs="Arial" w:eastAsia="Arial" w:hAnsi="Arial"/>
          <w:sz w:val="19"/>
          <w:szCs w:val="19"/>
          <w:color w:val="auto"/>
        </w:rPr>
        <w:t xml:space="preserve"> per </w:t>
      </w:r>
      <w:r>
        <w:rPr>
          <w:rFonts w:ascii="Arial" w:cs="Arial" w:eastAsia="Arial" w:hAnsi="Arial"/>
          <w:sz w:val="15"/>
          <w:szCs w:val="15"/>
          <w:b w:val="1"/>
          <w:bCs w:val="1"/>
          <w:color w:val="auto"/>
        </w:rPr>
        <w:t>[***];</w:t>
      </w:r>
      <w:r>
        <w:rPr>
          <w:rFonts w:ascii="Arial" w:cs="Arial" w:eastAsia="Arial" w:hAnsi="Arial"/>
          <w:sz w:val="19"/>
          <w:szCs w:val="19"/>
          <w:color w:val="auto"/>
        </w:rPr>
        <w:t xml:space="preserve"> or</w:t>
      </w:r>
    </w:p>
    <w:p>
      <w:pPr>
        <w:ind w:left="980" w:hanging="324"/>
        <w:spacing w:after="0" w:line="274" w:lineRule="auto"/>
        <w:tabs>
          <w:tab w:leader="none" w:pos="980" w:val="left"/>
        </w:tabs>
        <w:numPr>
          <w:ilvl w:val="0"/>
          <w:numId w:val="56"/>
        </w:numPr>
        <w:rPr>
          <w:rFonts w:ascii="Arial" w:cs="Arial" w:eastAsia="Arial" w:hAnsi="Arial"/>
          <w:sz w:val="17"/>
          <w:szCs w:val="17"/>
          <w:color w:val="auto"/>
        </w:rPr>
      </w:pPr>
      <w:r>
        <w:rPr>
          <w:rFonts w:ascii="Arial" w:cs="Arial" w:eastAsia="Arial" w:hAnsi="Arial"/>
          <w:sz w:val="21"/>
          <w:szCs w:val="21"/>
          <w:color w:val="auto"/>
        </w:rPr>
        <w:t xml:space="preserve">Company and/or its Sublicensee (and/or its or their Affiliates) has failed to achieve a minimum of </w:t>
      </w:r>
      <w:r>
        <w:rPr>
          <w:rFonts w:ascii="Arial" w:cs="Arial" w:eastAsia="Arial" w:hAnsi="Arial"/>
          <w:sz w:val="16"/>
          <w:szCs w:val="16"/>
          <w:b w:val="1"/>
          <w:bCs w:val="1"/>
          <w:color w:val="auto"/>
        </w:rPr>
        <w:t>[***]</w:t>
      </w:r>
      <w:r>
        <w:rPr>
          <w:rFonts w:ascii="Arial" w:cs="Arial" w:eastAsia="Arial" w:hAnsi="Arial"/>
          <w:sz w:val="21"/>
          <w:szCs w:val="21"/>
          <w:color w:val="auto"/>
        </w:rPr>
        <w:t xml:space="preserve"> (</w:t>
      </w:r>
      <w:r>
        <w:rPr>
          <w:rFonts w:ascii="Arial" w:cs="Arial" w:eastAsia="Arial" w:hAnsi="Arial"/>
          <w:sz w:val="16"/>
          <w:szCs w:val="16"/>
          <w:b w:val="1"/>
          <w:bCs w:val="1"/>
          <w:color w:val="auto"/>
        </w:rPr>
        <w:t>[***]</w:t>
      </w:r>
      <w:r>
        <w:rPr>
          <w:rFonts w:ascii="Arial" w:cs="Arial" w:eastAsia="Arial" w:hAnsi="Arial"/>
          <w:sz w:val="21"/>
          <w:szCs w:val="21"/>
          <w:color w:val="auto"/>
        </w:rPr>
        <w:t xml:space="preserve">) of the Sales Target on a continuous basis for at least </w:t>
      </w:r>
      <w:r>
        <w:rPr>
          <w:rFonts w:ascii="Arial" w:cs="Arial" w:eastAsia="Arial" w:hAnsi="Arial"/>
          <w:sz w:val="16"/>
          <w:szCs w:val="16"/>
          <w:b w:val="1"/>
          <w:bCs w:val="1"/>
          <w:color w:val="auto"/>
        </w:rPr>
        <w:t>[***]</w:t>
      </w:r>
      <w:r>
        <w:rPr>
          <w:rFonts w:ascii="Arial" w:cs="Arial" w:eastAsia="Arial" w:hAnsi="Arial"/>
          <w:sz w:val="21"/>
          <w:szCs w:val="21"/>
          <w:color w:val="auto"/>
        </w:rPr>
        <w:t xml:space="preserve"> (</w:t>
      </w:r>
      <w:r>
        <w:rPr>
          <w:rFonts w:ascii="Arial" w:cs="Arial" w:eastAsia="Arial" w:hAnsi="Arial"/>
          <w:sz w:val="16"/>
          <w:szCs w:val="16"/>
          <w:b w:val="1"/>
          <w:bCs w:val="1"/>
          <w:color w:val="auto"/>
        </w:rPr>
        <w:t>[***]</w:t>
      </w:r>
      <w:r>
        <w:rPr>
          <w:rFonts w:ascii="Arial" w:cs="Arial" w:eastAsia="Arial" w:hAnsi="Arial"/>
          <w:sz w:val="21"/>
          <w:szCs w:val="21"/>
          <w:color w:val="auto"/>
        </w:rPr>
        <w:t xml:space="preserve">) </w:t>
      </w:r>
      <w:r>
        <w:rPr>
          <w:rFonts w:ascii="Arial" w:cs="Arial" w:eastAsia="Arial" w:hAnsi="Arial"/>
          <w:sz w:val="16"/>
          <w:szCs w:val="16"/>
          <w:b w:val="1"/>
          <w:bCs w:val="1"/>
          <w:color w:val="auto"/>
        </w:rPr>
        <w:t>[***]</w:t>
      </w:r>
      <w:r>
        <w:rPr>
          <w:rFonts w:ascii="Arial" w:cs="Arial" w:eastAsia="Arial" w:hAnsi="Arial"/>
          <w:sz w:val="21"/>
          <w:szCs w:val="21"/>
          <w:color w:val="auto"/>
        </w:rPr>
        <w:t xml:space="preserve"> in the Territory;</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provided, however, that the Commercialization of the Product in the Field in the Territory shall not be considered stopped if the aggregate amount spent on Commercialization activities and/or achievement of the Sales Target was not reached due to Product supply failures not attributable to Company (provided that Company has satisfied its safety stock obligations set forth in the Supply Agreement and has exhausted its safety stock of the Product).</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In the event that TG exercises its rights under this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this Agreement shall terminate immediately, and, for the avoidance of doubt, </w:t>
      </w:r>
      <w:r>
        <w:rPr>
          <w:rFonts w:ascii="Arial" w:cs="Arial" w:eastAsia="Arial" w:hAnsi="Arial"/>
          <w:sz w:val="22"/>
          <w:szCs w:val="22"/>
          <w:u w:val="single" w:color="auto"/>
          <w:color w:val="auto"/>
        </w:rPr>
        <w:t>Section 11.4</w:t>
      </w:r>
      <w:r>
        <w:rPr>
          <w:rFonts w:ascii="Arial" w:cs="Arial" w:eastAsia="Arial" w:hAnsi="Arial"/>
          <w:sz w:val="22"/>
          <w:szCs w:val="22"/>
          <w:color w:val="auto"/>
        </w:rPr>
        <w:t xml:space="preserve"> shall apply.</w:t>
      </w:r>
    </w:p>
    <w:p>
      <w:pPr>
        <w:spacing w:after="0" w:line="6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u w:val="single" w:color="auto"/>
          <w:color w:val="auto"/>
        </w:rPr>
        <w:t>Grant of License to Licensed Trademark</w:t>
      </w:r>
      <w:r>
        <w:rPr>
          <w:rFonts w:ascii="Arial" w:cs="Arial" w:eastAsia="Arial" w:hAnsi="Arial"/>
          <w:sz w:val="19"/>
          <w:szCs w:val="19"/>
          <w:color w:val="auto"/>
        </w:rPr>
        <w:t>.</w:t>
      </w:r>
    </w:p>
    <w:p>
      <w:pPr>
        <w:spacing w:after="0" w:line="206" w:lineRule="exact"/>
        <w:rPr>
          <w:sz w:val="20"/>
          <w:szCs w:val="20"/>
          <w:color w:val="auto"/>
        </w:rPr>
      </w:pPr>
    </w:p>
    <w:p>
      <w:pPr>
        <w:jc w:val="both"/>
        <w:ind w:firstLine="1952"/>
        <w:spacing w:after="0"/>
        <w:tabs>
          <w:tab w:leader="none" w:pos="2592"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Grant of License</w:t>
      </w:r>
      <w:r>
        <w:rPr>
          <w:rFonts w:ascii="Arial" w:cs="Arial" w:eastAsia="Arial" w:hAnsi="Arial"/>
          <w:sz w:val="22"/>
          <w:szCs w:val="22"/>
          <w:color w:val="auto"/>
        </w:rPr>
        <w:t>. Subject to the terms and conditions of this Agreement, TG hereby grants to Company an exclusive, royalty-bearing license to use the Licensed Trademark solely for Commercializing the Product in the Field in the Territory.</w:t>
      </w:r>
    </w:p>
    <w:p>
      <w:pPr>
        <w:spacing w:after="0" w:line="186" w:lineRule="exact"/>
        <w:rPr>
          <w:rFonts w:ascii="Arial" w:cs="Arial" w:eastAsia="Arial" w:hAnsi="Arial"/>
          <w:sz w:val="22"/>
          <w:szCs w:val="22"/>
          <w:color w:val="auto"/>
        </w:rPr>
      </w:pPr>
    </w:p>
    <w:p>
      <w:pPr>
        <w:jc w:val="both"/>
        <w:ind w:firstLine="1952"/>
        <w:spacing w:after="0" w:line="274" w:lineRule="auto"/>
        <w:tabs>
          <w:tab w:leader="none" w:pos="2592"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Covenants of Company</w:t>
      </w:r>
      <w:r>
        <w:rPr>
          <w:rFonts w:ascii="Arial" w:cs="Arial" w:eastAsia="Arial" w:hAnsi="Arial"/>
          <w:sz w:val="19"/>
          <w:szCs w:val="19"/>
          <w:color w:val="auto"/>
        </w:rPr>
        <w:t>. Company hereby agrees that it shall use the Licensed Trademark as the primary brand of the Product in the Field in the Territory, and that all use of the Licensed Trademark by Company, and any goodwill associated with the use of the Licensed Trademark by Company, shall inure to the benefit of TG. Company hereby agrees that nothing in this Agreement shall give Company any right, title, or interest in the Licensed Trademark other than the right to use the Licensed Trademark in accordance with this Agreement. Company further agrees that it will not: (i) oppose or assist any Third Party in opposing any application for registration, re-registration, or renewal of the Licensed Trademark; (ii) apply for or otherwise seek (or assist any Third Party in applying for or otherwise seeking) complete or partial revocation, cancellation, invalidation, or removal of the Licensed Trademark from any register,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2" w:name="page103"/>
    <w:bookmarkEnd w:id="102"/>
    <w:p>
      <w:pPr>
        <w:ind w:firstLine="8"/>
        <w:spacing w:after="0" w:line="250" w:lineRule="auto"/>
        <w:tabs>
          <w:tab w:leader="none" w:pos="378" w:val="left"/>
        </w:tabs>
        <w:numPr>
          <w:ilvl w:val="0"/>
          <w:numId w:val="58"/>
        </w:numPr>
        <w:rPr>
          <w:rFonts w:ascii="Arial" w:cs="Arial" w:eastAsia="Arial" w:hAnsi="Arial"/>
          <w:sz w:val="22"/>
          <w:szCs w:val="22"/>
          <w:color w:val="auto"/>
        </w:rPr>
      </w:pPr>
      <w:r>
        <w:rPr>
          <w:rFonts w:ascii="Arial" w:cs="Arial" w:eastAsia="Arial" w:hAnsi="Arial"/>
          <w:sz w:val="22"/>
          <w:szCs w:val="22"/>
          <w:color w:val="auto"/>
        </w:rPr>
        <w:t>challenge or bring (or assist any Third Party in challenging or bringing) any proceeding or action in relation to the use or ownership of the Licensed Trademark.</w:t>
      </w:r>
    </w:p>
    <w:p>
      <w:pPr>
        <w:spacing w:after="0" w:line="174" w:lineRule="exact"/>
        <w:rPr>
          <w:rFonts w:ascii="Arial" w:cs="Arial" w:eastAsia="Arial" w:hAnsi="Arial"/>
          <w:sz w:val="22"/>
          <w:szCs w:val="22"/>
          <w:color w:val="auto"/>
        </w:rPr>
      </w:pPr>
    </w:p>
    <w:p>
      <w:pPr>
        <w:jc w:val="both"/>
        <w:ind w:firstLine="1952"/>
        <w:spacing w:after="0" w:line="273" w:lineRule="auto"/>
        <w:tabs>
          <w:tab w:leader="none" w:pos="2592"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Prosecution, Enforcement, and Defense of Licensed Trademark</w:t>
      </w:r>
      <w:r>
        <w:rPr>
          <w:rFonts w:ascii="Arial" w:cs="Arial" w:eastAsia="Arial" w:hAnsi="Arial"/>
          <w:sz w:val="19"/>
          <w:szCs w:val="19"/>
          <w:color w:val="auto"/>
        </w:rPr>
        <w:t>. TG shall have the first right (but not obligation) to apply for registration of, prosecute, enforce, and defend the Licensed Trademark in the Territory, at TG’s sole expense and discretion. Company agrees that it will not apply for the registration of the Licensed Trademark (or any mark confusingly similar thereto) anywhere in the world; provided, however, that in the event TG waives its first right to take any such prosecution, enforcement, or defense action, TG shall deliver to Company written notice of such waiver, and, solely with respect to the action specified in such waiver, Company shall have the right to take such actions, in TG’s name, and shall (i) be solely responsible for all expenses incurred in connection therewith and (ii) receive all proceeds that result from any such enforcement or defense action specified in the respective waiver, provided that Company shall keep TG reasonably informed with respect to all such actions and incorporate in good faith all of TG’s comments in connection therewith.</w:t>
      </w:r>
    </w:p>
    <w:p>
      <w:pPr>
        <w:spacing w:after="0" w:line="160" w:lineRule="exact"/>
        <w:rPr>
          <w:rFonts w:ascii="Arial" w:cs="Arial" w:eastAsia="Arial" w:hAnsi="Arial"/>
          <w:sz w:val="19"/>
          <w:szCs w:val="19"/>
          <w:color w:val="auto"/>
        </w:rPr>
      </w:pPr>
    </w:p>
    <w:p>
      <w:pPr>
        <w:jc w:val="both"/>
        <w:ind w:firstLine="1952"/>
        <w:spacing w:after="0" w:line="269" w:lineRule="auto"/>
        <w:tabs>
          <w:tab w:leader="none" w:pos="2592"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Use of Licensed Trademark</w:t>
      </w:r>
      <w:r>
        <w:rPr>
          <w:rFonts w:ascii="Arial" w:cs="Arial" w:eastAsia="Arial" w:hAnsi="Arial"/>
          <w:sz w:val="19"/>
          <w:szCs w:val="19"/>
          <w:color w:val="auto"/>
        </w:rPr>
        <w:t xml:space="preserve">. Company shall use the Licensed Trademark solely (i) in the manner specified in this Agreement and (ii) in connection with the Product in the Field in the Territory, and not for any other goods or services. Additionally, Company (iii) shall ensure, to the extent legally permissible under Applicable Law, that use of the Licensed Trademark is accompanied by an acknowledgement that the Licensed Trademark is owned by TG, (iv) shall comply strictly with trademark style and usage standards provided by TG in connection with use of the Licensed Trademark within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the Effective Date, such standards to be market-standard, not containing onerous provisions (the “</w:t>
      </w:r>
      <w:r>
        <w:rPr>
          <w:rFonts w:ascii="Arial" w:cs="Arial" w:eastAsia="Arial" w:hAnsi="Arial"/>
          <w:sz w:val="19"/>
          <w:szCs w:val="19"/>
          <w:b w:val="1"/>
          <w:bCs w:val="1"/>
          <w:i w:val="1"/>
          <w:iCs w:val="1"/>
          <w:color w:val="auto"/>
        </w:rPr>
        <w:t>Brand Guidelines</w:t>
      </w:r>
      <w:r>
        <w:rPr>
          <w:rFonts w:ascii="Arial" w:cs="Arial" w:eastAsia="Arial" w:hAnsi="Arial"/>
          <w:sz w:val="19"/>
          <w:szCs w:val="19"/>
          <w:color w:val="auto"/>
        </w:rPr>
        <w:t xml:space="preserve">”), which shall, at such time, be attached hereto as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(v) shall not use the Licensed Trademark in a way that is reasonably likely to materially prejudice its distinctiveness or validity or the goodwill of TG therein, (vi) shall use the Licensed Trademark with the trademark registration symbol ® or </w:t>
      </w:r>
      <w:r>
        <w:rPr>
          <w:rFonts w:ascii="Arial" w:cs="Arial" w:eastAsia="Arial" w:hAnsi="Arial"/>
          <w:sz w:val="14"/>
          <w:szCs w:val="14"/>
          <w:color w:val="auto"/>
        </w:rPr>
        <w:t>TM</w:t>
      </w:r>
      <w:r>
        <w:rPr>
          <w:rFonts w:ascii="Arial" w:cs="Arial" w:eastAsia="Arial" w:hAnsi="Arial"/>
          <w:sz w:val="19"/>
          <w:szCs w:val="19"/>
          <w:color w:val="auto"/>
        </w:rPr>
        <w:t>, as appropriate, and (vii) shall not use any trademarks or trade names so resembling the Licensed Trademark as to be likely to cause confusion or deception. Company agrees not to use any other trademark or service mark in combination with the Licensed Trademark without the prior written consent of TG. Company, at its sole cost and expense, will provide to TG representative samples of all products, product packaging, literature, brochures, signs, and advertising materials (collectively, “</w:t>
      </w:r>
      <w:r>
        <w:rPr>
          <w:rFonts w:ascii="Arial" w:cs="Arial" w:eastAsia="Arial" w:hAnsi="Arial"/>
          <w:sz w:val="19"/>
          <w:szCs w:val="19"/>
          <w:b w:val="1"/>
          <w:bCs w:val="1"/>
          <w:i w:val="1"/>
          <w:iCs w:val="1"/>
          <w:color w:val="auto"/>
        </w:rPr>
        <w:t>Promotional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Materials</w:t>
      </w:r>
      <w:r>
        <w:rPr>
          <w:rFonts w:ascii="Arial" w:cs="Arial" w:eastAsia="Arial" w:hAnsi="Arial"/>
          <w:sz w:val="19"/>
          <w:szCs w:val="19"/>
          <w:color w:val="auto"/>
        </w:rPr>
        <w:t>”) prepared by Company that bear, display, or include any reference to the Licensed Trademark or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otherwise promote the Product, and Company shall obtain the written approval of TG with respect to all such Promotional Materials prior to the first use thereof, such approval (or rejection or other comments) to be provided by TG within ten (10) Business Days of receiving such samples; provided, however, that Company acknowledges and agrees that it shall be responsible for ensuring, and shall ensure, compliance of the Promotional Materials with Applicable Laws and Marketing Authorizations and consistency with Promotional Materials used by TG in the Excluded Territory and made available by TG to Company. For clarity, Company assumes no liability for TG’s use of Promotional Material in the Excluded Territory. Company shall store and archive the Promotional Materials in accordance with Applicable Laws. Company will not distribute or otherwise use any samples or materials or other media bearing or displaying the Licensed Trademark unless and until TG has notified Company in writing of TG’s approval, which approval shall not be reasonably withheld. Upon TG’s request, Company shall grant TG the right to use any Promotional Materials developed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3" w:name="page104"/>
    <w:bookmarkEnd w:id="103"/>
    <w:p>
      <w:pPr>
        <w:spacing w:after="0" w:line="250" w:lineRule="auto"/>
        <w:rPr>
          <w:sz w:val="20"/>
          <w:szCs w:val="20"/>
          <w:color w:val="auto"/>
        </w:rPr>
      </w:pPr>
      <w:r>
        <w:rPr>
          <w:rFonts w:ascii="Arial" w:cs="Arial" w:eastAsia="Arial" w:hAnsi="Arial"/>
          <w:sz w:val="22"/>
          <w:szCs w:val="22"/>
          <w:color w:val="auto"/>
        </w:rPr>
        <w:t>by Company hereunder in connection with Commercialization of the Product in the Excluded Territory and/or outside the Field in the Territory, as applicable.</w:t>
      </w:r>
    </w:p>
    <w:p>
      <w:pPr>
        <w:spacing w:after="0" w:line="175" w:lineRule="exact"/>
        <w:rPr>
          <w:sz w:val="20"/>
          <w:szCs w:val="20"/>
          <w:color w:val="auto"/>
        </w:rPr>
      </w:pPr>
    </w:p>
    <w:p>
      <w:pPr>
        <w:jc w:val="both"/>
        <w:ind w:firstLine="1952"/>
        <w:spacing w:after="0" w:line="244" w:lineRule="auto"/>
        <w:tabs>
          <w:tab w:leader="none" w:pos="2592"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Company shall promptly notify TG (i) of any claim, threat, lawsuit, filing, or other notice or allegation of infringement of which it is aware regarding Company’s use of the Licensed Trademark and/or (ii) if it becomes aware of the existence of any Third Party applications to register anywhere in the world any mark or name that consists of or incorporates the Licensed Trademark. TG shall have the sole right, but not the obligation, to bring infringement, unfair competition, or other claims or proceedings involving the Licensed Trademark, and Company hereby acknowledges and agrees that it shall have no such right. If requested by TG, Company shall cooperate with TG in connection with any such action, at Company’s reasonable cost; provided, however, that to the extent that such cooperation is likely to require material and significant expenditure of resources, then the Parties shall discuss and agree in good faith the manner in which Company may reasonably support TG in connection therewith and reasonable compensation to Company by TG in light of any material expenditures.</w:t>
      </w:r>
    </w:p>
    <w:p>
      <w:pPr>
        <w:spacing w:after="0" w:line="3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Right to Sublicense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u w:val="single" w:color="auto"/>
          <w:color w:val="auto"/>
        </w:rPr>
        <w:t>Sublicense</w:t>
      </w:r>
      <w:r>
        <w:rPr>
          <w:rFonts w:ascii="Arial" w:cs="Arial" w:eastAsia="Arial" w:hAnsi="Arial"/>
          <w:sz w:val="19"/>
          <w:szCs w:val="19"/>
          <w:color w:val="auto"/>
        </w:rPr>
        <w:t xml:space="preserve">. Company shall have the right to grant sublicenses under the licenses granted to it under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to any Sublicensee, with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prior written notification to TG; provided that (a) the terms of each such Sublicense Agreement shall be consistent with the rights and obligations of the Parties under this Agreement and the terms of this Agreement (including, without limitation and for the avoidance of doubt, </w:t>
      </w:r>
      <w:r>
        <w:rPr>
          <w:rFonts w:ascii="Arial" w:cs="Arial" w:eastAsia="Arial" w:hAnsi="Arial"/>
          <w:sz w:val="19"/>
          <w:szCs w:val="19"/>
          <w:u w:val="single" w:color="auto"/>
          <w:color w:val="auto"/>
        </w:rPr>
        <w:t>Sections 2.4</w:t>
      </w:r>
      <w:r>
        <w:rPr>
          <w:rFonts w:ascii="Arial" w:cs="Arial" w:eastAsia="Arial" w:hAnsi="Arial"/>
          <w:sz w:val="19"/>
          <w:szCs w:val="19"/>
          <w:color w:val="auto"/>
        </w:rPr>
        <w:t xml:space="preserve">, </w:t>
      </w:r>
      <w:r>
        <w:rPr>
          <w:rFonts w:ascii="Arial" w:cs="Arial" w:eastAsia="Arial" w:hAnsi="Arial"/>
          <w:sz w:val="19"/>
          <w:szCs w:val="19"/>
          <w:u w:val="single" w:color="auto"/>
          <w:color w:val="auto"/>
        </w:rPr>
        <w:t>5.3</w:t>
      </w:r>
      <w:r>
        <w:rPr>
          <w:rFonts w:ascii="Arial" w:cs="Arial" w:eastAsia="Arial" w:hAnsi="Arial"/>
          <w:sz w:val="19"/>
          <w:szCs w:val="19"/>
          <w:color w:val="auto"/>
        </w:rPr>
        <w:t xml:space="preserve">, </w:t>
      </w:r>
      <w:r>
        <w:rPr>
          <w:rFonts w:ascii="Arial" w:cs="Arial" w:eastAsia="Arial" w:hAnsi="Arial"/>
          <w:sz w:val="19"/>
          <w:szCs w:val="19"/>
          <w:u w:val="single" w:color="auto"/>
          <w:color w:val="auto"/>
        </w:rPr>
        <w:t>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(b) it shall be a condition of any such Sublicense Agreement that each such Sublicensee agrees to be bound by the terms of this Agreement applicable to the Development and Commercialization of the Product in the Field in the Territory; (c) Company shall provide TG with a complete and accurate copy of any such Sublicense Agreement within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the execution of each such Sublicense Agreement; and (d) Company shall not be relieved of its obligations pursuant to this Agreement as a result of such Sublicense Agreement, except to the extent such obligations are satisfactorily performed by any such Sublicensee. TG shall be named a third-party beneficiary to any Sublicense Agreement. Without limiting the generality of the foregoing, in the event that any Sublicensee breaches any of the provisions of this Agreement, including, without limitation, confidentiality, non-compete, intellectual property, and/or diligence obligations, then TG shall have the right to cause Company to terminate such Sublicense Agreement, in addition to any other rights or remedies available at law or in equity. For the avoidance of doubt, Company shall be liable for the acts and omissions of any Sublicensee, as if they were its own.</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 xml:space="preserve">2.2.2 </w:t>
      </w:r>
      <w:r>
        <w:rPr>
          <w:rFonts w:ascii="Arial" w:cs="Arial" w:eastAsia="Arial" w:hAnsi="Arial"/>
          <w:sz w:val="19"/>
          <w:szCs w:val="19"/>
          <w:u w:val="single" w:color="auto"/>
          <w:color w:val="auto"/>
        </w:rPr>
        <w:t>Grant of Rights to Distributors</w:t>
      </w:r>
      <w:r>
        <w:rPr>
          <w:rFonts w:ascii="Arial" w:cs="Arial" w:eastAsia="Arial" w:hAnsi="Arial"/>
          <w:sz w:val="19"/>
          <w:szCs w:val="19"/>
          <w:color w:val="auto"/>
        </w:rPr>
        <w:t xml:space="preserve">. Company or any of its Affiliates and Sublicensees shall have the right, with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prior written notification to TG, to appoint one or more Distributors for the Product in the Field in the Territory; provided that (a) the terms of any such agreement with a Distributor (each, a “</w:t>
      </w:r>
      <w:r>
        <w:rPr>
          <w:rFonts w:ascii="Arial" w:cs="Arial" w:eastAsia="Arial" w:hAnsi="Arial"/>
          <w:sz w:val="19"/>
          <w:szCs w:val="19"/>
          <w:b w:val="1"/>
          <w:bCs w:val="1"/>
          <w:i w:val="1"/>
          <w:iCs w:val="1"/>
          <w:color w:val="auto"/>
        </w:rPr>
        <w:t>Distribution Agreement</w:t>
      </w:r>
      <w:r>
        <w:rPr>
          <w:rFonts w:ascii="Arial" w:cs="Arial" w:eastAsia="Arial" w:hAnsi="Arial"/>
          <w:sz w:val="19"/>
          <w:szCs w:val="19"/>
          <w:color w:val="auto"/>
        </w:rPr>
        <w:t xml:space="preserve">”) shall be consistent with the rights and obligations of the Parties under this Agreement and the terms of this Agreement (including, without limitation and for the avoidance of doubt, </w:t>
      </w:r>
      <w:r>
        <w:rPr>
          <w:rFonts w:ascii="Arial" w:cs="Arial" w:eastAsia="Arial" w:hAnsi="Arial"/>
          <w:sz w:val="19"/>
          <w:szCs w:val="19"/>
          <w:u w:val="single" w:color="auto"/>
          <w:color w:val="auto"/>
        </w:rPr>
        <w:t>Sections 2.4</w:t>
      </w:r>
      <w:r>
        <w:rPr>
          <w:rFonts w:ascii="Arial" w:cs="Arial" w:eastAsia="Arial" w:hAnsi="Arial"/>
          <w:sz w:val="19"/>
          <w:szCs w:val="19"/>
          <w:color w:val="auto"/>
        </w:rPr>
        <w:t xml:space="preserve">, </w:t>
      </w:r>
      <w:r>
        <w:rPr>
          <w:rFonts w:ascii="Arial" w:cs="Arial" w:eastAsia="Arial" w:hAnsi="Arial"/>
          <w:sz w:val="19"/>
          <w:szCs w:val="19"/>
          <w:u w:val="single" w:color="auto"/>
          <w:color w:val="auto"/>
        </w:rPr>
        <w:t>5.3</w:t>
      </w:r>
      <w:r>
        <w:rPr>
          <w:rFonts w:ascii="Arial" w:cs="Arial" w:eastAsia="Arial" w:hAnsi="Arial"/>
          <w:sz w:val="19"/>
          <w:szCs w:val="19"/>
          <w:color w:val="auto"/>
        </w:rPr>
        <w:t xml:space="preserve">, </w:t>
      </w:r>
      <w:r>
        <w:rPr>
          <w:rFonts w:ascii="Arial" w:cs="Arial" w:eastAsia="Arial" w:hAnsi="Arial"/>
          <w:sz w:val="19"/>
          <w:szCs w:val="19"/>
          <w:u w:val="single" w:color="auto"/>
          <w:color w:val="auto"/>
        </w:rPr>
        <w:t>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w:t>
      </w:r>
      <w:r>
        <w:rPr>
          <w:rFonts w:ascii="Arial" w:cs="Arial" w:eastAsia="Arial" w:hAnsi="Arial"/>
          <w:sz w:val="19"/>
          <w:szCs w:val="19"/>
          <w:color w:val="auto"/>
        </w:rPr>
        <w:t>); (b) it shall be a condition of any such Distribution Agreement that each such Distributor agrees to be bound by the terms of this Agreement applicable to the Commercialization of the Product in the Field in the Territory; (c) Company shall provide TG with a complete and accurate copy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4" w:name="page105"/>
    <w:bookmarkEnd w:id="104"/>
    <w:p>
      <w:pPr>
        <w:spacing w:after="0"/>
        <w:rPr>
          <w:sz w:val="20"/>
          <w:szCs w:val="20"/>
          <w:color w:val="auto"/>
        </w:rPr>
      </w:pPr>
      <w:r>
        <w:rPr>
          <w:rFonts w:ascii="Arial" w:cs="Arial" w:eastAsia="Arial" w:hAnsi="Arial"/>
          <w:sz w:val="21"/>
          <w:szCs w:val="21"/>
          <w:color w:val="auto"/>
        </w:rPr>
        <w:t xml:space="preserve">such Distribution Agreement within </w:t>
      </w:r>
      <w:r>
        <w:rPr>
          <w:rFonts w:ascii="Arial" w:cs="Arial" w:eastAsia="Arial" w:hAnsi="Arial"/>
          <w:sz w:val="16"/>
          <w:szCs w:val="16"/>
          <w:b w:val="1"/>
          <w:bCs w:val="1"/>
          <w:color w:val="auto"/>
        </w:rPr>
        <w:t>[***] ([***]</w:t>
      </w:r>
      <w:r>
        <w:rPr>
          <w:rFonts w:ascii="Arial" w:cs="Arial" w:eastAsia="Arial" w:hAnsi="Arial"/>
          <w:sz w:val="21"/>
          <w:szCs w:val="21"/>
          <w:color w:val="auto"/>
        </w:rPr>
        <w:t xml:space="preserve">) </w:t>
      </w:r>
      <w:r>
        <w:rPr>
          <w:rFonts w:ascii="Arial" w:cs="Arial" w:eastAsia="Arial" w:hAnsi="Arial"/>
          <w:sz w:val="16"/>
          <w:szCs w:val="16"/>
          <w:b w:val="1"/>
          <w:bCs w:val="1"/>
          <w:color w:val="auto"/>
        </w:rPr>
        <w:t>[***]</w:t>
      </w:r>
      <w:r>
        <w:rPr>
          <w:rFonts w:ascii="Arial" w:cs="Arial" w:eastAsia="Arial" w:hAnsi="Arial"/>
          <w:sz w:val="21"/>
          <w:szCs w:val="21"/>
          <w:color w:val="auto"/>
        </w:rPr>
        <w:t xml:space="preserve"> of the execution of each such Distribution Agreement; and</w:t>
      </w:r>
    </w:p>
    <w:p>
      <w:pPr>
        <w:spacing w:after="0" w:line="20" w:lineRule="exact"/>
        <w:rPr>
          <w:sz w:val="20"/>
          <w:szCs w:val="20"/>
          <w:color w:val="auto"/>
        </w:rPr>
      </w:pPr>
    </w:p>
    <w:p>
      <w:pPr>
        <w:jc w:val="both"/>
        <w:ind w:firstLine="8"/>
        <w:spacing w:after="0" w:line="273" w:lineRule="auto"/>
        <w:tabs>
          <w:tab w:leader="none" w:pos="327" w:val="left"/>
        </w:tabs>
        <w:numPr>
          <w:ilvl w:val="0"/>
          <w:numId w:val="60"/>
        </w:numPr>
        <w:rPr>
          <w:rFonts w:ascii="Arial" w:cs="Arial" w:eastAsia="Arial" w:hAnsi="Arial"/>
          <w:sz w:val="19"/>
          <w:szCs w:val="19"/>
          <w:color w:val="auto"/>
        </w:rPr>
      </w:pPr>
      <w:r>
        <w:rPr>
          <w:rFonts w:ascii="Arial" w:cs="Arial" w:eastAsia="Arial" w:hAnsi="Arial"/>
          <w:sz w:val="19"/>
          <w:szCs w:val="19"/>
          <w:color w:val="auto"/>
        </w:rPr>
        <w:t>Company shall not be relieved of its obligations pursuant to this Agreement as a result of such Distribution Agreement, except to the extent such obligations are satisfactorily performed by any such Distributor. TG shall be named a third-party beneficiary to any Distribution Agreement. Without limiting the generality of the foregoing, in the event that any Distributor breaches any of the provisions of this Agreement, including, without limitation, confidentiality, non-compete, intellectual property, and/or diligence obligations, then TG shall have the right to cause Company to terminate such Distribution Agreement, in addition to any other rights or remedies available at law or in equity. Company shall be liable for the acts and omissions of any Distributor, as if they were its own.</w:t>
      </w:r>
    </w:p>
    <w:p>
      <w:pPr>
        <w:spacing w:after="0" w:line="15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No Other Rights</w:t>
      </w:r>
      <w:r>
        <w:rPr>
          <w:rFonts w:ascii="Arial" w:cs="Arial" w:eastAsia="Arial" w:hAnsi="Arial"/>
          <w:sz w:val="19"/>
          <w:szCs w:val="19"/>
          <w:color w:val="auto"/>
        </w:rPr>
        <w:t>. Company shall have no rights to use or otherwise exploit Licensed Technology, Licensed Patent Rights, LFB Background Patent Rights, TG Proprietary Materials, or the Licensed Trademark, except as expressly set forth in this Agreement. Any rights of TG not expressly granted to Company under the provisions of this Agreement will be retained by TG. Nothing in this Agreement shall be construed to confer any rights upon Company by implication, estoppel, or otherwise as to any intellectual property of TG, other than the rights under the Licensed Technology, Licensed Patent Rights, LFB Background Patent Rights, and Licensed Trademark expressly granted herein. All rights, titles, and interests not specifically and expressly granted by TG hereunder are hereby reserved. Without limiting the generality of the foregoing, Company shall have no right to use any of the Licensed Technology, Licensed Patent Rights, LFB Background Patent Rights, TG Proprietary Materials, the Compound, and/or the Product to develop any product independent of the explicit rights and obligations set forth in this Agreement, including, without limitation, to reverse engineer the Product.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Non-Compete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2.4.1 To the maximum extent permissible under Applicable Law, from the Effective Date until Company ceases any and all Company Development Activities (with no intent to conduct any additional Company Development Activities), Company shall not, and shall cause each of its Affiliates to not, (a) conduct any activity, either on its own or with, for the benefit of, or sponsored by, any Third Party, that, in any case, involves the research and/or Development of any other anti-CD 20 monoclonal antibody, or any compound that embodies or is derived from any anti-CD 20 monoclonal antibody, or any biosimilar of the Product, for use in the Field, including, without limitation, by way of internal development, licensing, and/or acquisition, and/or (b) otherwise conduct or be engaged in Development activities with respect to a Competitive Program.</w:t>
      </w:r>
    </w:p>
    <w:p>
      <w:pPr>
        <w:spacing w:after="0" w:line="15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2.4.2 To the maximum extent permissible under Applicable Law, from the First Commercial Sale of the Product in the Field in the Territory until the expiration or termination of this Agreement, Company shall not, and shall cause each of its Affiliates to not, (a) conduct any activity, either on its own or with, for the benefit of, or sponsored by, any Third Party, that, in any case, involves the Commercialization of any other anti-CD 20 monoclonal antibody, or any compound that embodies or is derived from any anti-CD 20 monoclonal antibody, or any biosimilar of the Product, for use in the Field in the Territory, including, without limitation, by way of licensing and/or acquisition, or (b) otherwise conduct or be engaged in Commercialization activities with respect to a Competitive Program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5" w:name="page106"/>
    <w:bookmarkEnd w:id="105"/>
    <w:p>
      <w:pPr>
        <w:ind w:left="660"/>
        <w:spacing w:after="0"/>
        <w:tabs>
          <w:tab w:leader="none" w:pos="12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8"/>
          <w:szCs w:val="18"/>
          <w:b w:val="1"/>
          <w:bCs w:val="1"/>
          <w:color w:val="auto"/>
        </w:rPr>
        <w:t>[***]</w:t>
      </w:r>
      <w:r>
        <w:rPr>
          <w:rFonts w:ascii="Arial" w:cs="Arial" w:eastAsia="Arial" w:hAnsi="Arial"/>
          <w:sz w:val="21"/>
          <w:szCs w:val="21"/>
          <w:color w:val="auto"/>
        </w:rPr>
        <w:t>.</w:t>
      </w:r>
      <w:r>
        <w:rPr>
          <w:rFonts w:ascii="Arial" w:cs="Arial" w:eastAsia="Arial" w:hAnsi="Arial"/>
          <w:sz w:val="18"/>
          <w:szCs w:val="18"/>
          <w:b w:val="1"/>
          <w:bCs w:val="1"/>
          <w:color w:val="auto"/>
        </w:rPr>
        <w:t xml:space="preserve"> [***]</w:t>
      </w:r>
      <w:r>
        <w:rPr>
          <w:rFonts w:ascii="Arial" w:cs="Arial" w:eastAsia="Arial" w:hAnsi="Arial"/>
          <w:sz w:val="21"/>
          <w:szCs w:val="21"/>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TG Change of Control</w:t>
      </w:r>
      <w:r>
        <w:rPr>
          <w:rFonts w:ascii="Arial" w:cs="Arial" w:eastAsia="Arial" w:hAnsi="Arial"/>
          <w:sz w:val="22"/>
          <w:szCs w:val="22"/>
          <w:color w:val="auto"/>
        </w:rPr>
        <w:t>. In the event that TG undergoes a Change of Control, the Parties acknowledge and agree that, for the avoidance of doubt, any Patent Rights, Technology, and other intellectual property rights Controlled by any such Third Party acquirer and/or its Affiliates shall be specifically excluded from the definitions of Licensed Patents Rights and Licensed Technology.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Acknowledgement of LFB License and Covenants of TG</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2.7.1 Notwithstanding any provision to the contrary set forth in this Agreement, the Parties acknowledge that the rights and licenses granted to Company hereunder are subject to TG’s rights and license under the LFB License, and nothing in this Agreement will be construed to grant to Company any rights beyond those that TG has the right to grant to Company pursuant to the LFB License. Company acknowledges and agrees that, in accordance with Section 2.2.1 of the LFB License, it shall be bound by the terms of the LFB License applicable to the Development and Commercialization of the Product in the Field in the Territory.</w:t>
      </w:r>
    </w:p>
    <w:p>
      <w:pPr>
        <w:spacing w:after="0" w:line="150"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2.7.2 TG covenants to Company during the Term to comply, in all material respects, with the LFB License. Without limiting the generality of the foregoing, TG shall not take any action or omit to take any action that would cause TG to be in material breach of the LFB License or give rise to a right by LFB to terminate the LFB License wholly or partly.</w:t>
      </w:r>
    </w:p>
    <w:p>
      <w:pPr>
        <w:spacing w:after="0" w:line="185"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2.7.3 In the event that (a) the LFB License is terminated, (b) this Agreement is in effect at the time of such termination, and (c) Company is not in material breach of this Agreement, then, upon the written election of Company, the sublicense granted in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with respect to rights sublicensed pursuant to the LFB License will (x) survive such termination of the LFB License, and (y) at LFB’s election, either (i) this Agreement shall be immediately and automatically assigned by TG to LFB effective immediately prior to such termination and deemed to be a direct license from LFB to Company solely with respect to such rights sublicensed pursuant to the LFB License, or (ii) Company shall be deemed to be a direct licensee of LFB, subject to the terms of the LFB License, provided that the license grant from LFB to Company shall be solely with respect to such rights sublicensed hereunder pursuant to the LFB License.</w:t>
      </w:r>
    </w:p>
    <w:p>
      <w:pPr>
        <w:spacing w:after="0" w:line="18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 xml:space="preserve">2.7.4 TG shall not, without Company's prior written consent, (a) amend the LFB License in any manner that adversely affects Company’s rights and obligations under this Agreement; and/or (b) assign the LFB License, only if and to the extent such assignment is related to the rights granted under </w:t>
      </w:r>
      <w:r>
        <w:rPr>
          <w:rFonts w:ascii="Arial" w:cs="Arial" w:eastAsia="Arial" w:hAnsi="Arial"/>
          <w:sz w:val="19"/>
          <w:szCs w:val="19"/>
          <w:u w:val="single" w:color="auto"/>
          <w:color w:val="auto"/>
        </w:rPr>
        <w:t>Section 2.1</w:t>
      </w:r>
      <w:r>
        <w:rPr>
          <w:rFonts w:ascii="Arial" w:cs="Arial" w:eastAsia="Arial" w:hAnsi="Arial"/>
          <w:sz w:val="19"/>
          <w:szCs w:val="19"/>
          <w:color w:val="auto"/>
        </w:rPr>
        <w:t>, to any Third Party or any TG Affiliate, except no consent shall be required in the event that: (x) this Agreement is also assigned to such same Third Party (for the avoidance of doubt, in accordance with Section 14.11) or TG Affiliate, and/or</w:t>
      </w:r>
    </w:p>
    <w:p>
      <w:pPr>
        <w:spacing w:after="0" w:line="4" w:lineRule="exact"/>
        <w:rPr>
          <w:sz w:val="20"/>
          <w:szCs w:val="20"/>
          <w:color w:val="auto"/>
        </w:rPr>
      </w:pPr>
    </w:p>
    <w:p>
      <w:pPr>
        <w:ind w:firstLine="8"/>
        <w:spacing w:after="0" w:line="256" w:lineRule="auto"/>
        <w:tabs>
          <w:tab w:leader="none" w:pos="307" w:val="left"/>
        </w:tabs>
        <w:numPr>
          <w:ilvl w:val="0"/>
          <w:numId w:val="61"/>
        </w:numPr>
        <w:rPr>
          <w:rFonts w:ascii="Arial" w:cs="Arial" w:eastAsia="Arial" w:hAnsi="Arial"/>
          <w:sz w:val="21"/>
          <w:szCs w:val="21"/>
          <w:color w:val="auto"/>
        </w:rPr>
      </w:pPr>
      <w:r>
        <w:rPr>
          <w:rFonts w:ascii="Arial" w:cs="Arial" w:eastAsia="Arial" w:hAnsi="Arial"/>
          <w:sz w:val="21"/>
          <w:szCs w:val="21"/>
          <w:color w:val="auto"/>
        </w:rPr>
        <w:t>for the avoidance of doubt, TG assigns, makes a collateral assignment of, and/or otherwise encumbers the LFB License in connection with any Third Party financing transaction of TG and/or its Affiliates.</w:t>
      </w:r>
    </w:p>
    <w:p>
      <w:pPr>
        <w:spacing w:after="0" w:line="162" w:lineRule="exact"/>
        <w:rPr>
          <w:rFonts w:ascii="Arial" w:cs="Arial" w:eastAsia="Arial" w:hAnsi="Arial"/>
          <w:sz w:val="21"/>
          <w:szCs w:val="21"/>
          <w:color w:val="auto"/>
        </w:rPr>
      </w:pPr>
    </w:p>
    <w:p>
      <w:pPr>
        <w:ind w:left="4440" w:hanging="646"/>
        <w:spacing w:after="0"/>
        <w:tabs>
          <w:tab w:leader="none" w:pos="4440" w:val="left"/>
        </w:tabs>
        <w:numPr>
          <w:ilvl w:val="1"/>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DEVELOPMENT</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For the sake of clarity, in this </w:t>
      </w:r>
      <w:r>
        <w:rPr>
          <w:rFonts w:ascii="Arial" w:cs="Arial" w:eastAsia="Arial" w:hAnsi="Arial"/>
          <w:sz w:val="22"/>
          <w:szCs w:val="22"/>
          <w:u w:val="single" w:color="auto"/>
          <w:color w:val="auto"/>
        </w:rPr>
        <w:t>Article 3</w:t>
      </w:r>
      <w:r>
        <w:rPr>
          <w:rFonts w:ascii="Arial" w:cs="Arial" w:eastAsia="Arial" w:hAnsi="Arial"/>
          <w:sz w:val="22"/>
          <w:szCs w:val="22"/>
          <w:color w:val="auto"/>
        </w:rPr>
        <w:t>, Company means Company, and where applicable, its Affiliates, Sublicensees, and Distributors.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6" w:name="page107"/>
    <w:bookmarkEnd w:id="106"/>
    <w:p>
      <w:pPr>
        <w:ind w:left="660"/>
        <w:spacing w:after="0"/>
        <w:tabs>
          <w:tab w:leader="none" w:pos="12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Development.</w:t>
      </w:r>
    </w:p>
    <w:p>
      <w:pPr>
        <w:spacing w:after="0" w:line="206"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u w:val="single" w:color="auto"/>
          <w:color w:val="auto"/>
        </w:rPr>
        <w:t>Responsibility for Development Generally</w:t>
      </w:r>
      <w:r>
        <w:rPr>
          <w:rFonts w:ascii="Arial" w:cs="Arial" w:eastAsia="Arial" w:hAnsi="Arial"/>
          <w:sz w:val="22"/>
          <w:szCs w:val="22"/>
          <w:color w:val="auto"/>
        </w:rPr>
        <w:t>. TG shall have the sole right to conduct, and shall have full control and authority over, the Development of the Product in the Field, whether in the Territory or the Excluded Territory, other than the Company Development Activities (the “</w:t>
      </w:r>
      <w:r>
        <w:rPr>
          <w:rFonts w:ascii="Arial" w:cs="Arial" w:eastAsia="Arial" w:hAnsi="Arial"/>
          <w:sz w:val="22"/>
          <w:szCs w:val="22"/>
          <w:b w:val="1"/>
          <w:bCs w:val="1"/>
          <w:i w:val="1"/>
          <w:iCs w:val="1"/>
          <w:color w:val="auto"/>
        </w:rPr>
        <w:t>Global Development Activities</w:t>
      </w:r>
      <w:r>
        <w:rPr>
          <w:rFonts w:ascii="Arial" w:cs="Arial" w:eastAsia="Arial" w:hAnsi="Arial"/>
          <w:sz w:val="22"/>
          <w:szCs w:val="22"/>
          <w:color w:val="auto"/>
        </w:rPr>
        <w:t>”). For clarity, nothing herein shall be construed to limit TG’s rights with respect to the Development of the Compound and/or Product outside the Field (whether in the Territory or the Excluded Territory) or for any purpose in the Excluded Territory.</w:t>
      </w:r>
    </w:p>
    <w:p>
      <w:pPr>
        <w:spacing w:after="0" w:line="188"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3.1.2 </w:t>
      </w:r>
      <w:r>
        <w:rPr>
          <w:rFonts w:ascii="Arial" w:cs="Arial" w:eastAsia="Arial" w:hAnsi="Arial"/>
          <w:sz w:val="21"/>
          <w:szCs w:val="21"/>
          <w:u w:val="single" w:color="auto"/>
          <w:color w:val="auto"/>
        </w:rPr>
        <w:t>Regulatory Authority Required Development Activities</w:t>
      </w:r>
      <w:r>
        <w:rPr>
          <w:rFonts w:ascii="Arial" w:cs="Arial" w:eastAsia="Arial" w:hAnsi="Arial"/>
          <w:sz w:val="21"/>
          <w:szCs w:val="21"/>
          <w:color w:val="auto"/>
        </w:rPr>
        <w:t>. The Parties acknowledge and agree that, both in the Territory and the Excluded Territory, certain additional Development activity is or will be required, whether by the applicable regulatory authorities or as a voluntary commitment by the holder of the marketing authorization, to be conducted following the granting of a marketing authorization for the Product in the Field to maintain such marketing authorization (the “</w:t>
      </w:r>
      <w:r>
        <w:rPr>
          <w:rFonts w:ascii="Arial" w:cs="Arial" w:eastAsia="Arial" w:hAnsi="Arial"/>
          <w:sz w:val="21"/>
          <w:szCs w:val="21"/>
          <w:b w:val="1"/>
          <w:bCs w:val="1"/>
          <w:i w:val="1"/>
          <w:iCs w:val="1"/>
          <w:color w:val="auto"/>
        </w:rPr>
        <w:t>Post-Marketing Commitments &amp; Requirements</w:t>
      </w:r>
      <w:r>
        <w:rPr>
          <w:rFonts w:ascii="Arial" w:cs="Arial" w:eastAsia="Arial" w:hAnsi="Arial"/>
          <w:sz w:val="21"/>
          <w:szCs w:val="21"/>
          <w:color w:val="auto"/>
        </w:rPr>
        <w:t xml:space="preserve">”). To TG’s Knowledge, </w:t>
      </w:r>
      <w:r>
        <w:rPr>
          <w:rFonts w:ascii="Arial" w:cs="Arial" w:eastAsia="Arial" w:hAnsi="Arial"/>
          <w:sz w:val="21"/>
          <w:szCs w:val="21"/>
          <w:u w:val="single" w:color="auto"/>
          <w:color w:val="auto"/>
        </w:rPr>
        <w:t>Schedule 3.1.2</w:t>
      </w:r>
      <w:r>
        <w:rPr>
          <w:rFonts w:ascii="Arial" w:cs="Arial" w:eastAsia="Arial" w:hAnsi="Arial"/>
          <w:sz w:val="21"/>
          <w:szCs w:val="21"/>
          <w:color w:val="auto"/>
        </w:rPr>
        <w:t xml:space="preserve"> sets forth a complete and accurate list of the Post-Marketing Commitments &amp; Requirements as of the Effective Date. Responsibility for the conduct of such Post-Marketing Commitments &amp; Requirements and certain other Development activities relating to the Product in the Field in the Territory shall be as follows:</w:t>
      </w:r>
    </w:p>
    <w:p>
      <w:pPr>
        <w:spacing w:after="0" w:line="184" w:lineRule="exact"/>
        <w:rPr>
          <w:sz w:val="20"/>
          <w:szCs w:val="20"/>
          <w:color w:val="auto"/>
        </w:rPr>
      </w:pPr>
    </w:p>
    <w:p>
      <w:pPr>
        <w:jc w:val="both"/>
        <w:ind w:firstLine="1952"/>
        <w:spacing w:after="0" w:line="238" w:lineRule="auto"/>
        <w:tabs>
          <w:tab w:leader="none" w:pos="259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TG’s Responsibilities</w:t>
      </w:r>
      <w:r>
        <w:rPr>
          <w:rFonts w:ascii="Arial" w:cs="Arial" w:eastAsia="Arial" w:hAnsi="Arial"/>
          <w:sz w:val="22"/>
          <w:szCs w:val="22"/>
          <w:color w:val="auto"/>
        </w:rPr>
        <w:t>. With respect to any Post-Marketing Commitments &amp; Requirements that are (i) Excluded Territory-Specific PMCs/PMRs, (ii) Global PMCs/PMRs, and/or (iii) Territory-Specific CMC PMCs, TG shall have the sole right to conduct, and shall have full control and authority, over all such Post-Marketing Commitments &amp; Requirements.</w:t>
      </w:r>
    </w:p>
    <w:p>
      <w:pPr>
        <w:spacing w:after="0" w:line="184" w:lineRule="exact"/>
        <w:rPr>
          <w:rFonts w:ascii="Arial" w:cs="Arial" w:eastAsia="Arial" w:hAnsi="Arial"/>
          <w:sz w:val="22"/>
          <w:szCs w:val="22"/>
          <w:color w:val="auto"/>
        </w:rPr>
      </w:pPr>
    </w:p>
    <w:p>
      <w:pPr>
        <w:jc w:val="both"/>
        <w:ind w:firstLine="1952"/>
        <w:spacing w:after="0"/>
        <w:tabs>
          <w:tab w:leader="none" w:pos="259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Company’s Responsibilities</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Schedule 3.1.2</w:t>
      </w:r>
      <w:r>
        <w:rPr>
          <w:rFonts w:ascii="Arial" w:cs="Arial" w:eastAsia="Arial" w:hAnsi="Arial"/>
          <w:sz w:val="22"/>
          <w:szCs w:val="22"/>
          <w:color w:val="auto"/>
        </w:rPr>
        <w:t xml:space="preserve">, Company shall have the sole right and responsibility for, and shall, subject to the provisions of </w:t>
      </w:r>
      <w:r>
        <w:rPr>
          <w:rFonts w:ascii="Arial" w:cs="Arial" w:eastAsia="Arial" w:hAnsi="Arial"/>
          <w:sz w:val="22"/>
          <w:szCs w:val="22"/>
          <w:u w:val="single" w:color="auto"/>
          <w:color w:val="auto"/>
        </w:rPr>
        <w:t>Sections 7.2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7.3</w:t>
      </w:r>
      <w:r>
        <w:rPr>
          <w:rFonts w:ascii="Arial" w:cs="Arial" w:eastAsia="Arial" w:hAnsi="Arial"/>
          <w:sz w:val="22"/>
          <w:szCs w:val="22"/>
          <w:color w:val="auto"/>
        </w:rPr>
        <w:t>, have full control and authority over the Territory-Specific Requirements.</w:t>
      </w:r>
    </w:p>
    <w:p>
      <w:pPr>
        <w:spacing w:after="0" w:line="18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 xml:space="preserve">3.1.3 </w:t>
      </w:r>
      <w:r>
        <w:rPr>
          <w:rFonts w:ascii="Arial" w:cs="Arial" w:eastAsia="Arial" w:hAnsi="Arial"/>
          <w:sz w:val="19"/>
          <w:szCs w:val="19"/>
          <w:u w:val="single" w:color="auto"/>
          <w:color w:val="auto"/>
        </w:rPr>
        <w:t>Company Optional Development Activities</w:t>
      </w:r>
      <w:r>
        <w:rPr>
          <w:rFonts w:ascii="Arial" w:cs="Arial" w:eastAsia="Arial" w:hAnsi="Arial"/>
          <w:sz w:val="19"/>
          <w:szCs w:val="19"/>
          <w:color w:val="auto"/>
        </w:rPr>
        <w:t>. In the event that Company desires to conduct any Development activities with respect to the Product in the Field in the Territory, other than the Territory-Specific Requirements (“</w:t>
      </w:r>
      <w:r>
        <w:rPr>
          <w:rFonts w:ascii="Arial" w:cs="Arial" w:eastAsia="Arial" w:hAnsi="Arial"/>
          <w:sz w:val="19"/>
          <w:szCs w:val="19"/>
          <w:b w:val="1"/>
          <w:bCs w:val="1"/>
          <w:i w:val="1"/>
          <w:iCs w:val="1"/>
          <w:color w:val="auto"/>
        </w:rPr>
        <w:t>Optional Territory-Based Development Activities</w:t>
      </w:r>
      <w:r>
        <w:rPr>
          <w:rFonts w:ascii="Arial" w:cs="Arial" w:eastAsia="Arial" w:hAnsi="Arial"/>
          <w:sz w:val="19"/>
          <w:szCs w:val="19"/>
          <w:color w:val="auto"/>
        </w:rPr>
        <w:t>” and, collectively with the Territory-Specific Requirements, the “</w:t>
      </w:r>
      <w:r>
        <w:rPr>
          <w:rFonts w:ascii="Arial" w:cs="Arial" w:eastAsia="Arial" w:hAnsi="Arial"/>
          <w:sz w:val="19"/>
          <w:szCs w:val="19"/>
          <w:b w:val="1"/>
          <w:bCs w:val="1"/>
          <w:i w:val="1"/>
          <w:iCs w:val="1"/>
          <w:color w:val="auto"/>
        </w:rPr>
        <w:t>Company Development Activities</w:t>
      </w:r>
      <w:r>
        <w:rPr>
          <w:rFonts w:ascii="Arial" w:cs="Arial" w:eastAsia="Arial" w:hAnsi="Arial"/>
          <w:sz w:val="19"/>
          <w:szCs w:val="19"/>
          <w:color w:val="auto"/>
        </w:rPr>
        <w:t xml:space="preserve">”), Company shall submit a written request to TG through the JSC, which such request shall describe, in reasonable detail, the desired Optional Territory-Based Development Activities, proposed timeline, and rationale for such activities. TG shall, within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delivery of such notice, respond to Company approving or rejecting such request or otherwise requesting additional information or discussion, TG’s consent not unreasonably to be withheld; provided, however, that, without limiting the generality of the foregoing and for the avoidance of doubt, TG shall have the right to withhold its consent if, in its reasonable discretion, it determines that any such proposed Optional Territory-Based Development Activity creates a material health or safety risk with respect to the Product or may have a material negative effect on the Commercialization of the Product (whether in the Territory, the Excluded Territory, or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7" w:name="page108"/>
    <w:bookmarkEnd w:id="107"/>
    <w:p>
      <w:pPr>
        <w:ind w:left="660"/>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Development Costs and Payments</w:t>
      </w:r>
      <w:r>
        <w:rPr>
          <w:rFonts w:ascii="Arial" w:cs="Arial" w:eastAsia="Arial" w:hAnsi="Arial"/>
          <w:sz w:val="19"/>
          <w:szCs w:val="19"/>
          <w:color w:val="auto"/>
        </w:rPr>
        <w:t>.</w:t>
      </w:r>
    </w:p>
    <w:p>
      <w:pPr>
        <w:spacing w:after="0" w:line="206"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 xml:space="preserve">3.2.1 </w:t>
      </w:r>
      <w:r>
        <w:rPr>
          <w:rFonts w:ascii="Arial" w:cs="Arial" w:eastAsia="Arial" w:hAnsi="Arial"/>
          <w:sz w:val="22"/>
          <w:szCs w:val="22"/>
          <w:u w:val="single" w:color="auto"/>
          <w:color w:val="auto"/>
        </w:rPr>
        <w:t>Global Development Activities</w:t>
      </w:r>
      <w:r>
        <w:rPr>
          <w:rFonts w:ascii="Arial" w:cs="Arial" w:eastAsia="Arial" w:hAnsi="Arial"/>
          <w:sz w:val="22"/>
          <w:szCs w:val="22"/>
          <w:color w:val="auto"/>
        </w:rPr>
        <w:t>. TG shall perform the Global Development Activities at its cost, except as follows:</w:t>
      </w:r>
    </w:p>
    <w:p>
      <w:pPr>
        <w:spacing w:after="0" w:line="175" w:lineRule="exact"/>
        <w:rPr>
          <w:sz w:val="20"/>
          <w:szCs w:val="20"/>
          <w:color w:val="auto"/>
        </w:rPr>
      </w:pPr>
    </w:p>
    <w:p>
      <w:pPr>
        <w:jc w:val="both"/>
        <w:ind w:firstLine="1952"/>
        <w:spacing w:after="0"/>
        <w:tabs>
          <w:tab w:leader="none" w:pos="2592"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Territory-Specific CMC PMCs</w:t>
      </w:r>
      <w:r>
        <w:rPr>
          <w:rFonts w:ascii="Arial" w:cs="Arial" w:eastAsia="Arial" w:hAnsi="Arial"/>
          <w:sz w:val="22"/>
          <w:szCs w:val="22"/>
          <w:color w:val="auto"/>
        </w:rPr>
        <w:t xml:space="preserve">. TG shall invoice Company, and Company shall reimburse TG, for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of all reasonable costs actually incurred by TG in connection with the performance of any Territory-Specific CMC PMCs.</w:t>
      </w:r>
    </w:p>
    <w:p>
      <w:pPr>
        <w:spacing w:after="0" w:line="186" w:lineRule="exact"/>
        <w:rPr>
          <w:rFonts w:ascii="Arial" w:cs="Arial" w:eastAsia="Arial" w:hAnsi="Arial"/>
          <w:sz w:val="22"/>
          <w:szCs w:val="22"/>
          <w:color w:val="auto"/>
        </w:rPr>
      </w:pPr>
    </w:p>
    <w:p>
      <w:pPr>
        <w:jc w:val="both"/>
        <w:ind w:firstLine="1952"/>
        <w:spacing w:after="0" w:line="268" w:lineRule="auto"/>
        <w:tabs>
          <w:tab w:leader="none" w:pos="2592"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Global PMCs/PMRs</w:t>
      </w:r>
      <w:r>
        <w:rPr>
          <w:rFonts w:ascii="Arial" w:cs="Arial" w:eastAsia="Arial" w:hAnsi="Arial"/>
          <w:sz w:val="19"/>
          <w:szCs w:val="19"/>
          <w:color w:val="auto"/>
        </w:rPr>
        <w:t xml:space="preserve">. With respect to any Global PMCs/PMRs, TG shall invoice Company, and Company shall reimburse TG, for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all reasonable costs actually incurred by TG following the Effective Date in connection with the performance of the Global PMCs/PMRs indicated in the budget for such Global PMCs/PMRs according to </w:t>
      </w:r>
      <w:r>
        <w:rPr>
          <w:rFonts w:ascii="Arial" w:cs="Arial" w:eastAsia="Arial" w:hAnsi="Arial"/>
          <w:sz w:val="19"/>
          <w:szCs w:val="19"/>
          <w:u w:val="single" w:color="auto"/>
          <w:color w:val="auto"/>
        </w:rPr>
        <w:t>Schedule 3.2.1(b)</w:t>
      </w:r>
      <w:r>
        <w:rPr>
          <w:rFonts w:ascii="Arial" w:cs="Arial" w:eastAsia="Arial" w:hAnsi="Arial"/>
          <w:sz w:val="19"/>
          <w:szCs w:val="19"/>
          <w:color w:val="auto"/>
        </w:rPr>
        <w:t xml:space="preserve">, and any costs exceeding the budget indicated in </w:t>
      </w:r>
      <w:r>
        <w:rPr>
          <w:rFonts w:ascii="Arial" w:cs="Arial" w:eastAsia="Arial" w:hAnsi="Arial"/>
          <w:sz w:val="19"/>
          <w:szCs w:val="19"/>
          <w:u w:val="single" w:color="auto"/>
          <w:color w:val="auto"/>
        </w:rPr>
        <w:t>Schedule 3.2.1(b)</w:t>
      </w:r>
      <w:r>
        <w:rPr>
          <w:rFonts w:ascii="Arial" w:cs="Arial" w:eastAsia="Arial" w:hAnsi="Arial"/>
          <w:sz w:val="19"/>
          <w:szCs w:val="19"/>
          <w:color w:val="auto"/>
        </w:rPr>
        <w:t xml:space="preserve"> and not pre-agreed in writing by the Company (such consent not to be unreasonably withheld) shall be borne by TG. With respect to Global PMCs/PMRs arising following the Effective Date, TG will use Commercially Reasonable Efforts to develop and deliver to Company a budget for each such future Global PMCs/PMRs, provided that TG shall, prior to delivering such budget to Company, offer Company a reasonable opportunity to provide comments on the design, conduct and related budget of any future Global PMCs/PMRs and TG shall consider such comments in good faith; TG shall invoice Company, and Company shall reimburse TG, for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of all reasonable costs actually incurred by TG in connection with the performance of such Global PMCs/PMRs in accordance with the applicable budget; provided that any costs exceeding such budget and not pre-agreed in writing by the Company (such consent not to be unreasonably withheld) shall be borne by TG. Notwithstanding the foregoing, for the avoidance of doubt, Company acknowledges and agrees that</w:t>
      </w:r>
    </w:p>
    <w:p>
      <w:pPr>
        <w:spacing w:after="0" w:line="4" w:lineRule="exact"/>
        <w:rPr>
          <w:rFonts w:ascii="Arial" w:cs="Arial" w:eastAsia="Arial" w:hAnsi="Arial"/>
          <w:sz w:val="19"/>
          <w:szCs w:val="19"/>
          <w:color w:val="auto"/>
        </w:rPr>
      </w:pPr>
    </w:p>
    <w:p>
      <w:pPr>
        <w:jc w:val="both"/>
        <w:ind w:firstLine="8"/>
        <w:spacing w:after="0" w:line="243" w:lineRule="auto"/>
        <w:tabs>
          <w:tab w:leader="none" w:pos="278"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the budgets set forth in </w:t>
      </w:r>
      <w:r>
        <w:rPr>
          <w:rFonts w:ascii="Arial" w:cs="Arial" w:eastAsia="Arial" w:hAnsi="Arial"/>
          <w:sz w:val="21"/>
          <w:szCs w:val="21"/>
          <w:u w:val="single" w:color="auto"/>
          <w:color w:val="auto"/>
        </w:rPr>
        <w:t>Schedule 3.2.1(b)</w:t>
      </w:r>
      <w:r>
        <w:rPr>
          <w:rFonts w:ascii="Arial" w:cs="Arial" w:eastAsia="Arial" w:hAnsi="Arial"/>
          <w:sz w:val="21"/>
          <w:szCs w:val="21"/>
          <w:color w:val="auto"/>
        </w:rPr>
        <w:t xml:space="preserve"> and/or otherwise provided in accordance with </w:t>
      </w:r>
      <w:r>
        <w:rPr>
          <w:rFonts w:ascii="Arial" w:cs="Arial" w:eastAsia="Arial" w:hAnsi="Arial"/>
          <w:sz w:val="21"/>
          <w:szCs w:val="21"/>
          <w:u w:val="single" w:color="auto"/>
          <w:color w:val="auto"/>
        </w:rPr>
        <w:t>Section 3.2.1(b)</w:t>
      </w:r>
      <w:r>
        <w:rPr>
          <w:rFonts w:ascii="Arial" w:cs="Arial" w:eastAsia="Arial" w:hAnsi="Arial"/>
          <w:sz w:val="21"/>
          <w:szCs w:val="21"/>
          <w:color w:val="auto"/>
        </w:rPr>
        <w:t xml:space="preserve"> are and will, at least initially, be estimates based on TG’s proposals concerning the structure and conduct of each such study, (ii) such proposals are and shall be subject to review by the applicable Regulatory Authority(ies), (iii) TG shall have the right to adjust the budgets, from time to time, upon receipt of feedback and/or advice from the applicable Regulatory Authority(ies) by delivering to Company written notice of such adjustments and the rationale therefor, and, consequently, (iv) the resulting budget, as so adjusted, shall replace any prior draft budget and shall be the budget for such Global PMC/PMR.</w:t>
      </w:r>
    </w:p>
    <w:p>
      <w:pPr>
        <w:spacing w:after="0" w:line="187" w:lineRule="exact"/>
        <w:rPr>
          <w:rFonts w:ascii="Arial" w:cs="Arial" w:eastAsia="Arial" w:hAnsi="Arial"/>
          <w:sz w:val="21"/>
          <w:szCs w:val="21"/>
          <w:color w:val="auto"/>
        </w:rPr>
      </w:pPr>
    </w:p>
    <w:p>
      <w:pPr>
        <w:jc w:val="both"/>
        <w:ind w:firstLine="1952"/>
        <w:spacing w:after="0" w:line="244" w:lineRule="auto"/>
        <w:tabs>
          <w:tab w:leader="none" w:pos="2592" w:val="left"/>
        </w:tabs>
        <w:numPr>
          <w:ilvl w:val="1"/>
          <w:numId w:val="64"/>
        </w:numPr>
        <w:rPr>
          <w:rFonts w:ascii="Arial" w:cs="Arial" w:eastAsia="Arial" w:hAnsi="Arial"/>
          <w:sz w:val="21"/>
          <w:szCs w:val="21"/>
          <w:color w:val="auto"/>
        </w:rPr>
      </w:pPr>
      <w:r>
        <w:rPr>
          <w:rFonts w:ascii="Arial" w:cs="Arial" w:eastAsia="Arial" w:hAnsi="Arial"/>
          <w:sz w:val="21"/>
          <w:szCs w:val="21"/>
          <w:u w:val="single" w:color="auto"/>
          <w:color w:val="auto"/>
        </w:rPr>
        <w:t>Product Improvement Development Activities</w:t>
      </w:r>
      <w:r>
        <w:rPr>
          <w:rFonts w:ascii="Arial" w:cs="Arial" w:eastAsia="Arial" w:hAnsi="Arial"/>
          <w:sz w:val="21"/>
          <w:szCs w:val="21"/>
          <w:color w:val="auto"/>
        </w:rPr>
        <w:t>. In the event that TG Develops a Product Improvement, Company shall have the option to obtain the exclusive commercialization right, on a Product Improvement-by-Product Improvement basis, to use such Product Improvement in connection with its Commercialization of the Product in the Field in the Territory. TG shall provide Company with written notice (each, a “</w:t>
      </w:r>
      <w:r>
        <w:rPr>
          <w:rFonts w:ascii="Arial" w:cs="Arial" w:eastAsia="Arial" w:hAnsi="Arial"/>
          <w:sz w:val="21"/>
          <w:szCs w:val="21"/>
          <w:b w:val="1"/>
          <w:bCs w:val="1"/>
          <w:i w:val="1"/>
          <w:iCs w:val="1"/>
          <w:color w:val="auto"/>
        </w:rPr>
        <w:t>Product Improvement Notice</w:t>
      </w:r>
      <w:r>
        <w:rPr>
          <w:rFonts w:ascii="Arial" w:cs="Arial" w:eastAsia="Arial" w:hAnsi="Arial"/>
          <w:sz w:val="21"/>
          <w:szCs w:val="21"/>
          <w:color w:val="auto"/>
        </w:rPr>
        <w:t>”) of such Product Improvement and a brief description of the associated Development activities (the “</w:t>
      </w:r>
      <w:r>
        <w:rPr>
          <w:rFonts w:ascii="Arial" w:cs="Arial" w:eastAsia="Arial" w:hAnsi="Arial"/>
          <w:sz w:val="21"/>
          <w:szCs w:val="21"/>
          <w:b w:val="1"/>
          <w:bCs w:val="1"/>
          <w:i w:val="1"/>
          <w:iCs w:val="1"/>
          <w:color w:val="auto"/>
        </w:rPr>
        <w:t>Product Improvement Development Activities</w:t>
      </w:r>
      <w:r>
        <w:rPr>
          <w:rFonts w:ascii="Arial" w:cs="Arial" w:eastAsia="Arial" w:hAnsi="Arial"/>
          <w:sz w:val="21"/>
          <w:szCs w:val="21"/>
          <w:color w:val="auto"/>
        </w:rPr>
        <w:t xml:space="preserve">”) as well as a break-down, in reasonable detail, of the costs actually incurred and likely to be incurred in the future by or on behalf of TG following the Effective Date in connection with the performance of the applicable Product Improvement Development Activities. In the event that Company notifies TG that it is exercising the option described in this </w:t>
      </w:r>
      <w:r>
        <w:rPr>
          <w:rFonts w:ascii="Arial" w:cs="Arial" w:eastAsia="Arial" w:hAnsi="Arial"/>
          <w:sz w:val="21"/>
          <w:szCs w:val="21"/>
          <w:u w:val="single" w:color="auto"/>
          <w:color w:val="auto"/>
        </w:rPr>
        <w:t>Section 3.2.1(c)</w:t>
      </w:r>
      <w:r>
        <w:rPr>
          <w:rFonts w:ascii="Arial" w:cs="Arial" w:eastAsia="Arial" w:hAnsi="Arial"/>
          <w:sz w:val="21"/>
          <w:szCs w:val="21"/>
          <w:color w:val="auto"/>
        </w:rPr>
        <w:t xml:space="preserve"> with respect to a particular Product Improvement within </w:t>
      </w:r>
      <w:r>
        <w:rPr>
          <w:rFonts w:ascii="Arial" w:cs="Arial" w:eastAsia="Arial" w:hAnsi="Arial"/>
          <w:sz w:val="16"/>
          <w:szCs w:val="16"/>
          <w:b w:val="1"/>
          <w:bCs w:val="1"/>
          <w:color w:val="auto"/>
        </w:rPr>
        <w:t>[***]</w:t>
      </w:r>
      <w:r>
        <w:rPr>
          <w:rFonts w:ascii="Arial" w:cs="Arial" w:eastAsia="Arial" w:hAnsi="Arial"/>
          <w:sz w:val="21"/>
          <w:szCs w:val="21"/>
          <w:color w:val="auto"/>
        </w:rPr>
        <w:t xml:space="preserve"> (</w:t>
      </w:r>
      <w:r>
        <w:rPr>
          <w:rFonts w:ascii="Arial" w:cs="Arial" w:eastAsia="Arial" w:hAnsi="Arial"/>
          <w:sz w:val="16"/>
          <w:szCs w:val="16"/>
          <w:b w:val="1"/>
          <w:bCs w:val="1"/>
          <w:color w:val="auto"/>
        </w:rPr>
        <w:t>[***]</w:t>
      </w:r>
      <w:r>
        <w:rPr>
          <w:rFonts w:ascii="Arial" w:cs="Arial" w:eastAsia="Arial" w:hAnsi="Arial"/>
          <w:sz w:val="21"/>
          <w:szCs w:val="21"/>
          <w:color w:val="auto"/>
        </w:rPr>
        <w:t xml:space="preserve">) </w:t>
      </w:r>
      <w:r>
        <w:rPr>
          <w:rFonts w:ascii="Arial" w:cs="Arial" w:eastAsia="Arial" w:hAnsi="Arial"/>
          <w:sz w:val="16"/>
          <w:szCs w:val="16"/>
          <w:b w:val="1"/>
          <w:bCs w:val="1"/>
          <w:color w:val="auto"/>
        </w:rPr>
        <w:t>[***]</w:t>
      </w:r>
      <w:r>
        <w:rPr>
          <w:rFonts w:ascii="Arial" w:cs="Arial" w:eastAsia="Arial" w:hAnsi="Arial"/>
          <w:sz w:val="21"/>
          <w:szCs w:val="21"/>
          <w:color w:val="auto"/>
        </w:rPr>
        <w:t xml:space="preserve"> of the delivery of the applicable Product Improvement Notice, then (i) the license granted in </w:t>
      </w:r>
      <w:r>
        <w:rPr>
          <w:rFonts w:ascii="Arial" w:cs="Arial" w:eastAsia="Arial" w:hAnsi="Arial"/>
          <w:sz w:val="21"/>
          <w:szCs w:val="21"/>
          <w:u w:val="single" w:color="auto"/>
          <w:color w:val="auto"/>
        </w:rPr>
        <w:t>Section 2.1.1</w:t>
      </w:r>
      <w:r>
        <w:rPr>
          <w:rFonts w:ascii="Arial" w:cs="Arial" w:eastAsia="Arial" w:hAnsi="Arial"/>
          <w:sz w:val="21"/>
          <w:szCs w:val="21"/>
          <w:color w:val="auto"/>
        </w:rPr>
        <w:t xml:space="preserve"> shall include such Product Improvement,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8" w:name="page109"/>
    <w:bookmarkEnd w:id="108"/>
    <w:p>
      <w:pPr>
        <w:jc w:val="both"/>
        <w:ind w:firstLine="8"/>
        <w:spacing w:after="0" w:line="274" w:lineRule="auto"/>
        <w:tabs>
          <w:tab w:leader="none" w:pos="327"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TG shall invoice Company on a Calendar Quarterly basis, and Company shall reimburse TG, for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all reasonable costs actually incurred by or on behalf of TG following the Effective Date in connection with the performance of the applicable Product Improvement Development Activities. In the event that Company notifies TG that it is exercising the option described in this </w:t>
      </w:r>
      <w:r>
        <w:rPr>
          <w:rFonts w:ascii="Arial" w:cs="Arial" w:eastAsia="Arial" w:hAnsi="Arial"/>
          <w:sz w:val="19"/>
          <w:szCs w:val="19"/>
          <w:u w:val="single" w:color="auto"/>
          <w:color w:val="auto"/>
        </w:rPr>
        <w:t>Section 3.2.1(c)</w:t>
      </w:r>
      <w:r>
        <w:rPr>
          <w:rFonts w:ascii="Arial" w:cs="Arial" w:eastAsia="Arial" w:hAnsi="Arial"/>
          <w:sz w:val="19"/>
          <w:szCs w:val="19"/>
          <w:color w:val="auto"/>
        </w:rPr>
        <w:t xml:space="preserve"> later than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following the delivery of the Product Improvement Notice, then (i) the license granted in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shall include such Product Improvement, and (ii) TG shall invoice Company on a Calendar Quarterly basis, and Company shall reimburse TG, for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of all reasonable costs actually incurred by or on behalf of TG following the Effective Date in connection with the performance of the applicable Product Improvement Development Activities. Notwithstanding the foregoing, the Parties acknowledge and agree as follows:</w:t>
      </w:r>
    </w:p>
    <w:p>
      <w:pPr>
        <w:spacing w:after="0" w:line="158" w:lineRule="exact"/>
        <w:rPr>
          <w:rFonts w:ascii="Arial" w:cs="Arial" w:eastAsia="Arial" w:hAnsi="Arial"/>
          <w:sz w:val="19"/>
          <w:szCs w:val="19"/>
          <w:color w:val="auto"/>
        </w:rPr>
      </w:pPr>
    </w:p>
    <w:p>
      <w:pPr>
        <w:jc w:val="both"/>
        <w:ind w:firstLine="2600"/>
        <w:spacing w:after="0" w:line="279" w:lineRule="auto"/>
        <w:tabs>
          <w:tab w:leader="none" w:pos="3240" w:val="left"/>
        </w:tabs>
        <w:numPr>
          <w:ilvl w:val="2"/>
          <w:numId w:val="65"/>
        </w:numPr>
        <w:rPr>
          <w:rFonts w:ascii="Arial" w:cs="Arial" w:eastAsia="Arial" w:hAnsi="Arial"/>
          <w:sz w:val="19"/>
          <w:szCs w:val="19"/>
          <w:color w:val="auto"/>
        </w:rPr>
      </w:pPr>
      <w:r>
        <w:rPr>
          <w:rFonts w:ascii="Arial" w:cs="Arial" w:eastAsia="Arial" w:hAnsi="Arial"/>
          <w:sz w:val="19"/>
          <w:szCs w:val="19"/>
          <w:color w:val="auto"/>
        </w:rPr>
        <w:t xml:space="preserve">As regards any Product Improvement relating to establishing any alternative source for manufacturing and supplying the Product (drug substance and/or drug product), the exercise period for the exercise of the option pursuant to the foregoing shall not apply and the Company shall be entitled to exercise such right at any time during the Term and shall in such case be required to reimburse TG, for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of all reasonable costs actually incurred by or on behalf of TG following the Effective Date in connection with the performance of the applicable Product Improvement Development Activities.</w:t>
      </w:r>
    </w:p>
    <w:p>
      <w:pPr>
        <w:spacing w:after="0" w:line="150" w:lineRule="exact"/>
        <w:rPr>
          <w:rFonts w:ascii="Arial" w:cs="Arial" w:eastAsia="Arial" w:hAnsi="Arial"/>
          <w:sz w:val="19"/>
          <w:szCs w:val="19"/>
          <w:color w:val="auto"/>
        </w:rPr>
      </w:pPr>
    </w:p>
    <w:p>
      <w:pPr>
        <w:jc w:val="both"/>
        <w:ind w:firstLine="2600"/>
        <w:spacing w:after="0" w:line="277" w:lineRule="auto"/>
        <w:tabs>
          <w:tab w:leader="none" w:pos="3240" w:val="left"/>
        </w:tabs>
        <w:numPr>
          <w:ilvl w:val="2"/>
          <w:numId w:val="65"/>
        </w:numPr>
        <w:rPr>
          <w:rFonts w:ascii="Arial" w:cs="Arial" w:eastAsia="Arial" w:hAnsi="Arial"/>
          <w:sz w:val="19"/>
          <w:szCs w:val="19"/>
          <w:color w:val="auto"/>
        </w:rPr>
      </w:pPr>
      <w:r>
        <w:rPr>
          <w:rFonts w:ascii="Arial" w:cs="Arial" w:eastAsia="Arial" w:hAnsi="Arial"/>
          <w:sz w:val="19"/>
          <w:szCs w:val="19"/>
          <w:color w:val="auto"/>
        </w:rPr>
        <w:t xml:space="preserve">As regards any MoA Product Improvement, in the event that Company fails to notify TG that it is exercising its option, or notifies TG that it is not exercising its option, with respect to such MoA Product Improvement within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following the delivery of the Product Improvement Notice, then Company shall have no rights with respect to such MoA Product Improvement, and, for clarity, TG shall have the right, whether itself or through its Affiliates or any Third Party, to Commercialize such MoA Product Improvement in the Territory; provided, however, that neither TG, its Affiliates nor a Third Party shall be entitled to Commercialize such MoA Product Improvement in the Territory under the Licensed Trademark.</w:t>
      </w:r>
    </w:p>
    <w:p>
      <w:pPr>
        <w:spacing w:after="0" w:line="151" w:lineRule="exact"/>
        <w:rPr>
          <w:rFonts w:ascii="Arial" w:cs="Arial" w:eastAsia="Arial" w:hAnsi="Arial"/>
          <w:sz w:val="19"/>
          <w:szCs w:val="19"/>
          <w:color w:val="auto"/>
        </w:rPr>
      </w:pPr>
    </w:p>
    <w:p>
      <w:pPr>
        <w:jc w:val="both"/>
        <w:ind w:firstLine="2600"/>
        <w:spacing w:after="0" w:line="236" w:lineRule="auto"/>
        <w:tabs>
          <w:tab w:leader="none" w:pos="3240" w:val="left"/>
        </w:tabs>
        <w:numPr>
          <w:ilvl w:val="2"/>
          <w:numId w:val="65"/>
        </w:numPr>
        <w:rPr>
          <w:rFonts w:ascii="Arial" w:cs="Arial" w:eastAsia="Arial" w:hAnsi="Arial"/>
          <w:sz w:val="22"/>
          <w:szCs w:val="22"/>
          <w:color w:val="auto"/>
        </w:rPr>
      </w:pPr>
      <w:r>
        <w:rPr>
          <w:rFonts w:ascii="Arial" w:cs="Arial" w:eastAsia="Arial" w:hAnsi="Arial"/>
          <w:sz w:val="22"/>
          <w:szCs w:val="22"/>
          <w:color w:val="auto"/>
        </w:rPr>
        <w:t xml:space="preserve">For the avoidance of doubt, unless and until Company exercises its option with respect to a Product Improvement in accordance with this </w:t>
      </w:r>
      <w:r>
        <w:rPr>
          <w:rFonts w:ascii="Arial" w:cs="Arial" w:eastAsia="Arial" w:hAnsi="Arial"/>
          <w:sz w:val="22"/>
          <w:szCs w:val="22"/>
          <w:u w:val="single" w:color="auto"/>
          <w:color w:val="auto"/>
        </w:rPr>
        <w:t>Section 3.2.1(c)</w:t>
      </w:r>
      <w:r>
        <w:rPr>
          <w:rFonts w:ascii="Arial" w:cs="Arial" w:eastAsia="Arial" w:hAnsi="Arial"/>
          <w:sz w:val="22"/>
          <w:szCs w:val="22"/>
          <w:color w:val="auto"/>
        </w:rPr>
        <w:t>, Company shall not have any right to use such Product Improvement in the Territory, including, without limitation, that Company shall not benefit from any cost-savings that result from any CMC process improvement that constitutes a Product Improvement for which Company has not exercised its option.</w:t>
      </w:r>
    </w:p>
    <w:p>
      <w:pPr>
        <w:spacing w:after="0" w:line="187" w:lineRule="exact"/>
        <w:rPr>
          <w:rFonts w:ascii="Arial" w:cs="Arial" w:eastAsia="Arial" w:hAnsi="Arial"/>
          <w:sz w:val="22"/>
          <w:szCs w:val="22"/>
          <w:color w:val="auto"/>
        </w:rPr>
      </w:pPr>
    </w:p>
    <w:p>
      <w:pPr>
        <w:jc w:val="both"/>
        <w:ind w:firstLine="1952"/>
        <w:spacing w:after="0" w:line="273" w:lineRule="auto"/>
        <w:tabs>
          <w:tab w:leader="none" w:pos="2592"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New CNS Indication Development Activities</w:t>
      </w:r>
      <w:r>
        <w:rPr>
          <w:rFonts w:ascii="Arial" w:cs="Arial" w:eastAsia="Arial" w:hAnsi="Arial"/>
          <w:sz w:val="19"/>
          <w:szCs w:val="19"/>
          <w:color w:val="auto"/>
        </w:rPr>
        <w:t>. In the event that TG Develops the Product for an Indication outside the Field that is indicated to treat a disease or condition of the central nervous system (each, a “</w:t>
      </w:r>
      <w:r>
        <w:rPr>
          <w:rFonts w:ascii="Arial" w:cs="Arial" w:eastAsia="Arial" w:hAnsi="Arial"/>
          <w:sz w:val="19"/>
          <w:szCs w:val="19"/>
          <w:b w:val="1"/>
          <w:bCs w:val="1"/>
          <w:i w:val="1"/>
          <w:iCs w:val="1"/>
          <w:color w:val="auto"/>
        </w:rPr>
        <w:t>New CNS Indication</w:t>
      </w:r>
      <w:r>
        <w:rPr>
          <w:rFonts w:ascii="Arial" w:cs="Arial" w:eastAsia="Arial" w:hAnsi="Arial"/>
          <w:sz w:val="19"/>
          <w:szCs w:val="19"/>
          <w:color w:val="auto"/>
        </w:rPr>
        <w:t>”), Company shall have the option to obtain an exclusive commercialization right, on a New CNS Indication-by-New CNS Indication basis, to use any Patents Rights and/or Technology arising as a result of or in connection with such New CNS Indication Development Activities (the “</w:t>
      </w:r>
      <w:r>
        <w:rPr>
          <w:rFonts w:ascii="Arial" w:cs="Arial" w:eastAsia="Arial" w:hAnsi="Arial"/>
          <w:sz w:val="19"/>
          <w:szCs w:val="19"/>
          <w:b w:val="1"/>
          <w:bCs w:val="1"/>
          <w:i w:val="1"/>
          <w:iCs w:val="1"/>
          <w:color w:val="auto"/>
        </w:rPr>
        <w:t>New CNS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Indication IP</w:t>
      </w:r>
      <w:r>
        <w:rPr>
          <w:rFonts w:ascii="Arial" w:cs="Arial" w:eastAsia="Arial" w:hAnsi="Arial"/>
          <w:sz w:val="19"/>
          <w:szCs w:val="19"/>
          <w:color w:val="auto"/>
        </w:rPr>
        <w:t>”), to the extent necessary to Commercialize the Product for such New CNS Indication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Territory. TG shall provide Company with written notice (a “</w:t>
      </w:r>
      <w:r>
        <w:rPr>
          <w:rFonts w:ascii="Arial" w:cs="Arial" w:eastAsia="Arial" w:hAnsi="Arial"/>
          <w:sz w:val="19"/>
          <w:szCs w:val="19"/>
          <w:b w:val="1"/>
          <w:bCs w:val="1"/>
          <w:i w:val="1"/>
          <w:iCs w:val="1"/>
          <w:color w:val="auto"/>
        </w:rPr>
        <w:t>New CNS Indication Notice</w:t>
      </w:r>
      <w:r>
        <w:rPr>
          <w:rFonts w:ascii="Arial" w:cs="Arial" w:eastAsia="Arial" w:hAnsi="Arial"/>
          <w:sz w:val="19"/>
          <w:szCs w:val="19"/>
          <w:color w:val="auto"/>
        </w:rPr>
        <w:t>”) of such New CNS Indication for the Product and a brief description of the associated Development activities (the “</w:t>
      </w:r>
      <w:r>
        <w:rPr>
          <w:rFonts w:ascii="Arial" w:cs="Arial" w:eastAsia="Arial" w:hAnsi="Arial"/>
          <w:sz w:val="19"/>
          <w:szCs w:val="19"/>
          <w:b w:val="1"/>
          <w:bCs w:val="1"/>
          <w:i w:val="1"/>
          <w:iCs w:val="1"/>
          <w:color w:val="auto"/>
        </w:rPr>
        <w:t>New CNS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Indication Development Activities</w:t>
      </w:r>
      <w:r>
        <w:rPr>
          <w:rFonts w:ascii="Arial" w:cs="Arial" w:eastAsia="Arial" w:hAnsi="Arial"/>
          <w:sz w:val="19"/>
          <w:szCs w:val="19"/>
          <w:color w:val="auto"/>
        </w:rPr>
        <w:t>”) as well as a break-down, in reasonable detail, of the costs actually incurred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likely to be incurred in the future by or on behalf of TG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09" w:name="page110"/>
    <w:bookmarkEnd w:id="109"/>
    <w:p>
      <w:pPr>
        <w:jc w:val="both"/>
        <w:spacing w:after="0" w:line="271" w:lineRule="auto"/>
        <w:rPr>
          <w:sz w:val="20"/>
          <w:szCs w:val="20"/>
          <w:color w:val="auto"/>
        </w:rPr>
      </w:pPr>
      <w:r>
        <w:rPr>
          <w:rFonts w:ascii="Arial" w:cs="Arial" w:eastAsia="Arial" w:hAnsi="Arial"/>
          <w:sz w:val="19"/>
          <w:szCs w:val="19"/>
          <w:color w:val="auto"/>
        </w:rPr>
        <w:t xml:space="preserve">the Effective Date in connection with the performance of the applicable New CNS Indication Development Activities. In the event that Company notifies TG that it is exercising the option described in this </w:t>
      </w:r>
      <w:r>
        <w:rPr>
          <w:rFonts w:ascii="Arial" w:cs="Arial" w:eastAsia="Arial" w:hAnsi="Arial"/>
          <w:sz w:val="19"/>
          <w:szCs w:val="19"/>
          <w:u w:val="single" w:color="auto"/>
          <w:color w:val="auto"/>
        </w:rPr>
        <w:t>Section 3.2.1(d)</w:t>
      </w:r>
      <w:r>
        <w:rPr>
          <w:rFonts w:ascii="Arial" w:cs="Arial" w:eastAsia="Arial" w:hAnsi="Arial"/>
          <w:sz w:val="19"/>
          <w:szCs w:val="19"/>
          <w:color w:val="auto"/>
        </w:rPr>
        <w:t xml:space="preserve"> with respect to a particular New CNS Indication within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the delivery of the applicable New CNS Indication Notice, then (i) the Parties shall enter into an addendum to this Agreement, pursuant to which the license granted in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shall be amended to include the applicable New CNS Indication IP and the Field shall be amended to reflect such New CNS Indication, (ii) TG shall invoice Company on a Calendar Quarterly basis, and Company shall reimburse TG, for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all reasonable costs actually incurred by or on behalf of TG following the Effective Date in connection with the performance of the applicable New CNS Indication Development Activities, and (iii) Company shall pay TG the milestone payments set forth in </w:t>
      </w:r>
      <w:r>
        <w:rPr>
          <w:rFonts w:ascii="Arial" w:cs="Arial" w:eastAsia="Arial" w:hAnsi="Arial"/>
          <w:sz w:val="19"/>
          <w:szCs w:val="19"/>
          <w:u w:val="single" w:color="auto"/>
          <w:color w:val="auto"/>
        </w:rPr>
        <w:t>Section 8.2.1</w:t>
      </w:r>
      <w:r>
        <w:rPr>
          <w:rFonts w:ascii="Arial" w:cs="Arial" w:eastAsia="Arial" w:hAnsi="Arial"/>
          <w:sz w:val="19"/>
          <w:szCs w:val="19"/>
          <w:color w:val="auto"/>
        </w:rPr>
        <w:t xml:space="preserve">. In the event that Company fails to notify TG that it is exercising the option described in this </w:t>
      </w:r>
      <w:r>
        <w:rPr>
          <w:rFonts w:ascii="Arial" w:cs="Arial" w:eastAsia="Arial" w:hAnsi="Arial"/>
          <w:sz w:val="19"/>
          <w:szCs w:val="19"/>
          <w:u w:val="single" w:color="auto"/>
          <w:color w:val="auto"/>
        </w:rPr>
        <w:t>Section 3.2.1(d)</w:t>
      </w:r>
      <w:r>
        <w:rPr>
          <w:rFonts w:ascii="Arial" w:cs="Arial" w:eastAsia="Arial" w:hAnsi="Arial"/>
          <w:sz w:val="19"/>
          <w:szCs w:val="19"/>
          <w:color w:val="auto"/>
        </w:rPr>
        <w:t xml:space="preserve"> with respect to a particular New CNS Indication during such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period or otherwise notifies TG earlier that it will not exercise such option, then Company shall have no rights with respect to the Product for the New CNS Indication, and, for clarity, TG shall have the right, whether itself or through its Affiliates or any Third Party, to Commercialize the Product for such New CNS Indication in the Territory; provided, however, that neither TG, its Affiliates nor a Third Party shall be entitled to Commercialize such New CNS Indication of the Product in the Territory under the Licensed Trademark.</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u w:val="single" w:color="auto"/>
          <w:color w:val="auto"/>
        </w:rPr>
        <w:t>Company Development Activities</w:t>
      </w:r>
      <w:r>
        <w:rPr>
          <w:rFonts w:ascii="Arial" w:cs="Arial" w:eastAsia="Arial" w:hAnsi="Arial"/>
          <w:sz w:val="22"/>
          <w:szCs w:val="22"/>
          <w:color w:val="auto"/>
        </w:rPr>
        <w:t>. Company shall perform the Company Development Activities at its cost.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Development Diligence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 xml:space="preserve">3.3.1 Company, and/or its Affiliates, Sublicensees, and Distributors shall use Commercially Reasonable Efforts during the Term to (a) conduct the Territory-Specific Requirements and, if approved in accordance with </w:t>
      </w:r>
      <w:r>
        <w:rPr>
          <w:rFonts w:ascii="Arial" w:cs="Arial" w:eastAsia="Arial" w:hAnsi="Arial"/>
          <w:sz w:val="22"/>
          <w:szCs w:val="22"/>
          <w:u w:val="single" w:color="auto"/>
          <w:color w:val="auto"/>
        </w:rPr>
        <w:t>Section 3.1.3</w:t>
      </w:r>
      <w:r>
        <w:rPr>
          <w:rFonts w:ascii="Arial" w:cs="Arial" w:eastAsia="Arial" w:hAnsi="Arial"/>
          <w:sz w:val="22"/>
          <w:szCs w:val="22"/>
          <w:color w:val="auto"/>
        </w:rPr>
        <w:t xml:space="preserve">, the Optional Territory-Based Development Activities, and (b) commit, maintain, and use such resources (including employees, consultants, contractors, facilities, equipment, and materials) as necessary to conduct the Territory-Specific Requirements as needed to obtain and maintain Marketing Authorization(s) for the Product in the Field in the Territory in a timely manner. Without limiting the foregoing, Company’s efforts described in this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shall comply with the diligence obligations set forth in the Hadam License.</w:t>
      </w:r>
    </w:p>
    <w:p>
      <w:pPr>
        <w:spacing w:after="0" w:line="187"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3.3.2 TG shall use commercially reasonable efforts during the Term to (a) conduct the Global PMCs/PMRs and Territory-Specific CMC PMCs, and (b) commit, maintain, and use such resources (including employees, consultants, contractors, facilities, equipment, and materials) as necessary to conduct such Global PMCs/PMRs and Territory-Specific CMC PMCs.</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Development Plan (Territory Growth)</w:t>
      </w:r>
      <w:r>
        <w:rPr>
          <w:rFonts w:ascii="Arial" w:cs="Arial" w:eastAsia="Arial" w:hAnsi="Arial"/>
          <w:sz w:val="22"/>
          <w:szCs w:val="22"/>
          <w:color w:val="auto"/>
        </w:rPr>
        <w:t xml:space="preserve">.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is an initial Development Plan prepared by Company for the Product in the Field in the Territory, including the sequence of Company’s anticipated activities to seek and obtain Marketing Authorization for the Product in the Field in the United Kingdom and additional countries and regions in the Territory, which are identified by Company as Company’s commercial priorities. During the Term, Company shall prepare and provide to the JSC an updated Development Plan for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0" w:name="page111"/>
    <w:bookmarkEnd w:id="110"/>
    <w:p>
      <w:pPr>
        <w:jc w:val="both"/>
        <w:spacing w:after="0" w:line="249" w:lineRule="auto"/>
        <w:rPr>
          <w:sz w:val="20"/>
          <w:szCs w:val="20"/>
          <w:color w:val="auto"/>
        </w:rPr>
      </w:pPr>
      <w:r>
        <w:rPr>
          <w:rFonts w:ascii="Arial" w:cs="Arial" w:eastAsia="Arial" w:hAnsi="Arial"/>
          <w:sz w:val="21"/>
          <w:szCs w:val="21"/>
          <w:color w:val="auto"/>
        </w:rPr>
        <w:t xml:space="preserve">no later than </w:t>
      </w:r>
      <w:r>
        <w:rPr>
          <w:rFonts w:ascii="Arial" w:cs="Arial" w:eastAsia="Arial" w:hAnsi="Arial"/>
          <w:sz w:val="16"/>
          <w:szCs w:val="16"/>
          <w:b w:val="1"/>
          <w:bCs w:val="1"/>
          <w:color w:val="auto"/>
        </w:rPr>
        <w:t>[***]</w:t>
      </w:r>
      <w:r>
        <w:rPr>
          <w:rFonts w:ascii="Arial" w:cs="Arial" w:eastAsia="Arial" w:hAnsi="Arial"/>
          <w:sz w:val="21"/>
          <w:szCs w:val="21"/>
          <w:color w:val="auto"/>
        </w:rPr>
        <w:t xml:space="preserve"> (</w:t>
      </w:r>
      <w:r>
        <w:rPr>
          <w:rFonts w:ascii="Arial" w:cs="Arial" w:eastAsia="Arial" w:hAnsi="Arial"/>
          <w:sz w:val="16"/>
          <w:szCs w:val="16"/>
          <w:b w:val="1"/>
          <w:bCs w:val="1"/>
          <w:color w:val="auto"/>
        </w:rPr>
        <w:t>[***]</w:t>
      </w:r>
      <w:r>
        <w:rPr>
          <w:rFonts w:ascii="Arial" w:cs="Arial" w:eastAsia="Arial" w:hAnsi="Arial"/>
          <w:sz w:val="21"/>
          <w:szCs w:val="21"/>
          <w:color w:val="auto"/>
        </w:rPr>
        <w:t xml:space="preserve">) </w:t>
      </w:r>
      <w:r>
        <w:rPr>
          <w:rFonts w:ascii="Arial" w:cs="Arial" w:eastAsia="Arial" w:hAnsi="Arial"/>
          <w:sz w:val="16"/>
          <w:szCs w:val="16"/>
          <w:b w:val="1"/>
          <w:bCs w:val="1"/>
          <w:color w:val="auto"/>
        </w:rPr>
        <w:t>[***]</w:t>
      </w:r>
      <w:r>
        <w:rPr>
          <w:rFonts w:ascii="Arial" w:cs="Arial" w:eastAsia="Arial" w:hAnsi="Arial"/>
          <w:sz w:val="21"/>
          <w:szCs w:val="21"/>
          <w:color w:val="auto"/>
        </w:rPr>
        <w:t xml:space="preserve"> prior to the end of each Calendar Year. Company shall seek health authority scientific advice to determine the pivotal studies deemed necessary for Product registration in the Field in the Territory at the earliest possible time. The advice received should be reflected in updated Development Plans. In the event of any conflict between the terms of the Development Plan and the terms and conditions of this Agreement, the terms and conditions of this Agreement shall prevail.</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Compliance</w:t>
      </w:r>
      <w:r>
        <w:rPr>
          <w:rFonts w:ascii="Arial" w:cs="Arial" w:eastAsia="Arial" w:hAnsi="Arial"/>
          <w:sz w:val="19"/>
          <w:szCs w:val="19"/>
          <w:color w:val="auto"/>
        </w:rPr>
        <w:t>. Each Party shall perform (and shall cause their respective Affiliates, licensees, and distributors to perform) (a) with respect to Company, the Company Development Activities, and (b) with respect to TG, Global PMCs/PMRs and Territory-Specific CMC PMCs, in each case, in good scientific manner and in compliance with all Applicable Laws. For purposes of clarity, with respect to such Development activities, each Party shall comply in all material respects with GLPs, GMPs, GVPs, and Good Clinical Practices (or, if and as appropriate under the circumstances, International Conference on Harmonization (“</w:t>
      </w:r>
      <w:r>
        <w:rPr>
          <w:rFonts w:ascii="Arial" w:cs="Arial" w:eastAsia="Arial" w:hAnsi="Arial"/>
          <w:sz w:val="19"/>
          <w:szCs w:val="19"/>
          <w:b w:val="1"/>
          <w:bCs w:val="1"/>
          <w:i w:val="1"/>
          <w:iCs w:val="1"/>
          <w:color w:val="auto"/>
        </w:rPr>
        <w:t>ICH</w:t>
      </w:r>
      <w:r>
        <w:rPr>
          <w:rFonts w:ascii="Arial" w:cs="Arial" w:eastAsia="Arial" w:hAnsi="Arial"/>
          <w:sz w:val="19"/>
          <w:szCs w:val="19"/>
          <w:color w:val="auto"/>
        </w:rPr>
        <w:t>”) guidance or other comparable regulation and guidance of any Regulatory Authority in the Territory, as applicable).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u w:val="single" w:color="auto"/>
          <w:color w:val="auto"/>
        </w:rPr>
        <w:t>Records; Reports</w:t>
      </w:r>
      <w:r>
        <w:rPr>
          <w:rFonts w:ascii="Arial" w:cs="Arial" w:eastAsia="Arial" w:hAnsi="Arial"/>
          <w:sz w:val="19"/>
          <w:szCs w:val="19"/>
          <w:color w:val="auto"/>
        </w:rPr>
        <w:t>.</w:t>
      </w:r>
    </w:p>
    <w:p>
      <w:pPr>
        <w:spacing w:after="0" w:line="20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3.6.1</w:t>
      </w:r>
      <w:r>
        <w:rPr>
          <w:sz w:val="20"/>
          <w:szCs w:val="20"/>
          <w:color w:val="auto"/>
        </w:rPr>
        <w:tab/>
      </w:r>
      <w:r>
        <w:rPr>
          <w:rFonts w:ascii="Arial" w:cs="Arial" w:eastAsia="Arial" w:hAnsi="Arial"/>
          <w:sz w:val="19"/>
          <w:szCs w:val="19"/>
          <w:u w:val="single" w:color="auto"/>
          <w:color w:val="auto"/>
        </w:rPr>
        <w:t>Company’s Obligations</w:t>
      </w:r>
      <w:r>
        <w:rPr>
          <w:rFonts w:ascii="Arial" w:cs="Arial" w:eastAsia="Arial" w:hAnsi="Arial"/>
          <w:sz w:val="19"/>
          <w:szCs w:val="19"/>
          <w:color w:val="auto"/>
        </w:rPr>
        <w:t>. Company and/or its Affiliates, Sublicensees, and Distributors shall</w:t>
      </w:r>
    </w:p>
    <w:p>
      <w:pPr>
        <w:spacing w:after="0" w:line="8" w:lineRule="exact"/>
        <w:rPr>
          <w:sz w:val="20"/>
          <w:szCs w:val="20"/>
          <w:color w:val="auto"/>
        </w:rPr>
      </w:pPr>
    </w:p>
    <w:p>
      <w:pPr>
        <w:jc w:val="both"/>
        <w:ind w:firstLine="8"/>
        <w:spacing w:after="0" w:line="266" w:lineRule="auto"/>
        <w:tabs>
          <w:tab w:leader="none" w:pos="318" w:val="left"/>
        </w:tabs>
        <w:numPr>
          <w:ilvl w:val="0"/>
          <w:numId w:val="66"/>
        </w:numPr>
        <w:rPr>
          <w:rFonts w:ascii="Arial" w:cs="Arial" w:eastAsia="Arial" w:hAnsi="Arial"/>
          <w:sz w:val="19"/>
          <w:szCs w:val="19"/>
          <w:color w:val="auto"/>
        </w:rPr>
      </w:pPr>
      <w:r>
        <w:rPr>
          <w:rFonts w:ascii="Arial" w:cs="Arial" w:eastAsia="Arial" w:hAnsi="Arial"/>
          <w:sz w:val="19"/>
          <w:szCs w:val="19"/>
          <w:color w:val="auto"/>
        </w:rPr>
        <w:t>maintain records of its activities relating to the Company Development Activities in sufficient detail and in good scientific manner appropriate for patent and regulatory purposes, which shall fully and properly reflect all work performed and results achieved in the performance of the Company Development Activities, and (b) keep the JSC regularly informed of the progress of the Company Development Activities, including without limitation, providing TG with an annual development report for the Product (each, a “</w:t>
      </w:r>
      <w:r>
        <w:rPr>
          <w:rFonts w:ascii="Arial" w:cs="Arial" w:eastAsia="Arial" w:hAnsi="Arial"/>
          <w:sz w:val="19"/>
          <w:szCs w:val="19"/>
          <w:b w:val="1"/>
          <w:bCs w:val="1"/>
          <w:i w:val="1"/>
          <w:iCs w:val="1"/>
          <w:color w:val="auto"/>
        </w:rPr>
        <w:t>Development Report</w:t>
      </w:r>
      <w:r>
        <w:rPr>
          <w:rFonts w:ascii="Arial" w:cs="Arial" w:eastAsia="Arial" w:hAnsi="Arial"/>
          <w:sz w:val="19"/>
          <w:szCs w:val="19"/>
          <w:color w:val="auto"/>
        </w:rPr>
        <w:t>”) (to be delivered with each annual update to the Development Plan) that summarizes: (i) significant Development activities conducted by Company (or its Affiliates, Sublicensees, and/or Distributors) during the preceding Calendar Year and results obtained with respect to the Compound and Product (including the status of all Clinical Trials), (ii) Significant Development Events applicable to the Compound and/or Product, (iii) a summary of all Arising IP conceived or reduced to practice by Company (or its Affiliates, Sublicensees, and/or Distributors) over such period, (iv) a non-binding estimate of the expected timing of any milestone events with respect to the Product, and</w:t>
      </w:r>
    </w:p>
    <w:p>
      <w:pPr>
        <w:spacing w:after="0" w:line="9" w:lineRule="exact"/>
        <w:rPr>
          <w:rFonts w:ascii="Arial" w:cs="Arial" w:eastAsia="Arial" w:hAnsi="Arial"/>
          <w:sz w:val="19"/>
          <w:szCs w:val="19"/>
          <w:color w:val="auto"/>
        </w:rPr>
      </w:pPr>
    </w:p>
    <w:p>
      <w:pPr>
        <w:jc w:val="both"/>
        <w:ind w:firstLine="8"/>
        <w:spacing w:after="0" w:line="234" w:lineRule="auto"/>
        <w:tabs>
          <w:tab w:leader="none" w:pos="317" w:val="left"/>
        </w:tabs>
        <w:numPr>
          <w:ilvl w:val="0"/>
          <w:numId w:val="67"/>
        </w:numPr>
        <w:rPr>
          <w:rFonts w:ascii="Arial" w:cs="Arial" w:eastAsia="Arial" w:hAnsi="Arial"/>
          <w:sz w:val="22"/>
          <w:szCs w:val="22"/>
          <w:color w:val="auto"/>
        </w:rPr>
      </w:pPr>
      <w:r>
        <w:rPr>
          <w:rFonts w:ascii="Arial" w:cs="Arial" w:eastAsia="Arial" w:hAnsi="Arial"/>
          <w:sz w:val="22"/>
          <w:szCs w:val="22"/>
          <w:color w:val="auto"/>
        </w:rPr>
        <w:t>such other information that Company has in its possession as may be reasonably requested from time to time by TG and/or the JSC. The Development Plan and each Development Report shall be deemed Company Confidential Information.</w:t>
      </w:r>
    </w:p>
    <w:p>
      <w:pPr>
        <w:spacing w:after="0" w:line="187"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3.6.2 </w:t>
      </w:r>
      <w:r>
        <w:rPr>
          <w:rFonts w:ascii="Arial" w:cs="Arial" w:eastAsia="Arial" w:hAnsi="Arial"/>
          <w:sz w:val="22"/>
          <w:szCs w:val="22"/>
          <w:u w:val="single" w:color="auto"/>
          <w:color w:val="auto"/>
        </w:rPr>
        <w:t>TG’s Obligations</w:t>
      </w:r>
      <w:r>
        <w:rPr>
          <w:rFonts w:ascii="Arial" w:cs="Arial" w:eastAsia="Arial" w:hAnsi="Arial"/>
          <w:sz w:val="22"/>
          <w:szCs w:val="22"/>
          <w:color w:val="auto"/>
        </w:rPr>
        <w:t>. TG and/or its Affiliates, licensees, and distributors shall (a) maintain records of its activities relating to the Global PMCs/PMRs and Territory-Specific CMC PMCs in sufficient detail and in good scientific manner appropriate for regulatory purposes, which shall fully and properly reflect all work performed and results achieved in the performance of such activities, and (b) keep the JSC regularly informed of the progress of the Global PMCs/PMRs and Territory-Specific CMC PMCs. All such information disclosed to the JSC shall be deemed TG Confidential Information.</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Disclosure; Right of Access</w:t>
      </w:r>
      <w:r>
        <w:rPr>
          <w:rFonts w:ascii="Arial" w:cs="Arial" w:eastAsia="Arial" w:hAnsi="Arial"/>
          <w:sz w:val="22"/>
          <w:szCs w:val="22"/>
          <w:color w:val="auto"/>
        </w:rPr>
        <w:t>. Upon request from TG, Company shall promptly provide TG with (a) a list of all sites at which Clinical Trials with respect to the Product in the Field are being conducted by or on behalf of Company as part of the Company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1" w:name="page112"/>
    <w:bookmarkEnd w:id="111"/>
    <w:p>
      <w:pPr>
        <w:jc w:val="both"/>
        <w:spacing w:after="0" w:line="246" w:lineRule="auto"/>
        <w:rPr>
          <w:sz w:val="20"/>
          <w:szCs w:val="20"/>
          <w:color w:val="auto"/>
        </w:rPr>
      </w:pPr>
      <w:r>
        <w:rPr>
          <w:rFonts w:ascii="Arial" w:cs="Arial" w:eastAsia="Arial" w:hAnsi="Arial"/>
          <w:sz w:val="21"/>
          <w:szCs w:val="21"/>
          <w:color w:val="auto"/>
        </w:rPr>
        <w:t>Activities; and (b) copies of all clinical trial protocols and associated regulatory documents with respect to such clinical trials. Additionally, Company shall promptly provide TG with access to all data (including non-clinical and Clinical Data), results, information, Patent Rights, and any other Technology arising as a result of, or generated by, the performance of the Company Development Activities (collectively, the “</w:t>
      </w:r>
      <w:r>
        <w:rPr>
          <w:rFonts w:ascii="Arial" w:cs="Arial" w:eastAsia="Arial" w:hAnsi="Arial"/>
          <w:sz w:val="21"/>
          <w:szCs w:val="21"/>
          <w:b w:val="1"/>
          <w:bCs w:val="1"/>
          <w:i w:val="1"/>
          <w:iCs w:val="1"/>
          <w:color w:val="auto"/>
        </w:rPr>
        <w:t>Company Data</w:t>
      </w:r>
      <w:r>
        <w:rPr>
          <w:rFonts w:ascii="Arial" w:cs="Arial" w:eastAsia="Arial" w:hAnsi="Arial"/>
          <w:sz w:val="21"/>
          <w:szCs w:val="21"/>
          <w:color w:val="auto"/>
        </w:rPr>
        <w:t>”). Company hereby grants TG a perpetual, irrevocable, exclusive, sublicensable, transferable, royalty-free, fully paid-up license to use the Company Data in connection with the Commercialization of the Product in the Excluded Territory and/or outside of the Field (whether in or outside the Territory) and/or the Development and/or Manufacture of the Product for any purpose.</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Clinical Trials in the Territory</w:t>
      </w:r>
      <w:r>
        <w:rPr>
          <w:rFonts w:ascii="Arial" w:cs="Arial" w:eastAsia="Arial" w:hAnsi="Arial"/>
          <w:sz w:val="19"/>
          <w:szCs w:val="19"/>
          <w:color w:val="auto"/>
        </w:rPr>
        <w:t xml:space="preserve">. For clarity, nothing herein (including </w:t>
      </w:r>
      <w:r>
        <w:rPr>
          <w:rFonts w:ascii="Arial" w:cs="Arial" w:eastAsia="Arial" w:hAnsi="Arial"/>
          <w:sz w:val="19"/>
          <w:szCs w:val="19"/>
          <w:u w:val="single" w:color="auto"/>
          <w:color w:val="auto"/>
        </w:rPr>
        <w:t>Section 7.4</w:t>
      </w:r>
      <w:r>
        <w:rPr>
          <w:rFonts w:ascii="Arial" w:cs="Arial" w:eastAsia="Arial" w:hAnsi="Arial"/>
          <w:sz w:val="19"/>
          <w:szCs w:val="19"/>
          <w:color w:val="auto"/>
        </w:rPr>
        <w:t>) shall restrict TG’s right to (a) conduct, directly or indirectly, Clinical Trials and any other supporting activity, for any purpose, with respect to the Product in the Territory, provided that such Clinical Trials are not being conducted for the purpose of satisfying Territory-Specific Requirements, and/or (b) provide education concerning, discuss, or otherwise communicate with medical professionals and/or key opinion leaders in the Territory regarding any Clinical Trials relating to the Product (whether conducted in the Territory or the Excluded Territory). TG shall keep Company reasonably informed regarding all material Development activities of the Product in the Field conducted in the Territory and all such education, discussions, and communications with medical professionals and/or key opinion leaders in the Territory. If Company reasonably believes that such Development activities may have a material negative effect on the Commercialization of the Product in the Field in the Territory, then Company shall deliver written notice to TG outlining such concerns in sufficient detail and TG shall review and consider such concerns in good faith, without any obligation on the part of TG to take any action or to refrain from taking any action in response to such concerns.</w:t>
      </w:r>
    </w:p>
    <w:p>
      <w:pPr>
        <w:spacing w:after="0" w:line="398" w:lineRule="exact"/>
        <w:rPr>
          <w:sz w:val="20"/>
          <w:szCs w:val="20"/>
          <w:color w:val="auto"/>
        </w:rPr>
      </w:pPr>
    </w:p>
    <w:p>
      <w:pPr>
        <w:ind w:left="3880" w:hanging="654"/>
        <w:spacing w:after="0"/>
        <w:tabs>
          <w:tab w:leader="none" w:pos="388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REGULATORY ACTIVITIES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For the sake of clarity, in this </w:t>
      </w:r>
      <w:r>
        <w:rPr>
          <w:rFonts w:ascii="Arial" w:cs="Arial" w:eastAsia="Arial" w:hAnsi="Arial"/>
          <w:sz w:val="22"/>
          <w:szCs w:val="22"/>
          <w:u w:val="single" w:color="auto"/>
          <w:color w:val="auto"/>
        </w:rPr>
        <w:t>Article 4</w:t>
      </w:r>
      <w:r>
        <w:rPr>
          <w:rFonts w:ascii="Arial" w:cs="Arial" w:eastAsia="Arial" w:hAnsi="Arial"/>
          <w:sz w:val="22"/>
          <w:szCs w:val="22"/>
          <w:color w:val="auto"/>
        </w:rPr>
        <w:t>, Company means Company, and where applicable, its Affiliates, Sublicensees, and Distributors.</w:t>
      </w:r>
    </w:p>
    <w:p>
      <w:pPr>
        <w:spacing w:after="0" w:line="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Responsibility for Regulatory Filings</w:t>
      </w:r>
      <w:r>
        <w:rPr>
          <w:rFonts w:ascii="Arial" w:cs="Arial" w:eastAsia="Arial" w:hAnsi="Arial"/>
          <w:sz w:val="19"/>
          <w:szCs w:val="19"/>
          <w:color w:val="auto"/>
        </w:rPr>
        <w:t xml:space="preserve">. Company shall have the sole right, and shall be solely responsible for, the preparation and filing of all Regulatory Filings and Drug Approval Applications required to Commercialize the Product in the Field in the Territory in its own name, and Company shall have the sole right and responsibility for maintaining all Regulatory Filings and/or Marketing Authorizations for the Product in the Field in the Territory; provided, upon Company’s reasonable request to TG, in the event that TG (by virtue of its knowledge of and experience with the Product) has background information and/or other expertise that could be useful in supporting Company’s obligations set forth in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then TG shall provide reasonable support and cooperation in connection with Company’s obligations set forth in this </w:t>
      </w:r>
      <w:r>
        <w:rPr>
          <w:rFonts w:ascii="Arial" w:cs="Arial" w:eastAsia="Arial" w:hAnsi="Arial"/>
          <w:sz w:val="19"/>
          <w:szCs w:val="19"/>
          <w:u w:val="single" w:color="auto"/>
          <w:color w:val="auto"/>
        </w:rPr>
        <w:t>Section 4.1</w:t>
      </w:r>
      <w:r>
        <w:rPr>
          <w:rFonts w:ascii="Arial" w:cs="Arial" w:eastAsia="Arial" w:hAnsi="Arial"/>
          <w:sz w:val="19"/>
          <w:szCs w:val="19"/>
          <w:color w:val="auto"/>
        </w:rPr>
        <w:t>; provided, further, however, that if any such reasonable support and cooperation is reasonably likely to require material and significant expenditure of resources, then the Parties shall discuss and agree in good faith the manner in which TG may reasonably support Company and reasonable compensation to TG by Company in light of any such material expenditures, prior to proceeding; provided, further, however, that Company shall be entitled to factor in any such compensation to TG when determining whether it is for Company commercially reasonable to Commercialize the Product in the Field in the relevant part of the Territory. For the avoidance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2" w:name="page113"/>
    <w:bookmarkEnd w:id="112"/>
    <w:p>
      <w:pPr>
        <w:jc w:val="both"/>
        <w:spacing w:after="0" w:line="269" w:lineRule="auto"/>
        <w:rPr>
          <w:sz w:val="20"/>
          <w:szCs w:val="20"/>
          <w:color w:val="auto"/>
        </w:rPr>
      </w:pPr>
      <w:r>
        <w:rPr>
          <w:rFonts w:ascii="Arial" w:cs="Arial" w:eastAsia="Arial" w:hAnsi="Arial"/>
          <w:sz w:val="19"/>
          <w:szCs w:val="19"/>
          <w:color w:val="auto"/>
        </w:rPr>
        <w:t xml:space="preserve">doubt, Company shall not make any filings with or commitments to any Regulatory Authority(ies) in the Territory that describe and/or bind the performance or function of the SBL Supply Chain (as defined in the Supply Agreement), including, without limitation, any aspect of the Manufacturing Process (as defined in the Supply Agreement), and/or that otherwise relate to the Manufacture of the Product, without TG’s prior written consent. To maximize market protection of the Product in the Field, Company shall, if appropriate, file for any orphan drug designations within requisite timeframes; provided, however, that the Parties acknowledge and agree that any such orphan drug designation and any other regulatory exclusivity shall not prevent TG from exercising its rights relating to the Compound and/or Product in the Territory (whether outside the Field, with respect to an MoA Product Improvement or a New CNS Indication for which Company does not exercise its option, and/or with respect to a ROFN Product for which the Parties do not enter into a definitive agreement), and Company shall cooperate, take any steps or actions, and execute and deliver any and all documents and/or instruments necessary or helpful to support TG’s full and complete enjoyment of its rights (including, without limitation, before any applicable Regulatory Authority). Company shall obtain and maintain Marketing Authorizations with respect to the Product in the Field in the European Union and any other Key Market, and shall use Commercially Reasonable Efforts to obtain and maintain Marketing Authorizations with respect to the Product in the Field in the remainder of the Territory, including in accordance with the timelines reasonably requested by TG. For the avoidance of doubt, the Parties acknowledge and agree that Company’s failure to meet the obligations set forth in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shall be considered a material breach of this Agreement, and TG will have the right to terminate this Agreement in accordance with </w:t>
      </w:r>
      <w:r>
        <w:rPr>
          <w:rFonts w:ascii="Arial" w:cs="Arial" w:eastAsia="Arial" w:hAnsi="Arial"/>
          <w:sz w:val="19"/>
          <w:szCs w:val="19"/>
          <w:u w:val="single" w:color="auto"/>
          <w:color w:val="auto"/>
        </w:rPr>
        <w:t>Section 11.2.2</w:t>
      </w:r>
      <w:r>
        <w:rPr>
          <w:rFonts w:ascii="Arial" w:cs="Arial" w:eastAsia="Arial" w:hAnsi="Arial"/>
          <w:sz w:val="19"/>
          <w:szCs w:val="19"/>
          <w:color w:val="auto"/>
        </w:rPr>
        <w:t>, in addition to any other rights or remedies available at law or in equity. Company hereby grants TG and its Affiliates and licensees a right of reference with respect to all Regulatory Filings, Drug Approval Applications, Marketing Authorizations, and other Regulatory Approvals relating to the Product for the purpose of Commercializing the Product (a) inside and/or outside the Field in the Excluded Territory, and (b) outside the Field within the Territory, and otherwise for the purpose of Developing and/or Manufacturing the Product.</w:t>
      </w:r>
    </w:p>
    <w:p>
      <w:pPr>
        <w:spacing w:after="0" w:line="200" w:lineRule="exact"/>
        <w:rPr>
          <w:sz w:val="20"/>
          <w:szCs w:val="20"/>
          <w:color w:val="auto"/>
        </w:rPr>
      </w:pP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Marketing Authorization</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4.2.1 </w:t>
      </w:r>
      <w:r>
        <w:rPr>
          <w:rFonts w:ascii="Arial" w:cs="Arial" w:eastAsia="Arial" w:hAnsi="Arial"/>
          <w:sz w:val="22"/>
          <w:szCs w:val="22"/>
          <w:u w:val="single" w:color="auto"/>
          <w:color w:val="auto"/>
        </w:rPr>
        <w:t>Marketing Authorization Holder</w:t>
      </w:r>
      <w:r>
        <w:rPr>
          <w:rFonts w:ascii="Arial" w:cs="Arial" w:eastAsia="Arial" w:hAnsi="Arial"/>
          <w:sz w:val="22"/>
          <w:szCs w:val="22"/>
          <w:color w:val="auto"/>
        </w:rPr>
        <w:t>. Company shall be the holder of all Regulatory Approvals of the Product in the Field in the Territory, including the holder of the Marketing Authorization for the Product in the Field in the Territory.</w:t>
      </w:r>
    </w:p>
    <w:p>
      <w:pPr>
        <w:spacing w:after="0" w:line="186"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4.2.2 </w:t>
      </w:r>
      <w:r>
        <w:rPr>
          <w:rFonts w:ascii="Arial" w:cs="Arial" w:eastAsia="Arial" w:hAnsi="Arial"/>
          <w:sz w:val="21"/>
          <w:szCs w:val="21"/>
          <w:u w:val="single" w:color="auto"/>
          <w:color w:val="auto"/>
        </w:rPr>
        <w:t>Marketing Authorization Transfer</w:t>
      </w:r>
      <w:r>
        <w:rPr>
          <w:rFonts w:ascii="Arial" w:cs="Arial" w:eastAsia="Arial" w:hAnsi="Arial"/>
          <w:sz w:val="21"/>
          <w:szCs w:val="21"/>
          <w:color w:val="auto"/>
        </w:rPr>
        <w:t xml:space="preserve">. The Marketing Authorization marketing the Product in the Field in the European Economic Area has been issued by receipt of the decision of the European Commission on 1 June 2023 (ref. EU/1/23/1730 - EMEA/H/C/005914/0000). Promptly after the Effective Date, TG shall, without undue delay, procure that the then current holder of the Marketing Authorization transfers such Marketing Authorization to Company. With respect to such Marketing Authorization transfer, TG shall use commercially reasonable efforts to (a) execute and/or deliver all necessary regulatory documents required for such Marketing Authorization transfer, (b) provide Company with reasonable assistance in connection with the consummation of such Marketing Authorization transfer, at Company's cost and expense, and (c) provide Company with copies of the materials identified on </w:t>
      </w:r>
      <w:r>
        <w:rPr>
          <w:rFonts w:ascii="Arial" w:cs="Arial" w:eastAsia="Arial" w:hAnsi="Arial"/>
          <w:sz w:val="21"/>
          <w:szCs w:val="21"/>
          <w:u w:val="single" w:color="auto"/>
          <w:color w:val="auto"/>
        </w:rPr>
        <w:t>Schedule 4.2.2(c)</w:t>
      </w:r>
      <w:r>
        <w:rPr>
          <w:rFonts w:ascii="Arial" w:cs="Arial" w:eastAsia="Arial" w:hAnsi="Arial"/>
          <w:sz w:val="21"/>
          <w:szCs w:val="21"/>
          <w:color w:val="auto"/>
        </w:rPr>
        <w:t>.</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Disclosure of Certain Events</w:t>
      </w:r>
      <w:r>
        <w:rPr>
          <w:rFonts w:ascii="Arial" w:cs="Arial" w:eastAsia="Arial" w:hAnsi="Arial"/>
          <w:sz w:val="22"/>
          <w:szCs w:val="22"/>
          <w:color w:val="auto"/>
        </w:rPr>
        <w:t xml:space="preserve"> . The Parties hereby, agree to report to each other all Adverse Events and/or Serious Adverse Events with respect to the Product in the Field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3" w:name="page114"/>
    <w:bookmarkEnd w:id="113"/>
    <w:p>
      <w:pPr>
        <w:jc w:val="both"/>
        <w:spacing w:after="0" w:line="271" w:lineRule="auto"/>
        <w:rPr>
          <w:sz w:val="20"/>
          <w:szCs w:val="20"/>
          <w:color w:val="auto"/>
        </w:rPr>
      </w:pPr>
      <w:r>
        <w:rPr>
          <w:rFonts w:ascii="Arial" w:cs="Arial" w:eastAsia="Arial" w:hAnsi="Arial"/>
          <w:sz w:val="19"/>
          <w:szCs w:val="19"/>
          <w:color w:val="auto"/>
        </w:rPr>
        <w:t xml:space="preserve">Territory without undue delay after having obtained knowledge of such events, within timeframes consistent to enable the reporting party to comply with reporting obligations under Applicable Laws, and, subject to the foregoing, no later than (i)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for reporting the source documentation of any Serious Adverse Events, (ii)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to provide the formal report of a Serious Adverse Event and (iii) quarterly for Adverse Events, which reports shall, in each case of (ii) and (iii), include the circumstances and nature of such Serious Adverse Event or Adverse Event as required for reporting under Applicable Laws. In addition, to the extent requested by either Party, the other Party shall promptly provide to the requesting Party any other information or materials that the requesting Party may require to provide to any Regulatory Authority with respect to any such Adverse Event or Serious Adverse Event. All disclosures made under this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shall be deemed the Confidential Information of both Parties; provided, however, that nothing herein shall restrict, in any way, either Party’s ability to report the occurrence, circumstances and nature of such Adverse Event and/or Serious Adverse Event to any Regulatory Authority solely insofar as such reporting is reasonably required to comply with Applicable Laws. TG shall be solely responsible for holding and maintaining a global safety database for the Product. No later than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following the Effective Date, the Parties shall enter into a global pharmacovigilance and safety agreement, on customary terms.</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Communication with Regulatory Authorities in the Territory</w:t>
      </w:r>
      <w:r>
        <w:rPr>
          <w:rFonts w:ascii="Arial" w:cs="Arial" w:eastAsia="Arial" w:hAnsi="Arial"/>
          <w:sz w:val="19"/>
          <w:szCs w:val="19"/>
          <w:color w:val="auto"/>
        </w:rPr>
        <w:t xml:space="preserve">. Company shall have the sole right, and shall be solely responsible for, all communications with any Regulatory Authority regarding the Product in the Field in the Territory, except with respect to Global Development Activities that take place in the Territory (for which TG shall have the sole right to communicate with the applicable Regulatory Authorities in accordance with </w:t>
      </w:r>
      <w:r>
        <w:rPr>
          <w:rFonts w:ascii="Arial" w:cs="Arial" w:eastAsia="Arial" w:hAnsi="Arial"/>
          <w:sz w:val="19"/>
          <w:szCs w:val="19"/>
          <w:u w:val="single" w:color="auto"/>
          <w:color w:val="auto"/>
        </w:rPr>
        <w:t>Section 4.6</w:t>
      </w:r>
      <w:r>
        <w:rPr>
          <w:rFonts w:ascii="Arial" w:cs="Arial" w:eastAsia="Arial" w:hAnsi="Arial"/>
          <w:sz w:val="19"/>
          <w:szCs w:val="19"/>
          <w:color w:val="auto"/>
        </w:rPr>
        <w:t>); provided, however, that Company shall promptly (a) notify TG of any information received regarding any threatened or pending action by any Regulatory Authority that might affect the Product or continued Commercialization of the Product in the Field in the Territory, and (b) provide TG with copies of all material correspondence with any Regulatory Authority, to the extent related to the Product in the Field in the Territory, including, without limitation, correspondence relating to (i) Drug Approval Applications, Marketing Authorizations, or other Regulatory Approvals, (ii) regulatory actions, and (iii) recalls (whether voluntary or mandatory). TG shall be entitled to review and provide comments on any proposed material communication with any Regulatory Authority relating to the Product in the Field in the Territory, and Company shall consider all such comments in good faith; provided, however, that, notwithstanding the foregoing, Company’s obligation to consult with TG shall be subject to Company’s good faith determination that the time required to so consult would not materially impair the availability of rights or remedies, or increase exposure, in connection with such communication. Company will use commercially reasonable efforts to submit communications to Regulatory Authorities relating to the Product in the Field in the Territory in accordance with timelines reasonably requested by TG. Company shall keep the JSC reasonably informed regarding any non-routine communications with any Regulatory Authority in connection with the Product in the Field in the Territory, Drug Approval Application, Marketing Authorization, or other Regulatory Approval, including any additional Development work required by any Regulatory Authority with respect to the Product in the Field in the Territory.</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Meeting with Regulatory Authorities in the Territory</w:t>
      </w:r>
      <w:r>
        <w:rPr>
          <w:rFonts w:ascii="Arial" w:cs="Arial" w:eastAsia="Arial" w:hAnsi="Arial"/>
          <w:sz w:val="22"/>
          <w:szCs w:val="22"/>
          <w:color w:val="auto"/>
        </w:rPr>
        <w:t xml:space="preserve">. Company shall use reasonable efforts to provide TG with at least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xml:space="preserve"> advance notice of any meeting with any Regulatory Authority in the Territory regarding the Drug Approval Application or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4" w:name="page115"/>
    <w:bookmarkEnd w:id="114"/>
    <w:p>
      <w:pPr>
        <w:jc w:val="both"/>
        <w:spacing w:after="0" w:line="238" w:lineRule="auto"/>
        <w:rPr>
          <w:sz w:val="20"/>
          <w:szCs w:val="20"/>
          <w:color w:val="auto"/>
        </w:rPr>
      </w:pPr>
      <w:r>
        <w:rPr>
          <w:rFonts w:ascii="Arial" w:cs="Arial" w:eastAsia="Arial" w:hAnsi="Arial"/>
          <w:sz w:val="22"/>
          <w:szCs w:val="22"/>
          <w:color w:val="auto"/>
        </w:rPr>
        <w:t>Authorization for the Product in the Field, or any inspection to be conducted by any Regulatory Authority at any site which Clinical Trials with respect to the Product in the Field are being conducted by or on behalf of Company, and TG may elect to send one (1) person to participate as an observer (at TG’s sole cost and expense) in such meeting or inspection.</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TG’s Communications with Regulatory Authorities</w:t>
      </w:r>
      <w:r>
        <w:rPr>
          <w:rFonts w:ascii="Arial" w:cs="Arial" w:eastAsia="Arial" w:hAnsi="Arial"/>
          <w:sz w:val="19"/>
          <w:szCs w:val="19"/>
          <w:color w:val="auto"/>
        </w:rPr>
        <w:t xml:space="preserve">. Notwithstanding any provision to the contrary, TG shall have the sole right to communicate and make filings with any Regulatory Authority in the Territory with respect to any Global Development Activities relating to CMC and/or any other Development activities conducted by or on behalf of TG with respect to the Product in the Territory (whether within or outside the Field). TG shall keep Company reasonably informed of its interactions with Regulatory Authorities to the extent relating to the Product in the Field in the Territory. Upon TG’s request, Company shall cooperate in connection with such activities and communications, including, without limitation, Company shall make any filings and/or send any communications to the applicable Regulatory Authority in the Territory with respect to such Global Development Activities relating to CMC and/or such other Development activities in accordance with TG’s instructions (for clarity, whether or not Company exercises its option in accordance with </w:t>
      </w:r>
      <w:r>
        <w:rPr>
          <w:rFonts w:ascii="Arial" w:cs="Arial" w:eastAsia="Arial" w:hAnsi="Arial"/>
          <w:sz w:val="19"/>
          <w:szCs w:val="19"/>
          <w:u w:val="single" w:color="auto"/>
          <w:color w:val="auto"/>
        </w:rPr>
        <w:t>Section 3.2.1(c)</w:t>
      </w:r>
      <w:r>
        <w:rPr>
          <w:rFonts w:ascii="Arial" w:cs="Arial" w:eastAsia="Arial" w:hAnsi="Arial"/>
          <w:sz w:val="19"/>
          <w:szCs w:val="19"/>
          <w:color w:val="auto"/>
        </w:rPr>
        <w:t>, as applicable) and shall otherwise take any steps or actions and execute and deliver any and all documents and instruments necessary or useful to support TG’s exercise of its right to conduct the activities contemplated hereby, including, without limitation, to the extent required under Applicable Law, a power of attorney authorizing TG to communicate and make filings with such Regulatory Authority in the Territory with respect to Global Development Activities relating to CMC and/or such other Development Activities.</w:t>
      </w:r>
    </w:p>
    <w:p>
      <w:pPr>
        <w:spacing w:after="0" w:line="200" w:lineRule="exact"/>
        <w:rPr>
          <w:sz w:val="20"/>
          <w:szCs w:val="20"/>
          <w:color w:val="auto"/>
        </w:rPr>
      </w:pPr>
    </w:p>
    <w:p>
      <w:pPr>
        <w:spacing w:after="0" w:line="201" w:lineRule="exact"/>
        <w:rPr>
          <w:sz w:val="20"/>
          <w:szCs w:val="20"/>
          <w:color w:val="auto"/>
        </w:rPr>
      </w:pPr>
    </w:p>
    <w:p>
      <w:pPr>
        <w:ind w:left="4040" w:hanging="646"/>
        <w:spacing w:after="0"/>
        <w:tabs>
          <w:tab w:leader="none" w:pos="404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COMMERCIALIZATION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For the sake of clarity, in this </w:t>
      </w:r>
      <w:r>
        <w:rPr>
          <w:rFonts w:ascii="Arial" w:cs="Arial" w:eastAsia="Arial" w:hAnsi="Arial"/>
          <w:sz w:val="22"/>
          <w:szCs w:val="22"/>
          <w:u w:val="single" w:color="auto"/>
          <w:color w:val="auto"/>
        </w:rPr>
        <w:t>Article 5</w:t>
      </w:r>
      <w:r>
        <w:rPr>
          <w:rFonts w:ascii="Arial" w:cs="Arial" w:eastAsia="Arial" w:hAnsi="Arial"/>
          <w:sz w:val="22"/>
          <w:szCs w:val="22"/>
          <w:color w:val="auto"/>
        </w:rPr>
        <w:t>, Company means Company, and where applicable, its Affiliates, Sublicensees, and Distributors.</w:t>
      </w:r>
    </w:p>
    <w:p>
      <w:pPr>
        <w:spacing w:after="0" w:line="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Commercialization Plan</w:t>
      </w:r>
      <w:r>
        <w:rPr>
          <w:rFonts w:ascii="Arial" w:cs="Arial" w:eastAsia="Arial" w:hAnsi="Arial"/>
          <w:sz w:val="19"/>
          <w:szCs w:val="19"/>
          <w:color w:val="auto"/>
        </w:rPr>
        <w:t xml:space="preserve">. Company’s Commercialization Plan for the Product in the Field in the Territory is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During the Term, Company shall update the Commercialization Plan for the Product in the Field in the Territory annually and deliver such updated Commercialization Plan(s) to TG no later than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prior to the end of each Calendar Year. Without limiting the generality of </w:t>
      </w:r>
      <w:r>
        <w:rPr>
          <w:rFonts w:ascii="Arial" w:cs="Arial" w:eastAsia="Arial" w:hAnsi="Arial"/>
          <w:sz w:val="19"/>
          <w:szCs w:val="19"/>
          <w:u w:val="single" w:color="auto"/>
          <w:color w:val="auto"/>
        </w:rPr>
        <w:t>Section 1.26</w:t>
      </w:r>
      <w:r>
        <w:rPr>
          <w:rFonts w:ascii="Arial" w:cs="Arial" w:eastAsia="Arial" w:hAnsi="Arial"/>
          <w:sz w:val="19"/>
          <w:szCs w:val="19"/>
          <w:color w:val="auto"/>
        </w:rPr>
        <w:t xml:space="preserve">, each Commercialization Plan shall include a market penetration and market coverage, launch (as applicable), and sales plan, including minimum net revenues and the size of the proposed sales force, as well as integration with medical information, key opinion leader (KOL) engagement, and size and positioning of medical science liaisons (MSLs) for the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period immediately following the submission of such Commercialization Plan (the “</w:t>
      </w:r>
      <w:r>
        <w:rPr>
          <w:rFonts w:ascii="Arial" w:cs="Arial" w:eastAsia="Arial" w:hAnsi="Arial"/>
          <w:sz w:val="15"/>
          <w:szCs w:val="15"/>
          <w:b w:val="1"/>
          <w:bCs w:val="1"/>
          <w:color w:val="auto"/>
        </w:rPr>
        <w:t>[***]</w:t>
      </w:r>
      <w:r>
        <w:rPr>
          <w:rFonts w:ascii="Arial" w:cs="Arial" w:eastAsia="Arial" w:hAnsi="Arial"/>
          <w:sz w:val="19"/>
          <w:szCs w:val="19"/>
          <w:b w:val="1"/>
          <w:bCs w:val="1"/>
          <w:i w:val="1"/>
          <w:iCs w:val="1"/>
          <w:color w:val="auto"/>
        </w:rPr>
        <w:t>-</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Commercialization Plan</w:t>
      </w:r>
      <w:r>
        <w:rPr>
          <w:rFonts w:ascii="Arial" w:cs="Arial" w:eastAsia="Arial" w:hAnsi="Arial"/>
          <w:sz w:val="19"/>
          <w:szCs w:val="19"/>
          <w:color w:val="auto"/>
        </w:rPr>
        <w:t xml:space="preserve">”). The </w:t>
      </w:r>
      <w:r>
        <w:rPr>
          <w:rFonts w:ascii="Arial" w:cs="Arial" w:eastAsia="Arial" w:hAnsi="Arial"/>
          <w:sz w:val="15"/>
          <w:szCs w:val="15"/>
          <w:b w:val="1"/>
          <w:bCs w:val="1"/>
          <w:color w:val="auto"/>
        </w:rPr>
        <w:t>[***]</w:t>
      </w:r>
      <w:r>
        <w:rPr>
          <w:rFonts w:ascii="Arial" w:cs="Arial" w:eastAsia="Arial" w:hAnsi="Arial"/>
          <w:sz w:val="19"/>
          <w:szCs w:val="19"/>
          <w:color w:val="auto"/>
        </w:rPr>
        <w:t>-</w:t>
      </w:r>
      <w:r>
        <w:rPr>
          <w:rFonts w:ascii="Arial" w:cs="Arial" w:eastAsia="Arial" w:hAnsi="Arial"/>
          <w:sz w:val="15"/>
          <w:szCs w:val="15"/>
          <w:b w:val="1"/>
          <w:bCs w:val="1"/>
          <w:color w:val="auto"/>
        </w:rPr>
        <w:t>[***]</w:t>
      </w:r>
      <w:r>
        <w:rPr>
          <w:rFonts w:ascii="Arial" w:cs="Arial" w:eastAsia="Arial" w:hAnsi="Arial"/>
          <w:sz w:val="19"/>
          <w:szCs w:val="19"/>
          <w:color w:val="auto"/>
        </w:rPr>
        <w:t xml:space="preserve"> Commercialization Plan shall be reasonably powered, including with financial and personnel resources (including both sales and medical affairs and support resources) to achieve the market potential as set forth in </w:t>
      </w:r>
      <w:r>
        <w:rPr>
          <w:rFonts w:ascii="Arial" w:cs="Arial" w:eastAsia="Arial" w:hAnsi="Arial"/>
          <w:sz w:val="19"/>
          <w:szCs w:val="19"/>
          <w:u w:val="single" w:color="auto"/>
          <w:color w:val="auto"/>
        </w:rPr>
        <w:t>Schedule 5.1</w:t>
      </w:r>
      <w:r>
        <w:rPr>
          <w:rFonts w:ascii="Arial" w:cs="Arial" w:eastAsia="Arial" w:hAnsi="Arial"/>
          <w:sz w:val="19"/>
          <w:szCs w:val="19"/>
          <w:color w:val="auto"/>
        </w:rPr>
        <w:t xml:space="preserve">. Year over year, Company shall not materially reduce any commitments (including, without limitation, resources, finances, and/or minimum net revenues) set forth in the </w:t>
      </w:r>
      <w:r>
        <w:rPr>
          <w:rFonts w:ascii="Arial" w:cs="Arial" w:eastAsia="Arial" w:hAnsi="Arial"/>
          <w:sz w:val="15"/>
          <w:szCs w:val="15"/>
          <w:b w:val="1"/>
          <w:bCs w:val="1"/>
          <w:color w:val="auto"/>
        </w:rPr>
        <w:t>[***]</w:t>
      </w:r>
      <w:r>
        <w:rPr>
          <w:rFonts w:ascii="Arial" w:cs="Arial" w:eastAsia="Arial" w:hAnsi="Arial"/>
          <w:sz w:val="19"/>
          <w:szCs w:val="19"/>
          <w:color w:val="auto"/>
        </w:rPr>
        <w:t>-</w:t>
      </w:r>
      <w:r>
        <w:rPr>
          <w:rFonts w:ascii="Arial" w:cs="Arial" w:eastAsia="Arial" w:hAnsi="Arial"/>
          <w:sz w:val="15"/>
          <w:szCs w:val="15"/>
          <w:b w:val="1"/>
          <w:bCs w:val="1"/>
          <w:color w:val="auto"/>
        </w:rPr>
        <w:t>[***]</w:t>
      </w:r>
      <w:r>
        <w:rPr>
          <w:rFonts w:ascii="Arial" w:cs="Arial" w:eastAsia="Arial" w:hAnsi="Arial"/>
          <w:sz w:val="19"/>
          <w:szCs w:val="19"/>
          <w:color w:val="auto"/>
        </w:rPr>
        <w:t xml:space="preserve"> Commercialization Plan, without TG’s prior written consent in its sole discretion.</w:t>
      </w:r>
    </w:p>
    <w:p>
      <w:pPr>
        <w:spacing w:after="0" w:line="1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Responsibility for Commercialization</w:t>
      </w:r>
      <w:r>
        <w:rPr>
          <w:rFonts w:ascii="Arial" w:cs="Arial" w:eastAsia="Arial" w:hAnsi="Arial"/>
          <w:sz w:val="22"/>
          <w:szCs w:val="22"/>
          <w:color w:val="auto"/>
        </w:rPr>
        <w:t>. Company shall have the primary right and responsibility for, and shall have primary control and authority over, at its sole cost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5" w:name="page116"/>
    <w:bookmarkEnd w:id="115"/>
    <w:p>
      <w:pPr>
        <w:jc w:val="both"/>
        <w:ind w:firstLine="8"/>
        <w:spacing w:after="0" w:line="234" w:lineRule="auto"/>
        <w:tabs>
          <w:tab w:leader="none" w:pos="365"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all aspects of the Commercialization of the Product in the Field in the Territory including the sole responsibility for booking sales of the Product in the Field in the Territory and for all returns, charge-backs, and rebates with respect to the Product in the Field in the Territory; and (b) the conduct of all pre-marketing, marketing, Branding (subject to </w:t>
      </w:r>
      <w:r>
        <w:rPr>
          <w:rFonts w:ascii="Arial" w:cs="Arial" w:eastAsia="Arial" w:hAnsi="Arial"/>
          <w:sz w:val="22"/>
          <w:szCs w:val="22"/>
          <w:u w:val="single" w:color="auto"/>
          <w:color w:val="auto"/>
        </w:rPr>
        <w:t>Section 2.1.3</w:t>
      </w:r>
      <w:r>
        <w:rPr>
          <w:rFonts w:ascii="Arial" w:cs="Arial" w:eastAsia="Arial" w:hAnsi="Arial"/>
          <w:sz w:val="22"/>
          <w:szCs w:val="22"/>
          <w:color w:val="auto"/>
        </w:rPr>
        <w:t>), promotion, sales, distribution, import and export activities (including securing pricing, reimbursement, and sales and marketing), and market access activities (including, without limitation, pricing and public funding) applicable to the Commercialization of the Product in the Field in the Territory.</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Commercialization Diligence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5.3.1 Company shall use Commercially Reasonable Efforts to Commercialize the Product in the Field in the Territory. The use of such Commercially Reasonable Efforts shall include that Company shall execute and comply with the </w:t>
      </w:r>
      <w:r>
        <w:rPr>
          <w:rFonts w:ascii="Arial" w:cs="Arial" w:eastAsia="Arial" w:hAnsi="Arial"/>
          <w:sz w:val="15"/>
          <w:szCs w:val="15"/>
          <w:b w:val="1"/>
          <w:bCs w:val="1"/>
          <w:color w:val="auto"/>
        </w:rPr>
        <w:t>[***]</w:t>
      </w:r>
      <w:r>
        <w:rPr>
          <w:rFonts w:ascii="Arial" w:cs="Arial" w:eastAsia="Arial" w:hAnsi="Arial"/>
          <w:sz w:val="19"/>
          <w:szCs w:val="19"/>
          <w:color w:val="auto"/>
        </w:rPr>
        <w:t>-</w:t>
      </w:r>
      <w:r>
        <w:rPr>
          <w:rFonts w:ascii="Arial" w:cs="Arial" w:eastAsia="Arial" w:hAnsi="Arial"/>
          <w:sz w:val="15"/>
          <w:szCs w:val="15"/>
          <w:b w:val="1"/>
          <w:bCs w:val="1"/>
          <w:color w:val="auto"/>
        </w:rPr>
        <w:t>[***]</w:t>
      </w:r>
      <w:r>
        <w:rPr>
          <w:rFonts w:ascii="Arial" w:cs="Arial" w:eastAsia="Arial" w:hAnsi="Arial"/>
          <w:sz w:val="19"/>
          <w:szCs w:val="19"/>
          <w:color w:val="auto"/>
        </w:rPr>
        <w:t xml:space="preserve"> Commercialization Plan; provided, however, that such execution and compliance shall not, alone, be sufficient to demonstrate satisfaction of the diligence obligation set forth in this </w:t>
      </w:r>
      <w:r>
        <w:rPr>
          <w:rFonts w:ascii="Arial" w:cs="Arial" w:eastAsia="Arial" w:hAnsi="Arial"/>
          <w:sz w:val="19"/>
          <w:szCs w:val="19"/>
          <w:u w:val="single" w:color="auto"/>
          <w:color w:val="auto"/>
        </w:rPr>
        <w:t>Section 5.3.1</w:t>
      </w:r>
      <w:r>
        <w:rPr>
          <w:rFonts w:ascii="Arial" w:cs="Arial" w:eastAsia="Arial" w:hAnsi="Arial"/>
          <w:sz w:val="19"/>
          <w:szCs w:val="19"/>
          <w:color w:val="auto"/>
        </w:rPr>
        <w:t>.</w:t>
      </w:r>
    </w:p>
    <w:p>
      <w:pPr>
        <w:spacing w:after="0" w:line="14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5.3.2</w:t>
      </w:r>
      <w:r>
        <w:rPr>
          <w:sz w:val="20"/>
          <w:szCs w:val="20"/>
          <w:color w:val="auto"/>
        </w:rPr>
        <w:tab/>
      </w:r>
      <w:r>
        <w:rPr>
          <w:rFonts w:ascii="Arial" w:cs="Arial" w:eastAsia="Arial" w:hAnsi="Arial"/>
          <w:sz w:val="19"/>
          <w:szCs w:val="19"/>
          <w:color w:val="auto"/>
        </w:rPr>
        <w:t xml:space="preserve">Without limiting the generality of </w:t>
      </w:r>
      <w:r>
        <w:rPr>
          <w:rFonts w:ascii="Arial" w:cs="Arial" w:eastAsia="Arial" w:hAnsi="Arial"/>
          <w:sz w:val="19"/>
          <w:szCs w:val="19"/>
          <w:u w:val="single" w:color="auto"/>
          <w:color w:val="auto"/>
        </w:rPr>
        <w:t>Section 5.3.1</w:t>
      </w:r>
      <w:r>
        <w:rPr>
          <w:rFonts w:ascii="Arial" w:cs="Arial" w:eastAsia="Arial" w:hAnsi="Arial"/>
          <w:sz w:val="19"/>
          <w:szCs w:val="19"/>
          <w:color w:val="auto"/>
        </w:rPr>
        <w:t>:</w:t>
      </w:r>
    </w:p>
    <w:p>
      <w:pPr>
        <w:spacing w:after="0" w:line="206" w:lineRule="exact"/>
        <w:rPr>
          <w:sz w:val="20"/>
          <w:szCs w:val="20"/>
          <w:color w:val="auto"/>
        </w:rPr>
      </w:pPr>
    </w:p>
    <w:p>
      <w:pPr>
        <w:jc w:val="both"/>
        <w:ind w:firstLine="1952"/>
        <w:spacing w:after="0" w:line="276" w:lineRule="auto"/>
        <w:tabs>
          <w:tab w:leader="none" w:pos="2592"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Company shall (i) to the extent legally permissible under Applicable Laws, commencing no later than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prior to the estimated date of First Commercial Sale of the Product in</w:t>
      </w:r>
    </w:p>
    <w:p>
      <w:pPr>
        <w:spacing w:after="0" w:line="231" w:lineRule="auto"/>
        <w:rPr>
          <w:sz w:val="20"/>
          <w:szCs w:val="20"/>
          <w:color w:val="auto"/>
        </w:rPr>
      </w:pPr>
      <w:r>
        <w:rPr>
          <w:rFonts w:ascii="Arial" w:cs="Arial" w:eastAsia="Arial" w:hAnsi="Arial"/>
          <w:sz w:val="22"/>
          <w:szCs w:val="22"/>
          <w:color w:val="auto"/>
        </w:rPr>
        <w:t>the Field in the Territory, conduct pre-marketing activities in the Territory with respect to the Product,</w:t>
      </w:r>
    </w:p>
    <w:p>
      <w:pPr>
        <w:spacing w:after="0" w:line="1" w:lineRule="exact"/>
        <w:rPr>
          <w:sz w:val="20"/>
          <w:szCs w:val="20"/>
          <w:color w:val="auto"/>
        </w:rPr>
      </w:pPr>
    </w:p>
    <w:p>
      <w:pPr>
        <w:jc w:val="both"/>
        <w:ind w:firstLine="8"/>
        <w:spacing w:after="0" w:line="271" w:lineRule="auto"/>
        <w:tabs>
          <w:tab w:leader="none" w:pos="331"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following receipt of Marketing Authorization with respect to the Product in the Field in the Territory, initiate and conduct such promotional activities determined by Company as may be required to develop a commercial market for, launch, and Commercialize the Product (including through direct conduct with key opinion leaders) in the Territory, and (iii) no later than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following the receipt of Marketing Authorization (and, if applicable, Pricing Approvals and Reimbursement Approvals) with respect to the Product in the Field in a given country in the Territory, complete the First Commercial Sale of the Product in such country. Notwithstanding any provision to the contrary, in the event that Company desires to engage key opinion leaders or other medical professionals based in the Excluded Territory for the purpose of developing a commercial market for, launching, and/or otherwise Commercializing the Product in the Territory, then Company shall provide TG with prior written notice and the Parties shall discuss and cooperate in good faith.</w:t>
      </w:r>
    </w:p>
    <w:p>
      <w:pPr>
        <w:spacing w:after="0" w:line="160" w:lineRule="exact"/>
        <w:rPr>
          <w:rFonts w:ascii="Arial" w:cs="Arial" w:eastAsia="Arial" w:hAnsi="Arial"/>
          <w:sz w:val="19"/>
          <w:szCs w:val="19"/>
          <w:color w:val="auto"/>
        </w:rPr>
      </w:pPr>
    </w:p>
    <w:p>
      <w:pPr>
        <w:jc w:val="both"/>
        <w:ind w:firstLine="1952"/>
        <w:spacing w:after="0" w:line="244" w:lineRule="auto"/>
        <w:tabs>
          <w:tab w:leader="none" w:pos="2592" w:val="left"/>
        </w:tabs>
        <w:numPr>
          <w:ilvl w:val="1"/>
          <w:numId w:val="72"/>
        </w:numPr>
        <w:rPr>
          <w:rFonts w:ascii="Arial" w:cs="Arial" w:eastAsia="Arial" w:hAnsi="Arial"/>
          <w:sz w:val="21"/>
          <w:szCs w:val="21"/>
          <w:color w:val="auto"/>
        </w:rPr>
      </w:pPr>
      <w:r>
        <w:rPr>
          <w:rFonts w:ascii="Arial" w:cs="Arial" w:eastAsia="Arial" w:hAnsi="Arial"/>
          <w:sz w:val="21"/>
          <w:szCs w:val="21"/>
          <w:color w:val="auto"/>
        </w:rPr>
        <w:t xml:space="preserve">Company shall establish and maintain a well-trained sales force for the Product in the Field in the Territory (including, for the avoidance of doubt, in accordance with the commitments set forth in the </w:t>
      </w:r>
      <w:r>
        <w:rPr>
          <w:rFonts w:ascii="Arial" w:cs="Arial" w:eastAsia="Arial" w:hAnsi="Arial"/>
          <w:sz w:val="16"/>
          <w:szCs w:val="16"/>
          <w:b w:val="1"/>
          <w:bCs w:val="1"/>
          <w:color w:val="auto"/>
        </w:rPr>
        <w:t>[***]</w:t>
      </w:r>
      <w:r>
        <w:rPr>
          <w:rFonts w:ascii="Arial" w:cs="Arial" w:eastAsia="Arial" w:hAnsi="Arial"/>
          <w:sz w:val="21"/>
          <w:szCs w:val="21"/>
          <w:color w:val="auto"/>
        </w:rPr>
        <w:t>-</w:t>
      </w:r>
      <w:r>
        <w:rPr>
          <w:rFonts w:ascii="Arial" w:cs="Arial" w:eastAsia="Arial" w:hAnsi="Arial"/>
          <w:sz w:val="16"/>
          <w:szCs w:val="16"/>
          <w:b w:val="1"/>
          <w:bCs w:val="1"/>
          <w:color w:val="auto"/>
        </w:rPr>
        <w:t>[***]</w:t>
      </w:r>
      <w:r>
        <w:rPr>
          <w:rFonts w:ascii="Arial" w:cs="Arial" w:eastAsia="Arial" w:hAnsi="Arial"/>
          <w:sz w:val="21"/>
          <w:szCs w:val="21"/>
          <w:color w:val="auto"/>
        </w:rPr>
        <w:t xml:space="preserve"> Commercialization Plan and </w:t>
      </w:r>
      <w:r>
        <w:rPr>
          <w:rFonts w:ascii="Arial" w:cs="Arial" w:eastAsia="Arial" w:hAnsi="Arial"/>
          <w:sz w:val="21"/>
          <w:szCs w:val="21"/>
          <w:u w:val="single" w:color="auto"/>
          <w:color w:val="auto"/>
        </w:rPr>
        <w:t>Section 5.3.2(c))</w:t>
      </w:r>
      <w:r>
        <w:rPr>
          <w:rFonts w:ascii="Arial" w:cs="Arial" w:eastAsia="Arial" w:hAnsi="Arial"/>
          <w:sz w:val="21"/>
          <w:szCs w:val="21"/>
          <w:color w:val="auto"/>
        </w:rPr>
        <w:t xml:space="preserve">, together with a well-trained support staff, adequate to service all the customers of Company and to ensure Coverage (as defined in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of the initial Commercialization Plan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at all Key Multiple Sclerosis Centers in the Territory; keep the sales force knowledgeable and fully informed as to the Product in the Field in the Territory; provide appropriate incentives consistent with normal business practices to sales representatives involved in the Commercialization of the Product in the Field in the Territory; maintain an effective distribution system for the Product in the Field in the Territory; transport and store the Product to preserve its quality in accordance with pre-determined QA requirements; obtain and maintain all licenses, approvals, and permits in the Territory necessary for Company to perform its obligations under this Agreement; establish and maintain suitable systems and records to enable a recall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6" w:name="page117"/>
    <w:bookmarkEnd w:id="116"/>
    <w:p>
      <w:pPr>
        <w:jc w:val="both"/>
        <w:spacing w:after="0" w:line="282" w:lineRule="auto"/>
        <w:rPr>
          <w:sz w:val="20"/>
          <w:szCs w:val="20"/>
          <w:color w:val="auto"/>
        </w:rPr>
      </w:pPr>
      <w:r>
        <w:rPr>
          <w:rFonts w:ascii="Arial" w:cs="Arial" w:eastAsia="Arial" w:hAnsi="Arial"/>
          <w:sz w:val="19"/>
          <w:szCs w:val="19"/>
          <w:color w:val="auto"/>
        </w:rPr>
        <w:t>Product in a timely, efficient, and accurate manner and otherwise in accordance with Applicable Laws; comply with all Applicable Laws, including, without limitation, those relating to sales, marketing, and reimbursement; without limiting the generality of the foregoing, ensure that no Product shipped by Company is adulterated or misbranded; maintain adequate control over the physical security of the Product; and cause all Affiliates, Sublicensees and subcontractors of Company to comply with Company’s obligations set forth herein.</w:t>
      </w:r>
    </w:p>
    <w:p>
      <w:pPr>
        <w:spacing w:after="0" w:line="147" w:lineRule="exact"/>
        <w:rPr>
          <w:sz w:val="20"/>
          <w:szCs w:val="20"/>
          <w:color w:val="auto"/>
        </w:rPr>
      </w:pPr>
    </w:p>
    <w:p>
      <w:pPr>
        <w:jc w:val="both"/>
        <w:ind w:firstLine="1952"/>
        <w:spacing w:after="0" w:line="264" w:lineRule="auto"/>
        <w:tabs>
          <w:tab w:leader="none" w:pos="2592" w:val="left"/>
        </w:tabs>
        <w:numPr>
          <w:ilvl w:val="0"/>
          <w:numId w:val="73"/>
        </w:numPr>
        <w:rPr>
          <w:rFonts w:ascii="Arial" w:cs="Arial" w:eastAsia="Arial" w:hAnsi="Arial"/>
          <w:sz w:val="20"/>
          <w:szCs w:val="20"/>
          <w:color w:val="auto"/>
        </w:rPr>
      </w:pPr>
      <w:r>
        <w:rPr>
          <w:rFonts w:ascii="Arial" w:cs="Arial" w:eastAsia="Arial" w:hAnsi="Arial"/>
          <w:sz w:val="20"/>
          <w:szCs w:val="20"/>
          <w:color w:val="auto"/>
        </w:rPr>
        <w:t>Company shall recruit and retain, following the Effective Date, new employees who will be dedicated to the Product in the Field in the Territory and who will perform the following activities: (i) medical representatives or medical science liaisons who perform in-person presentations of the Product in the Field to health care professionals in the Territory, and (ii) sales representatives and/or key account managers who perform sales calls in the Territory (each of (i) and (ii), a “</w:t>
      </w:r>
      <w:r>
        <w:rPr>
          <w:rFonts w:ascii="Arial" w:cs="Arial" w:eastAsia="Arial" w:hAnsi="Arial"/>
          <w:sz w:val="20"/>
          <w:szCs w:val="20"/>
          <w:b w:val="1"/>
          <w:bCs w:val="1"/>
          <w:i w:val="1"/>
          <w:iCs w:val="1"/>
          <w:color w:val="auto"/>
        </w:rPr>
        <w:t>New Sales Representative</w:t>
      </w:r>
      <w:r>
        <w:rPr>
          <w:rFonts w:ascii="Arial" w:cs="Arial" w:eastAsia="Arial" w:hAnsi="Arial"/>
          <w:sz w:val="20"/>
          <w:szCs w:val="20"/>
          <w:color w:val="auto"/>
        </w:rPr>
        <w:t xml:space="preserve">”), all in accordance with the </w:t>
      </w:r>
      <w:r>
        <w:rPr>
          <w:rFonts w:ascii="Arial" w:cs="Arial" w:eastAsia="Arial" w:hAnsi="Arial"/>
          <w:sz w:val="15"/>
          <w:szCs w:val="15"/>
          <w:b w:val="1"/>
          <w:bCs w:val="1"/>
          <w:color w:val="auto"/>
        </w:rPr>
        <w:t>[***]</w:t>
      </w:r>
      <w:r>
        <w:rPr>
          <w:rFonts w:ascii="Arial" w:cs="Arial" w:eastAsia="Arial" w:hAnsi="Arial"/>
          <w:sz w:val="19"/>
          <w:szCs w:val="19"/>
          <w:color w:val="auto"/>
        </w:rPr>
        <w:t>-</w:t>
      </w:r>
      <w:r>
        <w:rPr>
          <w:rFonts w:ascii="Arial" w:cs="Arial" w:eastAsia="Arial" w:hAnsi="Arial"/>
          <w:sz w:val="15"/>
          <w:szCs w:val="15"/>
          <w:b w:val="1"/>
          <w:bCs w:val="1"/>
          <w:color w:val="auto"/>
        </w:rPr>
        <w:t xml:space="preserve">[***] </w:t>
      </w:r>
      <w:r>
        <w:rPr>
          <w:rFonts w:ascii="Arial" w:cs="Arial" w:eastAsia="Arial" w:hAnsi="Arial"/>
          <w:sz w:val="19"/>
          <w:szCs w:val="19"/>
          <w:color w:val="auto"/>
        </w:rPr>
        <w:t>Commercialization Plan. Company shall (A) ensure that each New Sales Representative has no less</w:t>
      </w:r>
      <w:r>
        <w:rPr>
          <w:rFonts w:ascii="Arial" w:cs="Arial" w:eastAsia="Arial" w:hAnsi="Arial"/>
          <w:sz w:val="15"/>
          <w:szCs w:val="15"/>
          <w:b w:val="1"/>
          <w:bCs w:val="1"/>
          <w:color w:val="auto"/>
        </w:rPr>
        <w:t xml:space="preserve"> </w:t>
      </w:r>
      <w:r>
        <w:rPr>
          <w:rFonts w:ascii="Arial" w:cs="Arial" w:eastAsia="Arial" w:hAnsi="Arial"/>
          <w:sz w:val="19"/>
          <w:szCs w:val="19"/>
          <w:color w:val="auto"/>
        </w:rPr>
        <w:t xml:space="preserve">than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direct experience in the Multiple Sclerosis therapeutic category, and (B) ensure that each New Sales Representative has, in Company’s reasonable view, established relationships with key opinion leaders and other stakeholders in their respective geographic regions. All New Sales Representatives shall undergo training prior to entering the field and engaging with potential customers. Company’s training materials shall be consistent, in all respects, with any training materials provided by TG.</w:t>
      </w:r>
    </w:p>
    <w:p>
      <w:pPr>
        <w:spacing w:after="0" w:line="169" w:lineRule="exact"/>
        <w:rPr>
          <w:rFonts w:ascii="Arial" w:cs="Arial" w:eastAsia="Arial" w:hAnsi="Arial"/>
          <w:sz w:val="20"/>
          <w:szCs w:val="20"/>
          <w:color w:val="auto"/>
        </w:rPr>
      </w:pPr>
    </w:p>
    <w:p>
      <w:pPr>
        <w:ind w:firstLine="1952"/>
        <w:spacing w:after="0" w:line="250" w:lineRule="auto"/>
        <w:tabs>
          <w:tab w:leader="none" w:pos="2592"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Company’s efforts described in this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shall comply with the diligence obligations set forth in the Hadam License.</w:t>
      </w:r>
    </w:p>
    <w:p>
      <w:pPr>
        <w:spacing w:after="0" w:line="17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5.3.3 For the avoidance of doubt, the Parties acknowledge and agree that the failure to meet any of the obligations set forth in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shall be considered a material breach of this Agreement, and TG will have the right to terminate this Agreement in accordance with </w:t>
      </w:r>
      <w:r>
        <w:rPr>
          <w:rFonts w:ascii="Arial" w:cs="Arial" w:eastAsia="Arial" w:hAnsi="Arial"/>
          <w:sz w:val="19"/>
          <w:szCs w:val="19"/>
          <w:u w:val="single" w:color="auto"/>
          <w:color w:val="auto"/>
        </w:rPr>
        <w:t>Section 11.2.2</w:t>
      </w:r>
      <w:r>
        <w:rPr>
          <w:rFonts w:ascii="Arial" w:cs="Arial" w:eastAsia="Arial" w:hAnsi="Arial"/>
          <w:sz w:val="19"/>
          <w:szCs w:val="19"/>
          <w:color w:val="auto"/>
        </w:rPr>
        <w:t xml:space="preserve">, in addition to all other rights and remedies available to TG at law or in equity, provided that Company’s failure to meet any of the obligations set forth in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shall not be considered a material breach of this Agreement if such failure is due to Company not being supplied with the amount of Product ordered under the Supply Agreement (for whatever reason, but excluding Company’s fault, and provided that Company has satisfied its safety stock obligations set forth in the Supply Agreement and has exhausted its safety stock of the Product). If TG exercises its termination right under this </w:t>
      </w:r>
      <w:r>
        <w:rPr>
          <w:rFonts w:ascii="Arial" w:cs="Arial" w:eastAsia="Arial" w:hAnsi="Arial"/>
          <w:sz w:val="19"/>
          <w:szCs w:val="19"/>
          <w:u w:val="single" w:color="auto"/>
          <w:color w:val="auto"/>
        </w:rPr>
        <w:t>Section 5.3.3</w:t>
      </w:r>
      <w:r>
        <w:rPr>
          <w:rFonts w:ascii="Arial" w:cs="Arial" w:eastAsia="Arial" w:hAnsi="Arial"/>
          <w:sz w:val="19"/>
          <w:szCs w:val="19"/>
          <w:color w:val="auto"/>
        </w:rPr>
        <w:t xml:space="preserve">, notwithstanding anything to the contrary in </w:t>
      </w:r>
      <w:r>
        <w:rPr>
          <w:rFonts w:ascii="Arial" w:cs="Arial" w:eastAsia="Arial" w:hAnsi="Arial"/>
          <w:sz w:val="19"/>
          <w:szCs w:val="19"/>
          <w:u w:val="single" w:color="auto"/>
          <w:color w:val="auto"/>
        </w:rPr>
        <w:t>Section 11.2.2</w:t>
      </w:r>
      <w:r>
        <w:rPr>
          <w:rFonts w:ascii="Arial" w:cs="Arial" w:eastAsia="Arial" w:hAnsi="Arial"/>
          <w:sz w:val="19"/>
          <w:szCs w:val="19"/>
          <w:color w:val="auto"/>
        </w:rPr>
        <w:t>, it shall provide ninety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prior written notice of termination. If during the above mentioned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period Company cures such breach, then the termination shall be null and void.</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Medical Information and Materials</w:t>
      </w:r>
      <w:r>
        <w:rPr>
          <w:rFonts w:ascii="Arial" w:cs="Arial" w:eastAsia="Arial" w:hAnsi="Arial"/>
          <w:sz w:val="19"/>
          <w:szCs w:val="19"/>
          <w:color w:val="auto"/>
        </w:rPr>
        <w:t>. Without limiting the generality of the foregoing:</w:t>
      </w:r>
    </w:p>
    <w:p>
      <w:pPr>
        <w:spacing w:after="0" w:line="206"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5.4.1 </w:t>
      </w:r>
      <w:r>
        <w:rPr>
          <w:rFonts w:ascii="Arial" w:cs="Arial" w:eastAsia="Arial" w:hAnsi="Arial"/>
          <w:sz w:val="22"/>
          <w:szCs w:val="22"/>
          <w:u w:val="single" w:color="auto"/>
          <w:color w:val="auto"/>
        </w:rPr>
        <w:t>Medical Information</w:t>
      </w:r>
      <w:r>
        <w:rPr>
          <w:rFonts w:ascii="Arial" w:cs="Arial" w:eastAsia="Arial" w:hAnsi="Arial"/>
          <w:sz w:val="22"/>
          <w:szCs w:val="22"/>
          <w:color w:val="auto"/>
        </w:rPr>
        <w:t>. Company shall handle all medical questions or inquiries from members of the medical profession in the Territory regarding the Licensed Product in the Field. To the extent that any inquiry relates to a medical matter for which TG has already provided a medical information answer or is the subject of a prepared medical response, Company agrees to use such materials to ensure consistent global medical information dissemination. If a new inquiry arises, the Parties agree to discuss the issue and formulate a jointly agreeable response.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7" w:name="page118"/>
    <w:bookmarkEnd w:id="117"/>
    <w:p>
      <w:pPr>
        <w:jc w:val="both"/>
        <w:spacing w:after="0" w:line="250" w:lineRule="auto"/>
        <w:rPr>
          <w:sz w:val="20"/>
          <w:szCs w:val="20"/>
          <w:color w:val="auto"/>
        </w:rPr>
      </w:pPr>
      <w:r>
        <w:rPr>
          <w:rFonts w:ascii="Arial" w:cs="Arial" w:eastAsia="Arial" w:hAnsi="Arial"/>
          <w:sz w:val="22"/>
          <w:szCs w:val="22"/>
          <w:color w:val="auto"/>
        </w:rPr>
        <w:t>For the avoidance of doubt, Company shall not respond to any medical question or inquiry in the Excluded Territory.</w:t>
      </w:r>
    </w:p>
    <w:p>
      <w:pPr>
        <w:spacing w:after="0" w:line="175"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 xml:space="preserve">5.4.2 </w:t>
      </w:r>
      <w:r>
        <w:rPr>
          <w:rFonts w:ascii="Arial" w:cs="Arial" w:eastAsia="Arial" w:hAnsi="Arial"/>
          <w:sz w:val="22"/>
          <w:szCs w:val="22"/>
          <w:u w:val="single" w:color="auto"/>
          <w:color w:val="auto"/>
        </w:rPr>
        <w:t>Medical Materials</w:t>
      </w:r>
      <w:r>
        <w:rPr>
          <w:rFonts w:ascii="Arial" w:cs="Arial" w:eastAsia="Arial" w:hAnsi="Arial"/>
          <w:sz w:val="22"/>
          <w:szCs w:val="22"/>
          <w:color w:val="auto"/>
        </w:rPr>
        <w:t xml:space="preserve">. Company shall obtain the written approval of TG with respect to all materials prepared by Company with respect to the Product in the Field for use in the Territory, prior to the first use thereof, such approval (or rejection or other comments) to be provided by TG within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xml:space="preserve"> of receiving such medical materials; provided, however, that Company acknowledges and agrees that it shall be responsible for ensuring, and shall ensure, compliance of such medical materials with Applicable Laws and Marketing Authorizations and consistency with medical materials used by TG in the Excluded Territory and made available by TG to Company.</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Failure to Achieve Sales Targets</w:t>
      </w:r>
    </w:p>
    <w:p>
      <w:pPr>
        <w:spacing w:after="0" w:line="20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 xml:space="preserve">5.5.1 </w:t>
      </w:r>
      <w:r>
        <w:rPr>
          <w:rFonts w:ascii="Arial" w:cs="Arial" w:eastAsia="Arial" w:hAnsi="Arial"/>
          <w:sz w:val="19"/>
          <w:szCs w:val="19"/>
          <w:u w:val="single" w:color="auto"/>
          <w:color w:val="auto"/>
        </w:rPr>
        <w:t>Initial Period</w:t>
      </w:r>
      <w:r>
        <w:rPr>
          <w:rFonts w:ascii="Arial" w:cs="Arial" w:eastAsia="Arial" w:hAnsi="Arial"/>
          <w:sz w:val="19"/>
          <w:szCs w:val="19"/>
          <w:color w:val="auto"/>
        </w:rPr>
        <w:t xml:space="preserve">. For the first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Commercial </w:t>
      </w:r>
      <w:r>
        <w:rPr>
          <w:rFonts w:ascii="Arial" w:cs="Arial" w:eastAsia="Arial" w:hAnsi="Arial"/>
          <w:sz w:val="15"/>
          <w:szCs w:val="15"/>
          <w:b w:val="1"/>
          <w:bCs w:val="1"/>
          <w:color w:val="auto"/>
        </w:rPr>
        <w:t>[***]</w:t>
      </w:r>
      <w:r>
        <w:rPr>
          <w:rFonts w:ascii="Arial" w:cs="Arial" w:eastAsia="Arial" w:hAnsi="Arial"/>
          <w:sz w:val="19"/>
          <w:szCs w:val="19"/>
          <w:color w:val="auto"/>
        </w:rPr>
        <w:t xml:space="preserve"> following the date of First Commercial Sale in the Territory (the “</w:t>
      </w:r>
      <w:r>
        <w:rPr>
          <w:rFonts w:ascii="Arial" w:cs="Arial" w:eastAsia="Arial" w:hAnsi="Arial"/>
          <w:sz w:val="19"/>
          <w:szCs w:val="19"/>
          <w:b w:val="1"/>
          <w:bCs w:val="1"/>
          <w:i w:val="1"/>
          <w:iCs w:val="1"/>
          <w:color w:val="auto"/>
        </w:rPr>
        <w:t>Initial Period</w:t>
      </w:r>
      <w:r>
        <w:rPr>
          <w:rFonts w:ascii="Arial" w:cs="Arial" w:eastAsia="Arial" w:hAnsi="Arial"/>
          <w:sz w:val="19"/>
          <w:szCs w:val="19"/>
          <w:color w:val="auto"/>
        </w:rPr>
        <w:t xml:space="preserve">”), Company shall achieve the Sales Target for the Product in the Field in the Territory. If Company fails to achieve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the Sales Target for the Product in the Field in the Territory by completion of the Initial Period, Company shall, within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the end of the second Commercial Year, pay to TG a sum equal to the difference between the royalties paid on actual sales of the Product in the Field in the Territory and the royalties payable for </w:t>
      </w:r>
      <w:r>
        <w:rPr>
          <w:rFonts w:ascii="Arial" w:cs="Arial" w:eastAsia="Arial" w:hAnsi="Arial"/>
          <w:sz w:val="15"/>
          <w:szCs w:val="15"/>
          <w:b w:val="1"/>
          <w:bCs w:val="1"/>
          <w:color w:val="auto"/>
        </w:rPr>
        <w:t>[***]</w:t>
      </w:r>
      <w:r>
        <w:rPr>
          <w:rFonts w:ascii="Arial" w:cs="Arial" w:eastAsia="Arial" w:hAnsi="Arial"/>
          <w:sz w:val="19"/>
          <w:szCs w:val="19"/>
          <w:color w:val="auto"/>
        </w:rPr>
        <w:t xml:space="preserve"> of the Sales Target for the Product in the Field in the Territory for the Initial Period; provided, however, that such payment obligation shall not apply if the failure to achieve the Sales Target is due to a Product supply failure not attributable to Company (provided that Company has satisfied its safety stock obligations set forth in the Supply Agreement and has exhausted its safety stock of the Product). For clarity, failure to achieve the Sales Target only applies if the First Commercial Sale already occurred in the Territory. For purposes of this Agreement, “</w:t>
      </w:r>
      <w:r>
        <w:rPr>
          <w:rFonts w:ascii="Arial" w:cs="Arial" w:eastAsia="Arial" w:hAnsi="Arial"/>
          <w:sz w:val="19"/>
          <w:szCs w:val="19"/>
          <w:b w:val="1"/>
          <w:bCs w:val="1"/>
          <w:i w:val="1"/>
          <w:iCs w:val="1"/>
          <w:color w:val="auto"/>
        </w:rPr>
        <w:t>Commercial Years</w:t>
      </w:r>
      <w:r>
        <w:rPr>
          <w:rFonts w:ascii="Arial" w:cs="Arial" w:eastAsia="Arial" w:hAnsi="Arial"/>
          <w:sz w:val="19"/>
          <w:szCs w:val="19"/>
          <w:color w:val="auto"/>
        </w:rPr>
        <w:t xml:space="preserve"> ” means, with respect to the Product, the period commencing on the date of First Commercial Sale of the Product in the Field in the Territory and ending on the anniversary thereof and thereafter each successive period of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w:t>
      </w:r>
    </w:p>
    <w:p>
      <w:pPr>
        <w:spacing w:after="0" w:line="15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5.5.2 </w:t>
      </w:r>
      <w:r>
        <w:rPr>
          <w:rFonts w:ascii="Arial" w:cs="Arial" w:eastAsia="Arial" w:hAnsi="Arial"/>
          <w:sz w:val="19"/>
          <w:szCs w:val="19"/>
          <w:u w:val="single" w:color="auto"/>
          <w:color w:val="auto"/>
        </w:rPr>
        <w:t>Subsequent Periods</w:t>
      </w:r>
      <w:r>
        <w:rPr>
          <w:rFonts w:ascii="Arial" w:cs="Arial" w:eastAsia="Arial" w:hAnsi="Arial"/>
          <w:sz w:val="19"/>
          <w:szCs w:val="19"/>
          <w:color w:val="auto"/>
        </w:rPr>
        <w:t xml:space="preserve">. During each Commercial Year following the Initial Period, Company shall achieve the Sales Target for the Product in the Field in the Territory. If Company fails to achieve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the Sales Target for the Product in the Field in the Territory during any Commercial Year following the Initial Period, Company shall, within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the end of such Commercial Year, pay to TG a sum equal to the difference between the royalties paid on actual sales of the Product in the Field in the Territory and the royalties payable for </w:t>
      </w:r>
      <w:r>
        <w:rPr>
          <w:rFonts w:ascii="Arial" w:cs="Arial" w:eastAsia="Arial" w:hAnsi="Arial"/>
          <w:sz w:val="15"/>
          <w:szCs w:val="15"/>
          <w:b w:val="1"/>
          <w:bCs w:val="1"/>
          <w:color w:val="auto"/>
        </w:rPr>
        <w:t>[***]</w:t>
      </w:r>
      <w:r>
        <w:rPr>
          <w:rFonts w:ascii="Arial" w:cs="Arial" w:eastAsia="Arial" w:hAnsi="Arial"/>
          <w:sz w:val="19"/>
          <w:szCs w:val="19"/>
          <w:color w:val="auto"/>
        </w:rPr>
        <w:t xml:space="preserve"> of the Sales Target for the Product in the Field in the Territory for such Commercial Year; provided, however, that such payment obligation shall not apply if the failure to achieve the Sales Target is due to a Product supply failure not attributable to Company (provided that Company has satisfied its safety stock obligations set forth in the Supply Agreement and has exhausted its safety stock of the Product). For clarity, failure to achieve the Sales Target only applies if the First Commercial Sale already occurred in the Territory.</w:t>
      </w:r>
    </w:p>
    <w:p>
      <w:pPr>
        <w:spacing w:after="0" w:line="161"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5.5.3 </w:t>
      </w:r>
      <w:r>
        <w:rPr>
          <w:rFonts w:ascii="Arial" w:cs="Arial" w:eastAsia="Arial" w:hAnsi="Arial"/>
          <w:sz w:val="22"/>
          <w:szCs w:val="22"/>
          <w:u w:val="single" w:color="auto"/>
          <w:color w:val="auto"/>
        </w:rPr>
        <w:t>Right to Terminate</w:t>
      </w:r>
      <w:r>
        <w:rPr>
          <w:rFonts w:ascii="Arial" w:cs="Arial" w:eastAsia="Arial" w:hAnsi="Arial"/>
          <w:sz w:val="22"/>
          <w:szCs w:val="22"/>
          <w:color w:val="auto"/>
        </w:rPr>
        <w:t xml:space="preserve">. Without limiting the generality of </w:t>
      </w:r>
      <w:r>
        <w:rPr>
          <w:rFonts w:ascii="Arial" w:cs="Arial" w:eastAsia="Arial" w:hAnsi="Arial"/>
          <w:sz w:val="22"/>
          <w:szCs w:val="22"/>
          <w:u w:val="single" w:color="auto"/>
          <w:color w:val="auto"/>
        </w:rPr>
        <w:t>Sections 5.5.1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5.5.2</w:t>
      </w:r>
      <w:r>
        <w:rPr>
          <w:rFonts w:ascii="Arial" w:cs="Arial" w:eastAsia="Arial" w:hAnsi="Arial"/>
          <w:sz w:val="22"/>
          <w:szCs w:val="22"/>
          <w:color w:val="auto"/>
        </w:rPr>
        <w:t xml:space="preserve">, if LFB has sent or has threatened TG in writing to send to TG a termination notice pursuant to section 5.5.2 para. 2 of the LFB License (i.e., based on the grounds that TG failed to achieve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xml:space="preserve">) of the sales targets applicable under the LFB License for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consecutive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8" w:name="page119"/>
    <w:bookmarkEnd w:id="118"/>
    <w:p>
      <w:pPr>
        <w:jc w:val="both"/>
        <w:spacing w:after="0" w:line="244" w:lineRule="auto"/>
        <w:rPr>
          <w:sz w:val="20"/>
          <w:szCs w:val="20"/>
          <w:color w:val="auto"/>
        </w:rPr>
      </w:pPr>
      <w:r>
        <w:rPr>
          <w:rFonts w:ascii="Arial" w:cs="Arial" w:eastAsia="Arial" w:hAnsi="Arial"/>
          <w:sz w:val="21"/>
          <w:szCs w:val="21"/>
          <w:color w:val="auto"/>
        </w:rPr>
        <w:t xml:space="preserve">commercial </w:t>
      </w:r>
      <w:r>
        <w:rPr>
          <w:rFonts w:ascii="Arial" w:cs="Arial" w:eastAsia="Arial" w:hAnsi="Arial"/>
          <w:sz w:val="16"/>
          <w:szCs w:val="16"/>
          <w:b w:val="1"/>
          <w:bCs w:val="1"/>
          <w:color w:val="auto"/>
        </w:rPr>
        <w:t>[***]</w:t>
      </w:r>
      <w:r>
        <w:rPr>
          <w:rFonts w:ascii="Arial" w:cs="Arial" w:eastAsia="Arial" w:hAnsi="Arial"/>
          <w:sz w:val="21"/>
          <w:szCs w:val="21"/>
          <w:color w:val="auto"/>
        </w:rPr>
        <w:t xml:space="preserve">), then TG shall have the right to terminate this Agreement pursuant to and in accordance with </w:t>
      </w:r>
      <w:r>
        <w:rPr>
          <w:rFonts w:ascii="Arial" w:cs="Arial" w:eastAsia="Arial" w:hAnsi="Arial"/>
          <w:sz w:val="21"/>
          <w:szCs w:val="21"/>
          <w:u w:val="single" w:color="auto"/>
          <w:color w:val="auto"/>
        </w:rPr>
        <w:t>Section 11.2.4</w:t>
      </w:r>
      <w:r>
        <w:rPr>
          <w:rFonts w:ascii="Arial" w:cs="Arial" w:eastAsia="Arial" w:hAnsi="Arial"/>
          <w:sz w:val="21"/>
          <w:szCs w:val="21"/>
          <w:color w:val="auto"/>
        </w:rPr>
        <w:t xml:space="preserve"> with respect to country(-ies) within the Territory where </w:t>
      </w:r>
      <w:r>
        <w:rPr>
          <w:rFonts w:ascii="Arial" w:cs="Arial" w:eastAsia="Arial" w:hAnsi="Arial"/>
          <w:sz w:val="16"/>
          <w:szCs w:val="16"/>
          <w:b w:val="1"/>
          <w:bCs w:val="1"/>
          <w:color w:val="auto"/>
        </w:rPr>
        <w:t>[***]</w:t>
      </w:r>
      <w:r>
        <w:rPr>
          <w:rFonts w:ascii="Arial" w:cs="Arial" w:eastAsia="Arial" w:hAnsi="Arial"/>
          <w:sz w:val="21"/>
          <w:szCs w:val="21"/>
          <w:color w:val="auto"/>
        </w:rPr>
        <w:t xml:space="preserve"> of the Sales Targets for the Product in the Field in such country were not achieved and in relation to which LFB has terminated or threatened in writing to terminate the LFB License. In the event that, following termination of this Agreement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11.2.4</w:t>
      </w:r>
      <w:r>
        <w:rPr>
          <w:rFonts w:ascii="Arial" w:cs="Arial" w:eastAsia="Arial" w:hAnsi="Arial"/>
          <w:sz w:val="21"/>
          <w:szCs w:val="21"/>
          <w:color w:val="auto"/>
        </w:rPr>
        <w:t xml:space="preserve"> with respect to a given country(-ies) in the Territory, TG retains the right to Commercialize the Product in the Field in such terminated country(ies) and TG desires to grant to a Third Party rights in and to sell, offer to sell, import, have imported, market and otherwise Commercialize the Product in the Field in such terminated country(ies), then TG shall, to the fullest extent permissible under Applicable Law (including, but not limited to, in compliance with all vertical block exemptions or their equivalent legislations or caselaw), contractually limit such grant of rights to the territory of the terminated country(-ies), and TG shall use commercially reasonable efforts, consistent with Applicable Law, to enforce such right </w:t>
      </w:r>
      <w:r>
        <w:rPr>
          <w:rFonts w:ascii="Arial" w:cs="Arial" w:eastAsia="Arial" w:hAnsi="Arial"/>
          <w:sz w:val="21"/>
          <w:szCs w:val="21"/>
          <w:i w:val="1"/>
          <w:iCs w:val="1"/>
          <w:color w:val="auto"/>
        </w:rPr>
        <w:t>vis-à-vis</w:t>
      </w:r>
      <w:r>
        <w:rPr>
          <w:rFonts w:ascii="Arial" w:cs="Arial" w:eastAsia="Arial" w:hAnsi="Arial"/>
          <w:sz w:val="21"/>
          <w:szCs w:val="21"/>
          <w:color w:val="auto"/>
        </w:rPr>
        <w:t xml:space="preserve"> the respective Third Party in the event that TG learns of a breach of such limitations.</w:t>
      </w:r>
    </w:p>
    <w:p>
      <w:pPr>
        <w:spacing w:after="0" w:line="186"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 xml:space="preserve">5.5.4 </w:t>
      </w:r>
      <w:r>
        <w:rPr>
          <w:rFonts w:ascii="Arial" w:cs="Arial" w:eastAsia="Arial" w:hAnsi="Arial"/>
          <w:sz w:val="19"/>
          <w:szCs w:val="19"/>
          <w:u w:val="single" w:color="auto"/>
          <w:color w:val="auto"/>
        </w:rPr>
        <w:t>Acknowledgement</w:t>
      </w:r>
      <w:r>
        <w:rPr>
          <w:rFonts w:ascii="Arial" w:cs="Arial" w:eastAsia="Arial" w:hAnsi="Arial"/>
          <w:sz w:val="19"/>
          <w:szCs w:val="19"/>
          <w:color w:val="auto"/>
        </w:rPr>
        <w:t xml:space="preserve">. For clarity, the remedies set forth in this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shall be in addition to any other rights and remedies available to TG at law or in equity, including under </w:t>
      </w:r>
      <w:r>
        <w:rPr>
          <w:rFonts w:ascii="Arial" w:cs="Arial" w:eastAsia="Arial" w:hAnsi="Arial"/>
          <w:sz w:val="19"/>
          <w:szCs w:val="19"/>
          <w:u w:val="single" w:color="auto"/>
          <w:color w:val="auto"/>
        </w:rPr>
        <w:t>Section 11.2.2</w:t>
      </w:r>
      <w:r>
        <w:rPr>
          <w:rFonts w:ascii="Arial" w:cs="Arial" w:eastAsia="Arial" w:hAnsi="Arial"/>
          <w:sz w:val="19"/>
          <w:szCs w:val="19"/>
          <w:color w:val="auto"/>
        </w:rPr>
        <w:t>.</w:t>
      </w:r>
    </w:p>
    <w:p>
      <w:pPr>
        <w:spacing w:after="0" w:line="1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No Unauthorized Sales</w:t>
      </w:r>
      <w:r>
        <w:rPr>
          <w:rFonts w:ascii="Arial" w:cs="Arial" w:eastAsia="Arial" w:hAnsi="Arial"/>
          <w:sz w:val="19"/>
          <w:szCs w:val="19"/>
          <w:color w:val="auto"/>
        </w:rPr>
        <w:t xml:space="preserve">. To the fullest extent permissible under Applicable Law, Company shall not, and shall not permit its Affiliates, Sublicensees, or Distributors to, directly or indirectly, (a) distribute, market, promote, offer for sale, sell, or otherwise Commercialize the Product to any customer inside or outside the Territory for subsequent sale in the Excluded Territory; (b) deliver or tender (or cause to be delivered or tendered) the Product in the Excluded Territory for use in the Excluded Territory; or (c) sell the Product to, or solicit Product sales from a customer in the Territory if Company (or its Affiliate, Sublicensee, or Distributor, as applicable) knows or has a reasonable basis to conclude that such Third Party intends to resell the Product in the Excluded Territory. To the extent legally permissible under Applicable Laws, the packaging of the Product shall be clearly marked, in applicable language(s), “Not for export to or distribution in any of the following: the United States, Canada, Mexico, South Korea, Taiwan, Singapore, Indonesia, Malaysia, Thailand, Philippines, Vietnam, and Myanmar.” Without limiting the generality of the foregoing, Company shall (x) establish and implement programs, internally and with Affiliates, Sublicensees, and Distributors, to confirm compliance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5.6</w:t>
      </w:r>
      <w:r>
        <w:rPr>
          <w:rFonts w:ascii="Arial" w:cs="Arial" w:eastAsia="Arial" w:hAnsi="Arial"/>
          <w:sz w:val="19"/>
          <w:szCs w:val="19"/>
          <w:color w:val="auto"/>
        </w:rPr>
        <w:t xml:space="preserve">; (y) deliver reports to TG, on a Calendar Quarter basis and otherwise upon TG’s request, that confirm compliance with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during the immediately preceding Calendar Quarter or other time period reasonably requested by TG; and (z) in any event, respond promptly to TG’s requests regarding the subject matter of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and take all measures permitted under Applicable Law to address any violations or suspected violations of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that TG reports to Company or of which Company otherwise becomes aware. In addition, and in addition to any other rights and remedies available at law or in equity, in the event that Product Commercialized by or on behalf of Company (or its Affiliates, Sublicensees, or Distributors) is subsequently sold in the Excluded Territory, then Company shall reimburse TG for all lost profits arising as a result thereof, to the maximum extent permissible under Applicable Law.</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Records; Reports</w:t>
      </w:r>
      <w:r>
        <w:rPr>
          <w:rFonts w:ascii="Arial" w:cs="Arial" w:eastAsia="Arial" w:hAnsi="Arial"/>
          <w:sz w:val="22"/>
          <w:szCs w:val="22"/>
          <w:color w:val="auto"/>
        </w:rPr>
        <w:t xml:space="preserve">. Company shall (a) maintain records of its Commercialization activities under this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in sufficient detail that shall fully and properly reflect all work done and results achieved in the Commercialization of the Product in the Field in the Territory,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19" w:name="page120"/>
    <w:bookmarkEnd w:id="119"/>
    <w:p>
      <w:pPr>
        <w:jc w:val="both"/>
        <w:spacing w:after="0" w:line="268" w:lineRule="auto"/>
        <w:rPr>
          <w:sz w:val="20"/>
          <w:szCs w:val="20"/>
          <w:color w:val="auto"/>
        </w:rPr>
      </w:pPr>
      <w:r>
        <w:rPr>
          <w:rFonts w:ascii="Arial" w:cs="Arial" w:eastAsia="Arial" w:hAnsi="Arial"/>
          <w:sz w:val="19"/>
          <w:szCs w:val="19"/>
          <w:color w:val="auto"/>
        </w:rPr>
        <w:t xml:space="preserve">following the commencement of Commercialization of the Product in the Field in the Territory and substantially simultaneous with the delivery of the Commercialization Plan in accordance with </w:t>
      </w:r>
      <w:r>
        <w:rPr>
          <w:rFonts w:ascii="Arial" w:cs="Arial" w:eastAsia="Arial" w:hAnsi="Arial"/>
          <w:sz w:val="19"/>
          <w:szCs w:val="19"/>
          <w:u w:val="single" w:color="auto"/>
          <w:color w:val="auto"/>
        </w:rPr>
        <w:t>Section 5.1</w:t>
      </w:r>
      <w:r>
        <w:rPr>
          <w:rFonts w:ascii="Arial" w:cs="Arial" w:eastAsia="Arial" w:hAnsi="Arial"/>
          <w:sz w:val="19"/>
          <w:szCs w:val="19"/>
          <w:color w:val="auto"/>
        </w:rPr>
        <w:t>, provide TG with annual written reports (each, a “</w:t>
      </w:r>
      <w:r>
        <w:rPr>
          <w:rFonts w:ascii="Arial" w:cs="Arial" w:eastAsia="Arial" w:hAnsi="Arial"/>
          <w:sz w:val="19"/>
          <w:szCs w:val="19"/>
          <w:b w:val="1"/>
          <w:bCs w:val="1"/>
          <w:i w:val="1"/>
          <w:iCs w:val="1"/>
          <w:color w:val="auto"/>
        </w:rPr>
        <w:t>Commercialization Report</w:t>
      </w:r>
      <w:r>
        <w:rPr>
          <w:rFonts w:ascii="Arial" w:cs="Arial" w:eastAsia="Arial" w:hAnsi="Arial"/>
          <w:sz w:val="19"/>
          <w:szCs w:val="19"/>
          <w:color w:val="auto"/>
        </w:rPr>
        <w:t xml:space="preserve">”), that shall (i) summarize Company’s efforts to Commercialize the Product in the Field in the Territory, (ii) identify the Regulatory Filings and Drug Approval Applications with respect to the Product that Company or any of its Affiliates or Sublicensees have filed, sought, or obtained in the prior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 </w:t>
      </w:r>
      <w:r>
        <w:rPr>
          <w:rFonts w:ascii="Arial" w:cs="Arial" w:eastAsia="Arial" w:hAnsi="Arial"/>
          <w:sz w:val="15"/>
          <w:szCs w:val="15"/>
          <w:b w:val="1"/>
          <w:bCs w:val="1"/>
          <w:color w:val="auto"/>
        </w:rPr>
        <w:t>[***]</w:t>
      </w:r>
      <w:r>
        <w:rPr>
          <w:rFonts w:ascii="Arial" w:cs="Arial" w:eastAsia="Arial" w:hAnsi="Arial"/>
          <w:sz w:val="19"/>
          <w:szCs w:val="19"/>
          <w:color w:val="auto"/>
        </w:rPr>
        <w:t xml:space="preserve"> period or reasonably expect to make, seek, or attempt to obtain in the following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period, and (iii) summarize all Clinical Data and other Company Data generated by Company with respect to the Product. Commencing no later than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from the date of receipt of the first Marketing Authorization for the Product in the Territory and on each anniversary thereof until the termination of this Agreement, each such Commercialization Report shall also include (i) an outline of the key sales and marketing activities that Company reasonably expects to conduct with respect to the Product in the Territory, (ii) a non-binding estimate of projected sales of the Product in the Territory for the subsequent </w:t>
      </w:r>
      <w:r>
        <w:rPr>
          <w:rFonts w:ascii="Arial" w:cs="Arial" w:eastAsia="Arial" w:hAnsi="Arial"/>
          <w:sz w:val="15"/>
          <w:szCs w:val="15"/>
          <w:b w:val="1"/>
          <w:bCs w:val="1"/>
          <w:color w:val="auto"/>
        </w:rPr>
        <w:t>[***] [***]</w:t>
      </w:r>
      <w:r>
        <w:rPr>
          <w:rFonts w:ascii="Arial" w:cs="Arial" w:eastAsia="Arial" w:hAnsi="Arial"/>
          <w:sz w:val="19"/>
          <w:szCs w:val="19"/>
          <w:color w:val="auto"/>
        </w:rPr>
        <w:t xml:space="preserve">) Calendar </w:t>
      </w:r>
      <w:r>
        <w:rPr>
          <w:rFonts w:ascii="Arial" w:cs="Arial" w:eastAsia="Arial" w:hAnsi="Arial"/>
          <w:sz w:val="15"/>
          <w:szCs w:val="15"/>
          <w:b w:val="1"/>
          <w:bCs w:val="1"/>
          <w:color w:val="auto"/>
        </w:rPr>
        <w:t>[***]</w:t>
      </w:r>
      <w:r>
        <w:rPr>
          <w:rFonts w:ascii="Arial" w:cs="Arial" w:eastAsia="Arial" w:hAnsi="Arial"/>
          <w:sz w:val="19"/>
          <w:szCs w:val="19"/>
          <w:color w:val="auto"/>
        </w:rPr>
        <w:t xml:space="preserve"> period, and (iii) such additional information that it has in its possession as may be reasonably requested by TG regarding the Commercialization of the Product, which request shall not be made more than once each Calendar</w:t>
      </w:r>
    </w:p>
    <w:p>
      <w:pPr>
        <w:spacing w:after="0" w:line="4" w:lineRule="exact"/>
        <w:rPr>
          <w:sz w:val="20"/>
          <w:szCs w:val="20"/>
          <w:color w:val="auto"/>
        </w:rPr>
      </w:pPr>
    </w:p>
    <w:p>
      <w:pPr>
        <w:ind w:left="440" w:hanging="432"/>
        <w:spacing w:after="0"/>
        <w:tabs>
          <w:tab w:leader="none" w:pos="440" w:val="left"/>
        </w:tabs>
        <w:numPr>
          <w:ilvl w:val="0"/>
          <w:numId w:val="74"/>
        </w:numPr>
        <w:rPr>
          <w:rFonts w:ascii="Arial" w:cs="Arial" w:eastAsia="Arial" w:hAnsi="Arial"/>
          <w:sz w:val="18"/>
          <w:szCs w:val="18"/>
          <w:b w:val="1"/>
          <w:bCs w:val="1"/>
          <w:color w:val="auto"/>
        </w:rPr>
      </w:pPr>
      <w:r>
        <w:rPr>
          <w:rFonts w:ascii="Arial" w:cs="Arial" w:eastAsia="Arial" w:hAnsi="Arial"/>
          <w:sz w:val="22"/>
          <w:szCs w:val="22"/>
          <w:color w:val="auto"/>
        </w:rPr>
        <w:t>. The Commercialization Plan and Commercialization Report can be provided as one document.</w:t>
      </w:r>
    </w:p>
    <w:p>
      <w:pPr>
        <w:spacing w:after="0" w:line="1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u w:val="single" w:color="auto"/>
          <w:color w:val="auto"/>
        </w:rPr>
        <w:t>Product Recalls</w:t>
      </w:r>
      <w:r>
        <w:rPr>
          <w:rFonts w:ascii="Arial" w:cs="Arial" w:eastAsia="Arial" w:hAnsi="Arial"/>
          <w:sz w:val="21"/>
          <w:szCs w:val="21"/>
          <w:color w:val="auto"/>
        </w:rPr>
        <w:t>. In the event that any Regulatory Authority issues or requests a recall or takes similar action in connection with the Product in the Field in the Territory, or in the event Company reasonably believes that an event, incident, or circumstance has occurred that may result in the need for a recall, market withdrawal, or other corrective action regarding the Product in the Field in the Territory (each, a “</w:t>
      </w:r>
      <w:r>
        <w:rPr>
          <w:rFonts w:ascii="Arial" w:cs="Arial" w:eastAsia="Arial" w:hAnsi="Arial"/>
          <w:sz w:val="21"/>
          <w:szCs w:val="21"/>
          <w:b w:val="1"/>
          <w:bCs w:val="1"/>
          <w:i w:val="1"/>
          <w:iCs w:val="1"/>
          <w:color w:val="auto"/>
        </w:rPr>
        <w:t>Recall</w:t>
      </w:r>
      <w:r>
        <w:rPr>
          <w:rFonts w:ascii="Arial" w:cs="Arial" w:eastAsia="Arial" w:hAnsi="Arial"/>
          <w:sz w:val="21"/>
          <w:szCs w:val="21"/>
          <w:color w:val="auto"/>
        </w:rPr>
        <w:t>”), such Recalls shall be handled in accordance with Section 8.2 of the Supply Agreement.</w:t>
      </w:r>
    </w:p>
    <w:p>
      <w:pPr>
        <w:spacing w:after="0" w:line="172" w:lineRule="exact"/>
        <w:rPr>
          <w:sz w:val="20"/>
          <w:szCs w:val="20"/>
          <w:color w:val="auto"/>
        </w:rPr>
      </w:pPr>
    </w:p>
    <w:p>
      <w:pPr>
        <w:ind w:left="4880" w:hanging="650"/>
        <w:spacing w:after="0"/>
        <w:tabs>
          <w:tab w:leader="none" w:pos="488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SUPPLY</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Simultaneously with entry into this Agreement, the Parties are entering into a master services agreement dated as of the date hereof, together with a product specific agreement – commercial drug substance dated as of the date hereof (the “</w:t>
      </w:r>
      <w:r>
        <w:rPr>
          <w:rFonts w:ascii="Arial" w:cs="Arial" w:eastAsia="Arial" w:hAnsi="Arial"/>
          <w:sz w:val="19"/>
          <w:szCs w:val="19"/>
          <w:b w:val="1"/>
          <w:bCs w:val="1"/>
          <w:i w:val="1"/>
          <w:iCs w:val="1"/>
          <w:color w:val="auto"/>
        </w:rPr>
        <w:t>DS PSA</w:t>
      </w:r>
      <w:r>
        <w:rPr>
          <w:rFonts w:ascii="Arial" w:cs="Arial" w:eastAsia="Arial" w:hAnsi="Arial"/>
          <w:sz w:val="19"/>
          <w:szCs w:val="19"/>
          <w:color w:val="auto"/>
        </w:rPr>
        <w:t>”) and a product specific agreement – commercial drug product dated as of the date hereof (the “</w:t>
      </w:r>
      <w:r>
        <w:rPr>
          <w:rFonts w:ascii="Arial" w:cs="Arial" w:eastAsia="Arial" w:hAnsi="Arial"/>
          <w:sz w:val="19"/>
          <w:szCs w:val="19"/>
          <w:b w:val="1"/>
          <w:bCs w:val="1"/>
          <w:i w:val="1"/>
          <w:iCs w:val="1"/>
          <w:color w:val="auto"/>
        </w:rPr>
        <w:t>DP PSA</w:t>
      </w:r>
      <w:r>
        <w:rPr>
          <w:rFonts w:ascii="Arial" w:cs="Arial" w:eastAsia="Arial" w:hAnsi="Arial"/>
          <w:sz w:val="19"/>
          <w:szCs w:val="19"/>
          <w:color w:val="auto"/>
        </w:rPr>
        <w:t>,” and together with the aforementioned master services agreement and DS PSA, the “</w:t>
      </w:r>
      <w:r>
        <w:rPr>
          <w:rFonts w:ascii="Arial" w:cs="Arial" w:eastAsia="Arial" w:hAnsi="Arial"/>
          <w:sz w:val="19"/>
          <w:szCs w:val="19"/>
          <w:b w:val="1"/>
          <w:bCs w:val="1"/>
          <w:i w:val="1"/>
          <w:iCs w:val="1"/>
          <w:color w:val="auto"/>
        </w:rPr>
        <w:t>Supply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pursuant to which (a) TG shall supply Company with Product manufactured by TG’s third-party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supplier primarily in the form of US/EU harmonized Product, and (b) Company shall purchase such Product, on an exclusive basis, from TG, for the sole purpose of Commercialization of Product in the Field in the Territory.</w:t>
      </w:r>
    </w:p>
    <w:p>
      <w:pPr>
        <w:spacing w:after="0" w:line="38" w:lineRule="exact"/>
        <w:rPr>
          <w:sz w:val="20"/>
          <w:szCs w:val="20"/>
          <w:color w:val="auto"/>
        </w:rPr>
      </w:pPr>
    </w:p>
    <w:p>
      <w:pPr>
        <w:ind w:left="5100" w:hanging="652"/>
        <w:spacing w:after="0"/>
        <w:tabs>
          <w:tab w:leader="none" w:pos="510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JSC</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Formation</w:t>
      </w:r>
      <w:r>
        <w:rPr>
          <w:rFonts w:ascii="Arial" w:cs="Arial" w:eastAsia="Arial" w:hAnsi="Arial"/>
          <w:sz w:val="19"/>
          <w:szCs w:val="19"/>
          <w:color w:val="auto"/>
        </w:rPr>
        <w:t>. Promptly following the Effective Date, the Parties shall establish a joint steering committee (the “</w:t>
      </w:r>
      <w:r>
        <w:rPr>
          <w:rFonts w:ascii="Arial" w:cs="Arial" w:eastAsia="Arial" w:hAnsi="Arial"/>
          <w:sz w:val="19"/>
          <w:szCs w:val="19"/>
          <w:b w:val="1"/>
          <w:bCs w:val="1"/>
          <w:i w:val="1"/>
          <w:iCs w:val="1"/>
          <w:color w:val="auto"/>
        </w:rPr>
        <w:t>JSC</w:t>
      </w:r>
      <w:r>
        <w:rPr>
          <w:rFonts w:ascii="Arial" w:cs="Arial" w:eastAsia="Arial" w:hAnsi="Arial"/>
          <w:sz w:val="19"/>
          <w:szCs w:val="19"/>
          <w:color w:val="auto"/>
        </w:rPr>
        <w:t xml:space="preserve">”) consisting of up to three (3) representatives designated by each Party, with appropriate knowledge and expertise. The JSC shall operate in accordance with the provisions of this </w:t>
      </w:r>
      <w:r>
        <w:rPr>
          <w:rFonts w:ascii="Arial" w:cs="Arial" w:eastAsia="Arial" w:hAnsi="Arial"/>
          <w:sz w:val="19"/>
          <w:szCs w:val="19"/>
          <w:u w:val="single" w:color="auto"/>
          <w:color w:val="auto"/>
        </w:rPr>
        <w:t>Article 7</w:t>
      </w:r>
      <w:r>
        <w:rPr>
          <w:rFonts w:ascii="Arial" w:cs="Arial" w:eastAsia="Arial" w:hAnsi="Arial"/>
          <w:sz w:val="19"/>
          <w:szCs w:val="19"/>
          <w:color w:val="auto"/>
        </w:rPr>
        <w:t>, and shall have no authority to alter or amend the terms and conditions of this Agreement. A Party may change one (1) or more of its representatives serving on the JSC at any time upon written notice to the other Party. Each Party may invite additional personnel of such Party to any regular or special JSC meeting; provided, however, any such additional invitee shall (a) not be deemed a member of the JSC; and (b) with respect to any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0" w:name="page121"/>
    <w:bookmarkEnd w:id="120"/>
    <w:p>
      <w:pPr>
        <w:jc w:val="both"/>
        <w:spacing w:after="0" w:line="238" w:lineRule="auto"/>
        <w:rPr>
          <w:sz w:val="20"/>
          <w:szCs w:val="20"/>
          <w:color w:val="auto"/>
        </w:rPr>
      </w:pPr>
      <w:r>
        <w:rPr>
          <w:rFonts w:ascii="Arial" w:cs="Arial" w:eastAsia="Arial" w:hAnsi="Arial"/>
          <w:sz w:val="22"/>
          <w:szCs w:val="22"/>
          <w:color w:val="auto"/>
        </w:rPr>
        <w:t xml:space="preserve">of either Party such additional invitee learns, obtains, or otherwise has access to as a result of such invitation, be subject to confidentiality obligations and restrictions on use no less stringent than those set forth in </w:t>
      </w:r>
      <w:r>
        <w:rPr>
          <w:rFonts w:ascii="Arial" w:cs="Arial" w:eastAsia="Arial" w:hAnsi="Arial"/>
          <w:sz w:val="22"/>
          <w:szCs w:val="22"/>
          <w:u w:val="single" w:color="auto"/>
          <w:color w:val="auto"/>
        </w:rPr>
        <w:t>Article 9</w:t>
      </w:r>
      <w:r>
        <w:rPr>
          <w:rFonts w:ascii="Arial" w:cs="Arial" w:eastAsia="Arial" w:hAnsi="Arial"/>
          <w:sz w:val="22"/>
          <w:szCs w:val="22"/>
          <w:color w:val="auto"/>
        </w:rPr>
        <w:t>, which such confidentiality obligations and restrictions on use shall be valid and enforceable by the Party whose Confidential Information is involved.</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JSC Responsibilities</w:t>
      </w:r>
      <w:r>
        <w:rPr>
          <w:rFonts w:ascii="Arial" w:cs="Arial" w:eastAsia="Arial" w:hAnsi="Arial"/>
          <w:sz w:val="22"/>
          <w:szCs w:val="22"/>
          <w:color w:val="auto"/>
        </w:rPr>
        <w:t xml:space="preserve">. The JSC shall serve as a forum for the Parties to share information regarding the Development, Manufacture, and Commercialization of the Product in the Field in the Territory and to facilitate coordination between the Parties, but shall not have any decision-making authority with respect to the Parties’ activities under this Agreement except as set forth in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7.4</w:t>
      </w:r>
      <w:r>
        <w:rPr>
          <w:rFonts w:ascii="Arial" w:cs="Arial" w:eastAsia="Arial" w:hAnsi="Arial"/>
          <w:sz w:val="22"/>
          <w:szCs w:val="22"/>
          <w:color w:val="auto"/>
        </w:rPr>
        <w:t>. At each meeting, Company shall provide updates and forecasting relating to all Development and Commercialization activities conducted by or on behalf of Company relating to the Product in the Field in the Territory, including any information requested by TG from time to time.</w:t>
      </w:r>
    </w:p>
    <w:p>
      <w:pPr>
        <w:spacing w:after="0" w:line="1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Development and Commercialization Plans</w:t>
      </w:r>
      <w:r>
        <w:rPr>
          <w:rFonts w:ascii="Arial" w:cs="Arial" w:eastAsia="Arial" w:hAnsi="Arial"/>
          <w:sz w:val="20"/>
          <w:szCs w:val="20"/>
          <w:color w:val="auto"/>
        </w:rPr>
        <w:t xml:space="preserve">. Company shall, prior to the JSC meeting held during the fourth Calendar Quarter of each year during the Term, deliver to the JSC drafts of the Development Plan, Development Report, Commercialization Plan, and/or Commercialization Report, as applicable, for the Product in the Field in the Territory. Representatives designated by TG shall have a reasonable opportunity at such fourth Calendar Quarter JSC meeting (and any time thereafter) to comment upon and advise on such Development Plan(s), Development Report(s), Commercialization Plan(s), and Commercialization Report(s), and Company shall consider all such comments and advice in good faith. Each year during the Term, the JSC shall use commercially reasonable efforts to reach a consensus upon and unanimously approve the Development Plan(s) and the Commercialization Plan(s), with each Party having a single vote irrespective of the number of representatives of such Party in attendance. The Parties agree that TG shall not withhold approval of any Commercialization Plan, provided that such Commercialization Plan (including, for the avoidance of doubt, the </w:t>
      </w:r>
      <w:r>
        <w:rPr>
          <w:rFonts w:ascii="Arial" w:cs="Arial" w:eastAsia="Arial" w:hAnsi="Arial"/>
          <w:sz w:val="15"/>
          <w:szCs w:val="15"/>
          <w:b w:val="1"/>
          <w:bCs w:val="1"/>
          <w:color w:val="auto"/>
        </w:rPr>
        <w:t>[***]</w:t>
      </w:r>
      <w:r>
        <w:rPr>
          <w:rFonts w:ascii="Arial" w:cs="Arial" w:eastAsia="Arial" w:hAnsi="Arial"/>
          <w:sz w:val="19"/>
          <w:szCs w:val="19"/>
          <w:color w:val="auto"/>
        </w:rPr>
        <w:t>-</w:t>
      </w:r>
      <w:r>
        <w:rPr>
          <w:rFonts w:ascii="Arial" w:cs="Arial" w:eastAsia="Arial" w:hAnsi="Arial"/>
          <w:sz w:val="15"/>
          <w:szCs w:val="15"/>
          <w:b w:val="1"/>
          <w:bCs w:val="1"/>
          <w:color w:val="auto"/>
        </w:rPr>
        <w:t>[***]</w:t>
      </w:r>
      <w:r>
        <w:rPr>
          <w:rFonts w:ascii="Arial" w:cs="Arial" w:eastAsia="Arial" w:hAnsi="Arial"/>
          <w:sz w:val="19"/>
          <w:szCs w:val="19"/>
          <w:color w:val="auto"/>
        </w:rPr>
        <w:t>Commercialization Plan) provides that: (a) with respect to any given Calendar Year from</w:t>
      </w:r>
      <w:r>
        <w:rPr>
          <w:rFonts w:ascii="Arial" w:cs="Arial" w:eastAsia="Arial" w:hAnsi="Arial"/>
          <w:sz w:val="15"/>
          <w:szCs w:val="15"/>
          <w:b w:val="1"/>
          <w:bCs w:val="1"/>
          <w:color w:val="auto"/>
        </w:rPr>
        <w:t xml:space="preserve"> [***] </w:t>
      </w:r>
      <w:r>
        <w:rPr>
          <w:rFonts w:ascii="Arial" w:cs="Arial" w:eastAsia="Arial" w:hAnsi="Arial"/>
          <w:sz w:val="19"/>
          <w:szCs w:val="19"/>
          <w:color w:val="auto"/>
        </w:rPr>
        <w:t>until and</w:t>
      </w:r>
      <w:r>
        <w:rPr>
          <w:rFonts w:ascii="Arial" w:cs="Arial" w:eastAsia="Arial" w:hAnsi="Arial"/>
          <w:sz w:val="15"/>
          <w:szCs w:val="15"/>
          <w:b w:val="1"/>
          <w:bCs w:val="1"/>
          <w:color w:val="auto"/>
        </w:rPr>
        <w:t xml:space="preserve"> </w:t>
      </w:r>
      <w:r>
        <w:rPr>
          <w:rFonts w:ascii="Arial" w:cs="Arial" w:eastAsia="Arial" w:hAnsi="Arial"/>
          <w:sz w:val="19"/>
          <w:szCs w:val="19"/>
          <w:color w:val="auto"/>
        </w:rPr>
        <w:t xml:space="preserve">including </w:t>
      </w:r>
      <w:r>
        <w:rPr>
          <w:rFonts w:ascii="Arial" w:cs="Arial" w:eastAsia="Arial" w:hAnsi="Arial"/>
          <w:sz w:val="15"/>
          <w:szCs w:val="15"/>
          <w:b w:val="1"/>
          <w:bCs w:val="1"/>
          <w:color w:val="auto"/>
        </w:rPr>
        <w:t>[***]</w:t>
      </w:r>
      <w:r>
        <w:rPr>
          <w:rFonts w:ascii="Arial" w:cs="Arial" w:eastAsia="Arial" w:hAnsi="Arial"/>
          <w:sz w:val="19"/>
          <w:szCs w:val="19"/>
          <w:color w:val="auto"/>
        </w:rPr>
        <w:t xml:space="preserve">, Company’s overall expenditures shall be, at a minimum, </w:t>
      </w:r>
      <w:r>
        <w:rPr>
          <w:rFonts w:ascii="Arial" w:cs="Arial" w:eastAsia="Arial" w:hAnsi="Arial"/>
          <w:sz w:val="19"/>
          <w:szCs w:val="19"/>
          <w:i w:val="1"/>
          <w:iCs w:val="1"/>
          <w:u w:val="single" w:color="auto"/>
          <w:color w:val="auto"/>
        </w:rPr>
        <w:t>the higher of</w:t>
      </w:r>
      <w:r>
        <w:rPr>
          <w:rFonts w:ascii="Arial" w:cs="Arial" w:eastAsia="Arial" w:hAnsi="Arial"/>
          <w:sz w:val="19"/>
          <w:szCs w:val="19"/>
          <w:color w:val="auto"/>
        </w:rPr>
        <w:t xml:space="preserve"> (i) </w:t>
      </w:r>
      <w:r>
        <w:rPr>
          <w:rFonts w:ascii="Arial" w:cs="Arial" w:eastAsia="Arial" w:hAnsi="Arial"/>
          <w:sz w:val="15"/>
          <w:szCs w:val="15"/>
          <w:b w:val="1"/>
          <w:bCs w:val="1"/>
          <w:color w:val="auto"/>
        </w:rPr>
        <w:t>[***]</w:t>
      </w:r>
      <w:r>
        <w:rPr>
          <w:rFonts w:ascii="Arial" w:cs="Arial" w:eastAsia="Arial" w:hAnsi="Arial"/>
          <w:sz w:val="19"/>
          <w:szCs w:val="19"/>
          <w:color w:val="auto"/>
        </w:rPr>
        <w:t xml:space="preserve">. For the avoidance of doubt, each forecast made by Company under this Agreement shall be made in good faith and based on reasonable assumptions derived from relevant data at the time prepared by Company in the exercise of its Commercially Reasonable Efforts. If the JSC cannot reach consensus or otherwise agree upon any Development Plan or Commercialization Plan, then either Party shall have the right to refer such disputed issues to the Chief Executive Officers (CEOs) of the Parties for resolution. If, notwithstanding good faith, diligent efforts, the CEOs fail to reach a resolution with respect to any such disputed issues relating to the Development Plan(s) and/or Commercialization Plan(s) within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such initial referral to the CEOs, then either CEO shall have the right to refer such disputed issues to binding arbitration, which shall be conducted as set forth in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7.3(B)</w:t>
      </w:r>
      <w:r>
        <w:rPr>
          <w:rFonts w:ascii="Arial" w:cs="Arial" w:eastAsia="Arial" w:hAnsi="Arial"/>
          <w:sz w:val="19"/>
          <w:szCs w:val="19"/>
          <w:color w:val="auto"/>
        </w:rPr>
        <w:t>. Notwithstanding any provision to the contrary, the Parties acknowledge and agree that approval by TG representatives of such Development Plan(s), Development Report(s), Commercialization Plan(s), and/or Commercialization Report(s), and Company’s satisfaction of such plans and/or reports, shall not themselves be determinative of whether Company has satisfied its diligence obligations set forth in this Agreement.</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TG EU Commercial Personnel</w:t>
      </w:r>
      <w:r>
        <w:rPr>
          <w:rFonts w:ascii="Arial" w:cs="Arial" w:eastAsia="Arial" w:hAnsi="Arial"/>
          <w:sz w:val="22"/>
          <w:szCs w:val="22"/>
          <w:color w:val="auto"/>
        </w:rPr>
        <w:t>. In each JSC meeting, TG shall inform Company of any proposed activities of the TG EU Commercial Personnel. The JSC shall discuss and agree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1" w:name="page122"/>
    <w:bookmarkEnd w:id="121"/>
    <w:p>
      <w:pPr>
        <w:jc w:val="both"/>
        <w:spacing w:after="0" w:line="236" w:lineRule="auto"/>
        <w:rPr>
          <w:sz w:val="20"/>
          <w:szCs w:val="20"/>
          <w:color w:val="auto"/>
        </w:rPr>
      </w:pPr>
      <w:r>
        <w:rPr>
          <w:rFonts w:ascii="Arial" w:cs="Arial" w:eastAsia="Arial" w:hAnsi="Arial"/>
          <w:sz w:val="22"/>
          <w:szCs w:val="22"/>
          <w:color w:val="auto"/>
        </w:rPr>
        <w:t>any such activities (including the key opinion leaders involved, the sequence of timing of interactions with the concerned key opinion leaders by the TG EU Commercial Personnel and personnel of Company, and any materials used by TG EU Commercial Personnel when performing these activities), provided that TG EU Commercial Personnel shall not perform any activity in the Territory without prior discussion and agreement by the JSC.</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Meetings</w:t>
      </w:r>
      <w:r>
        <w:rPr>
          <w:rFonts w:ascii="Arial" w:cs="Arial" w:eastAsia="Arial" w:hAnsi="Arial"/>
          <w:sz w:val="19"/>
          <w:szCs w:val="19"/>
          <w:color w:val="auto"/>
        </w:rPr>
        <w:t>. The JSC shall meet at such times and frequency mutually agreed by the Parties at locations mutually agreed by the Parties, but no less frequently than Calendar Quarterly during the Term; provided that such meetings may be held by audio or video teleconference at the request of either Party. Each Party shall bear its own costs associated with the attendance of its appointees at such meetings. A secretary shall be appointed for each meeting of the JSC and shall prepare draft minutes of the meeting promptly following the meeting and shall circulate such draft minutes for comment and finalization by the Parties.</w:t>
      </w:r>
    </w:p>
    <w:p>
      <w:pPr>
        <w:spacing w:after="0" w:line="15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Working Groups</w:t>
      </w:r>
      <w:r>
        <w:rPr>
          <w:rFonts w:ascii="Arial" w:cs="Arial" w:eastAsia="Arial" w:hAnsi="Arial"/>
          <w:sz w:val="22"/>
          <w:szCs w:val="22"/>
          <w:color w:val="auto"/>
        </w:rPr>
        <w:t>. The JSC shall, from time to time, establish working groups to facilitate timely dialogue and coordination. The topics for such working groups may include, without limitation, CMC/quality, pharmacovigilance, Commercialization, and regulatory and Development. Each Party shall have the right to appoint to each such working group an equal number of representatives as mutually agreed by the Parties, each with appropriate knowledge and expertise. Without limiting the generality of the foregoing, promptly following the Effective Date, the JSC shall establish a Commercialization working group (the “</w:t>
      </w:r>
      <w:r>
        <w:rPr>
          <w:rFonts w:ascii="Arial" w:cs="Arial" w:eastAsia="Arial" w:hAnsi="Arial"/>
          <w:sz w:val="22"/>
          <w:szCs w:val="22"/>
          <w:b w:val="1"/>
          <w:bCs w:val="1"/>
          <w:i w:val="1"/>
          <w:iCs w:val="1"/>
          <w:color w:val="auto"/>
        </w:rPr>
        <w:t>CWG</w:t>
      </w:r>
      <w:r>
        <w:rPr>
          <w:rFonts w:ascii="Arial" w:cs="Arial" w:eastAsia="Arial" w:hAnsi="Arial"/>
          <w:sz w:val="22"/>
          <w:szCs w:val="22"/>
          <w:color w:val="auto"/>
        </w:rPr>
        <w:t xml:space="preserve">”) as further described on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attached hereto and a supply chain joint working committee as further described in the Supply Agreement.</w:t>
      </w:r>
    </w:p>
    <w:p>
      <w:pPr>
        <w:spacing w:after="0" w:line="181" w:lineRule="exact"/>
        <w:rPr>
          <w:sz w:val="20"/>
          <w:szCs w:val="20"/>
          <w:color w:val="auto"/>
        </w:rPr>
      </w:pPr>
    </w:p>
    <w:p>
      <w:pPr>
        <w:ind w:left="4700" w:hanging="648"/>
        <w:spacing w:after="0"/>
        <w:tabs>
          <w:tab w:leader="none" w:pos="470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PAYMENTS</w:t>
      </w:r>
    </w:p>
    <w:p>
      <w:pPr>
        <w:spacing w:after="0" w:line="21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Upfront Payment</w:t>
      </w:r>
      <w:r>
        <w:rPr>
          <w:rFonts w:ascii="Arial" w:cs="Arial" w:eastAsia="Arial" w:hAnsi="Arial"/>
          <w:sz w:val="22"/>
          <w:szCs w:val="22"/>
          <w:color w:val="auto"/>
        </w:rPr>
        <w:t>. Substantially simultaneous with entry into this Agreement, Company shall pay TG a one-time, non-refundable payment of $140,000,000 (the “</w:t>
      </w:r>
      <w:r>
        <w:rPr>
          <w:rFonts w:ascii="Arial" w:cs="Arial" w:eastAsia="Arial" w:hAnsi="Arial"/>
          <w:sz w:val="22"/>
          <w:szCs w:val="22"/>
          <w:b w:val="1"/>
          <w:bCs w:val="1"/>
          <w:i w:val="1"/>
          <w:iCs w:val="1"/>
          <w:color w:val="auto"/>
        </w:rPr>
        <w:t>Upfront Payment</w:t>
      </w:r>
      <w:r>
        <w:rPr>
          <w:rFonts w:ascii="Arial" w:cs="Arial" w:eastAsia="Arial" w:hAnsi="Arial"/>
          <w:sz w:val="22"/>
          <w:szCs w:val="22"/>
          <w:color w:val="auto"/>
        </w:rPr>
        <w: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Milestone Payments</w:t>
      </w:r>
      <w:r>
        <w:rPr>
          <w:rFonts w:ascii="Arial" w:cs="Arial" w:eastAsia="Arial" w:hAnsi="Arial"/>
          <w:sz w:val="19"/>
          <w:szCs w:val="19"/>
          <w:color w:val="auto"/>
        </w:rPr>
        <w:t>.</w:t>
      </w:r>
    </w:p>
    <w:p>
      <w:pPr>
        <w:spacing w:after="0" w:line="206" w:lineRule="exact"/>
        <w:rPr>
          <w:sz w:val="20"/>
          <w:szCs w:val="20"/>
          <w:color w:val="auto"/>
        </w:rPr>
      </w:pPr>
    </w:p>
    <w:p>
      <w:pPr>
        <w:ind w:firstLine="1296"/>
        <w:spacing w:after="0" w:line="328" w:lineRule="auto"/>
        <w:rPr>
          <w:sz w:val="20"/>
          <w:szCs w:val="20"/>
          <w:color w:val="auto"/>
        </w:rPr>
      </w:pPr>
      <w:r>
        <w:rPr>
          <w:rFonts w:ascii="Arial" w:cs="Arial" w:eastAsia="Arial" w:hAnsi="Arial"/>
          <w:sz w:val="19"/>
          <w:szCs w:val="19"/>
          <w:color w:val="auto"/>
        </w:rPr>
        <w:t xml:space="preserve">8.2.1 </w:t>
      </w:r>
      <w:r>
        <w:rPr>
          <w:rFonts w:ascii="Arial" w:cs="Arial" w:eastAsia="Arial" w:hAnsi="Arial"/>
          <w:sz w:val="19"/>
          <w:szCs w:val="19"/>
          <w:u w:val="single" w:color="auto"/>
          <w:color w:val="auto"/>
        </w:rPr>
        <w:t>Milestones</w:t>
      </w:r>
      <w:r>
        <w:rPr>
          <w:rFonts w:ascii="Arial" w:cs="Arial" w:eastAsia="Arial" w:hAnsi="Arial"/>
          <w:sz w:val="19"/>
          <w:szCs w:val="19"/>
          <w:color w:val="auto"/>
        </w:rPr>
        <w:t>. Company shall make the following non-refundable, non-creditable payments to TG (the “</w:t>
      </w:r>
      <w:r>
        <w:rPr>
          <w:rFonts w:ascii="Arial" w:cs="Arial" w:eastAsia="Arial" w:hAnsi="Arial"/>
          <w:sz w:val="19"/>
          <w:szCs w:val="19"/>
          <w:b w:val="1"/>
          <w:bCs w:val="1"/>
          <w:i w:val="1"/>
          <w:iCs w:val="1"/>
          <w:color w:val="auto"/>
        </w:rPr>
        <w:t>Milestone Payments</w:t>
      </w:r>
      <w:r>
        <w:rPr>
          <w:rFonts w:ascii="Arial" w:cs="Arial" w:eastAsia="Arial" w:hAnsi="Arial"/>
          <w:sz w:val="19"/>
          <w:szCs w:val="19"/>
          <w:color w:val="auto"/>
        </w:rPr>
        <w:t>”) upon the occurrence of each of the following milestone events:</w:t>
      </w:r>
    </w:p>
    <w:p>
      <w:pPr>
        <w:spacing w:after="0" w:line="351"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3"/>
          </w:tcPr>
          <w:p>
            <w:pPr>
              <w:jc w:val="center"/>
              <w:ind w:left="152"/>
              <w:spacing w:after="0"/>
              <w:rPr>
                <w:sz w:val="20"/>
                <w:szCs w:val="20"/>
                <w:color w:val="auto"/>
              </w:rPr>
            </w:pPr>
            <w:r>
              <w:rPr>
                <w:rFonts w:ascii="Arial" w:cs="Arial" w:eastAsia="Arial" w:hAnsi="Arial"/>
                <w:sz w:val="22"/>
                <w:szCs w:val="22"/>
                <w:color w:val="auto"/>
                <w:w w:val="93"/>
              </w:rPr>
              <w:t>Milestone</w:t>
            </w:r>
          </w:p>
        </w:tc>
      </w:tr>
      <w:tr>
        <w:trPr>
          <w:trHeight w:val="224"/>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20" w:type="dxa"/>
            <w:vAlign w:val="bottom"/>
            <w:gridSpan w:val="4"/>
          </w:tcPr>
          <w:p>
            <w:pPr>
              <w:spacing w:after="0" w:line="224" w:lineRule="exact"/>
              <w:rPr>
                <w:sz w:val="20"/>
                <w:szCs w:val="20"/>
                <w:color w:val="auto"/>
              </w:rPr>
            </w:pPr>
            <w:r>
              <w:rPr>
                <w:rFonts w:ascii="Arial" w:cs="Arial" w:eastAsia="Arial" w:hAnsi="Arial"/>
                <w:sz w:val="22"/>
                <w:szCs w:val="22"/>
                <w:color w:val="auto"/>
              </w:rPr>
              <w:t>Milestone Event</w:t>
            </w:r>
          </w:p>
        </w:tc>
        <w:tc>
          <w:tcPr>
            <w:tcW w:w="1340" w:type="dxa"/>
            <w:vAlign w:val="bottom"/>
            <w:gridSpan w:val="3"/>
          </w:tcPr>
          <w:p>
            <w:pPr>
              <w:jc w:val="center"/>
              <w:ind w:left="152"/>
              <w:spacing w:after="0" w:line="224" w:lineRule="exact"/>
              <w:rPr>
                <w:sz w:val="20"/>
                <w:szCs w:val="20"/>
                <w:color w:val="auto"/>
              </w:rPr>
            </w:pPr>
            <w:r>
              <w:rPr>
                <w:rFonts w:ascii="Arial" w:cs="Arial" w:eastAsia="Arial" w:hAnsi="Arial"/>
                <w:sz w:val="22"/>
                <w:szCs w:val="22"/>
                <w:color w:val="auto"/>
                <w:w w:val="87"/>
              </w:rPr>
              <w:t>Payment</w:t>
            </w:r>
          </w:p>
        </w:tc>
      </w:tr>
      <w:tr>
        <w:trPr>
          <w:trHeight w:val="20"/>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8"/>
        </w:trPr>
        <w:tc>
          <w:tcPr>
            <w:tcW w:w="5540" w:type="dxa"/>
            <w:vAlign w:val="bottom"/>
            <w:gridSpan w:val="7"/>
          </w:tcPr>
          <w:p>
            <w:pPr>
              <w:jc w:val="right"/>
              <w:ind w:right="260"/>
              <w:spacing w:after="0"/>
              <w:rPr>
                <w:sz w:val="20"/>
                <w:szCs w:val="20"/>
                <w:color w:val="auto"/>
              </w:rPr>
            </w:pPr>
            <w:r>
              <w:rPr>
                <w:rFonts w:ascii="Arial" w:cs="Arial" w:eastAsia="Arial" w:hAnsi="Arial"/>
                <w:sz w:val="22"/>
                <w:szCs w:val="22"/>
                <w:color w:val="auto"/>
                <w:w w:val="96"/>
              </w:rPr>
              <w:t>1.  Commercial launch of the Product in the Field and, in</w:t>
            </w:r>
          </w:p>
        </w:tc>
        <w:tc>
          <w:tcPr>
            <w:tcW w:w="1340" w:type="dxa"/>
            <w:vAlign w:val="bottom"/>
            <w:gridSpan w:val="3"/>
          </w:tcPr>
          <w:p>
            <w:pPr>
              <w:jc w:val="right"/>
              <w:spacing w:after="0"/>
              <w:rPr>
                <w:sz w:val="20"/>
                <w:szCs w:val="20"/>
                <w:color w:val="auto"/>
              </w:rPr>
            </w:pPr>
            <w:r>
              <w:rPr>
                <w:rFonts w:ascii="Arial" w:cs="Arial" w:eastAsia="Arial" w:hAnsi="Arial"/>
                <w:sz w:val="22"/>
                <w:szCs w:val="22"/>
                <w:color w:val="auto"/>
              </w:rPr>
              <w:t>$12,500,000</w:t>
            </w:r>
          </w:p>
        </w:tc>
      </w:tr>
      <w:tr>
        <w:trPr>
          <w:trHeight w:val="243"/>
        </w:trPr>
        <w:tc>
          <w:tcPr>
            <w:tcW w:w="340" w:type="dxa"/>
            <w:vAlign w:val="bottom"/>
          </w:tcPr>
          <w:p>
            <w:pPr>
              <w:spacing w:after="0"/>
              <w:rPr>
                <w:sz w:val="21"/>
                <w:szCs w:val="21"/>
                <w:color w:val="auto"/>
              </w:rPr>
            </w:pPr>
          </w:p>
        </w:tc>
        <w:tc>
          <w:tcPr>
            <w:tcW w:w="5200" w:type="dxa"/>
            <w:vAlign w:val="bottom"/>
            <w:gridSpan w:val="6"/>
          </w:tcPr>
          <w:p>
            <w:pPr>
              <w:jc w:val="right"/>
              <w:ind w:right="260"/>
              <w:spacing w:after="0" w:line="243" w:lineRule="exact"/>
              <w:rPr>
                <w:sz w:val="20"/>
                <w:szCs w:val="20"/>
                <w:color w:val="auto"/>
              </w:rPr>
            </w:pPr>
            <w:r>
              <w:rPr>
                <w:rFonts w:ascii="Arial" w:cs="Arial" w:eastAsia="Arial" w:hAnsi="Arial"/>
                <w:sz w:val="22"/>
                <w:szCs w:val="22"/>
                <w:color w:val="auto"/>
                <w:w w:val="89"/>
              </w:rPr>
              <w:t>the event that Company exercises its right to license any</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4"/>
        </w:trPr>
        <w:tc>
          <w:tcPr>
            <w:tcW w:w="340" w:type="dxa"/>
            <w:vAlign w:val="bottom"/>
          </w:tcPr>
          <w:p>
            <w:pPr>
              <w:spacing w:after="0"/>
              <w:rPr>
                <w:sz w:val="19"/>
                <w:szCs w:val="19"/>
                <w:color w:val="auto"/>
              </w:rPr>
            </w:pPr>
          </w:p>
        </w:tc>
        <w:tc>
          <w:tcPr>
            <w:tcW w:w="5200" w:type="dxa"/>
            <w:vAlign w:val="bottom"/>
            <w:gridSpan w:val="6"/>
          </w:tcPr>
          <w:p>
            <w:pPr>
              <w:jc w:val="right"/>
              <w:ind w:right="260"/>
              <w:spacing w:after="0" w:line="224" w:lineRule="exact"/>
              <w:rPr>
                <w:sz w:val="20"/>
                <w:szCs w:val="20"/>
                <w:color w:val="auto"/>
              </w:rPr>
            </w:pPr>
            <w:r>
              <w:rPr>
                <w:rFonts w:ascii="Arial" w:cs="Arial" w:eastAsia="Arial" w:hAnsi="Arial"/>
                <w:sz w:val="22"/>
                <w:szCs w:val="22"/>
                <w:color w:val="auto"/>
              </w:rPr>
              <w:t>New CNS Indication IP in accordance with Section</w:t>
            </w: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200" w:type="dxa"/>
            <w:vAlign w:val="bottom"/>
            <w:gridSpan w:val="6"/>
          </w:tcPr>
          <w:p>
            <w:pPr>
              <w:jc w:val="right"/>
              <w:ind w:right="260"/>
              <w:spacing w:after="0" w:line="223" w:lineRule="exact"/>
              <w:rPr>
                <w:sz w:val="20"/>
                <w:szCs w:val="20"/>
                <w:color w:val="auto"/>
              </w:rPr>
            </w:pPr>
            <w:r>
              <w:rPr>
                <w:rFonts w:ascii="Arial" w:cs="Arial" w:eastAsia="Arial" w:hAnsi="Arial"/>
                <w:sz w:val="22"/>
                <w:szCs w:val="22"/>
                <w:color w:val="auto"/>
                <w:w w:val="92"/>
              </w:rPr>
              <w:t>3.</w:t>
            </w:r>
            <w:r>
              <w:rPr>
                <w:rFonts w:ascii="Arial" w:cs="Arial" w:eastAsia="Arial" w:hAnsi="Arial"/>
                <w:sz w:val="22"/>
                <w:szCs w:val="22"/>
                <w:u w:val="single" w:color="auto"/>
                <w:color w:val="auto"/>
                <w:w w:val="92"/>
              </w:rPr>
              <w:t>2.</w:t>
            </w:r>
            <w:r>
              <w:rPr>
                <w:rFonts w:ascii="Arial" w:cs="Arial" w:eastAsia="Arial" w:hAnsi="Arial"/>
                <w:sz w:val="22"/>
                <w:szCs w:val="22"/>
                <w:color w:val="auto"/>
                <w:w w:val="92"/>
              </w:rPr>
              <w:t>1(d), for each such New CNS Indication, in the first</w:t>
            </w: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4"/>
        </w:trPr>
        <w:tc>
          <w:tcPr>
            <w:tcW w:w="340" w:type="dxa"/>
            <w:vAlign w:val="bottom"/>
          </w:tcPr>
          <w:p>
            <w:pPr>
              <w:spacing w:after="0"/>
              <w:rPr>
                <w:sz w:val="23"/>
                <w:szCs w:val="23"/>
                <w:color w:val="auto"/>
              </w:rPr>
            </w:pPr>
          </w:p>
        </w:tc>
        <w:tc>
          <w:tcPr>
            <w:tcW w:w="5200" w:type="dxa"/>
            <w:vAlign w:val="bottom"/>
            <w:gridSpan w:val="6"/>
          </w:tcPr>
          <w:p>
            <w:pPr>
              <w:spacing w:after="0"/>
              <w:rPr>
                <w:sz w:val="20"/>
                <w:szCs w:val="20"/>
                <w:color w:val="auto"/>
              </w:rPr>
            </w:pPr>
            <w:r>
              <w:rPr>
                <w:rFonts w:ascii="Arial" w:cs="Arial" w:eastAsia="Arial" w:hAnsi="Arial"/>
                <w:sz w:val="22"/>
                <w:szCs w:val="22"/>
                <w:color w:val="auto"/>
              </w:rPr>
              <w:t>Key Market</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320"/>
        </w:trPr>
        <w:tc>
          <w:tcPr>
            <w:tcW w:w="5540" w:type="dxa"/>
            <w:vAlign w:val="bottom"/>
            <w:gridSpan w:val="7"/>
          </w:tcPr>
          <w:p>
            <w:pPr>
              <w:jc w:val="right"/>
              <w:ind w:right="260"/>
              <w:spacing w:after="0"/>
              <w:rPr>
                <w:sz w:val="20"/>
                <w:szCs w:val="20"/>
                <w:color w:val="auto"/>
              </w:rPr>
            </w:pPr>
            <w:r>
              <w:rPr>
                <w:rFonts w:ascii="Arial" w:cs="Arial" w:eastAsia="Arial" w:hAnsi="Arial"/>
                <w:sz w:val="22"/>
                <w:szCs w:val="22"/>
                <w:color w:val="auto"/>
                <w:w w:val="91"/>
              </w:rPr>
              <w:t>2.  Commercial launch of the Product in the Field in the last</w:t>
            </w:r>
          </w:p>
        </w:tc>
        <w:tc>
          <w:tcPr>
            <w:tcW w:w="1180" w:type="dxa"/>
            <w:vAlign w:val="bottom"/>
            <w:gridSpan w:val="2"/>
          </w:tcPr>
          <w:p>
            <w:pPr>
              <w:jc w:val="center"/>
              <w:ind w:right="12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color w:val="auto"/>
              </w:rPr>
              <w:t>[***]</w:t>
            </w:r>
          </w:p>
        </w:tc>
        <w:tc>
          <w:tcPr>
            <w:tcW w:w="16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5200" w:type="dxa"/>
            <w:vAlign w:val="bottom"/>
            <w:gridSpan w:val="6"/>
          </w:tcPr>
          <w:p>
            <w:pPr>
              <w:jc w:val="right"/>
              <w:ind w:right="260"/>
              <w:spacing w:after="0" w:line="243" w:lineRule="exact"/>
              <w:rPr>
                <w:sz w:val="20"/>
                <w:szCs w:val="20"/>
                <w:color w:val="auto"/>
              </w:rPr>
            </w:pPr>
            <w:r>
              <w:rPr>
                <w:rFonts w:ascii="Arial" w:cs="Arial" w:eastAsia="Arial" w:hAnsi="Arial"/>
                <w:sz w:val="22"/>
                <w:szCs w:val="22"/>
                <w:color w:val="auto"/>
              </w:rPr>
              <w:t>of all Key Markets and, in the event that Company</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4"/>
        </w:trPr>
        <w:tc>
          <w:tcPr>
            <w:tcW w:w="340" w:type="dxa"/>
            <w:vAlign w:val="bottom"/>
          </w:tcPr>
          <w:p>
            <w:pPr>
              <w:spacing w:after="0"/>
              <w:rPr>
                <w:sz w:val="23"/>
                <w:szCs w:val="23"/>
                <w:color w:val="auto"/>
              </w:rPr>
            </w:pPr>
          </w:p>
        </w:tc>
        <w:tc>
          <w:tcPr>
            <w:tcW w:w="5200" w:type="dxa"/>
            <w:vAlign w:val="bottom"/>
            <w:gridSpan w:val="6"/>
          </w:tcPr>
          <w:p>
            <w:pPr>
              <w:spacing w:after="0"/>
              <w:rPr>
                <w:sz w:val="20"/>
                <w:szCs w:val="20"/>
                <w:color w:val="auto"/>
              </w:rPr>
            </w:pPr>
            <w:r>
              <w:rPr>
                <w:rFonts w:ascii="Arial" w:cs="Arial" w:eastAsia="Arial" w:hAnsi="Arial"/>
                <w:sz w:val="22"/>
                <w:szCs w:val="22"/>
                <w:color w:val="auto"/>
                <w:w w:val="95"/>
              </w:rPr>
              <w:t>exercises its right to license any New CNS Indication IP</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2" w:name="page123"/>
    <w:bookmarkEnd w:id="122"/>
    <w:p>
      <w:pPr>
        <w:ind w:left="1080" w:right="3880"/>
        <w:spacing w:after="0" w:line="250" w:lineRule="auto"/>
        <w:rPr>
          <w:sz w:val="20"/>
          <w:szCs w:val="20"/>
          <w:color w:val="auto"/>
        </w:rPr>
      </w:pP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Section 3.2.1(d)</w:t>
      </w:r>
      <w:r>
        <w:rPr>
          <w:rFonts w:ascii="Arial" w:cs="Arial" w:eastAsia="Arial" w:hAnsi="Arial"/>
          <w:sz w:val="22"/>
          <w:szCs w:val="22"/>
          <w:color w:val="auto"/>
        </w:rPr>
        <w:t>, for each such New CNS Indication</w:t>
      </w:r>
    </w:p>
    <w:p>
      <w:pPr>
        <w:spacing w:after="0" w:line="57"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300" w:type="dxa"/>
            <w:vAlign w:val="bottom"/>
          </w:tcPr>
          <w:p>
            <w:pPr>
              <w:spacing w:after="0"/>
              <w:rPr>
                <w:sz w:val="20"/>
                <w:szCs w:val="20"/>
                <w:color w:val="auto"/>
              </w:rPr>
            </w:pPr>
            <w:r>
              <w:rPr>
                <w:rFonts w:ascii="Arial" w:cs="Arial" w:eastAsia="Arial" w:hAnsi="Arial"/>
                <w:sz w:val="22"/>
                <w:szCs w:val="22"/>
                <w:color w:val="auto"/>
              </w:rPr>
              <w:t>3.</w:t>
            </w:r>
          </w:p>
        </w:tc>
        <w:tc>
          <w:tcPr>
            <w:tcW w:w="5380" w:type="dxa"/>
            <w:vAlign w:val="bottom"/>
          </w:tcPr>
          <w:p>
            <w:pPr>
              <w:ind w:left="40"/>
              <w:spacing w:after="0"/>
              <w:rPr>
                <w:sz w:val="20"/>
                <w:szCs w:val="20"/>
                <w:color w:val="auto"/>
              </w:rPr>
            </w:pPr>
            <w:r>
              <w:rPr>
                <w:rFonts w:ascii="Arial" w:cs="Arial" w:eastAsia="Arial" w:hAnsi="Arial"/>
                <w:sz w:val="22"/>
                <w:szCs w:val="22"/>
                <w:color w:val="auto"/>
              </w:rPr>
              <w:t>Achievement of €</w:t>
            </w:r>
            <w:r>
              <w:rPr>
                <w:rFonts w:ascii="Arial" w:cs="Arial" w:eastAsia="Arial" w:hAnsi="Arial"/>
                <w:sz w:val="17"/>
                <w:szCs w:val="17"/>
                <w:b w:val="1"/>
                <w:bCs w:val="1"/>
                <w:color w:val="auto"/>
              </w:rPr>
              <w:t>[***]</w:t>
            </w:r>
            <w:r>
              <w:rPr>
                <w:rFonts w:ascii="Arial" w:cs="Arial" w:eastAsia="Arial" w:hAnsi="Arial"/>
                <w:sz w:val="22"/>
                <w:szCs w:val="22"/>
                <w:color w:val="auto"/>
              </w:rPr>
              <w:t xml:space="preserve"> Net Sales, in aggregate, of the</w:t>
            </w:r>
          </w:p>
        </w:tc>
        <w:tc>
          <w:tcPr>
            <w:tcW w:w="900" w:type="dxa"/>
            <w:vAlign w:val="bottom"/>
          </w:tcPr>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color w:val="auto"/>
              </w:rPr>
              <w:t>[***]</w:t>
            </w:r>
          </w:p>
        </w:tc>
      </w:tr>
      <w:tr>
        <w:trPr>
          <w:trHeight w:val="274"/>
        </w:trPr>
        <w:tc>
          <w:tcPr>
            <w:tcW w:w="300" w:type="dxa"/>
            <w:vAlign w:val="bottom"/>
          </w:tcPr>
          <w:p>
            <w:pPr>
              <w:spacing w:after="0"/>
              <w:rPr>
                <w:sz w:val="23"/>
                <w:szCs w:val="23"/>
                <w:color w:val="auto"/>
              </w:rPr>
            </w:pPr>
          </w:p>
        </w:tc>
        <w:tc>
          <w:tcPr>
            <w:tcW w:w="5380" w:type="dxa"/>
            <w:vAlign w:val="bottom"/>
          </w:tcPr>
          <w:p>
            <w:pPr>
              <w:ind w:left="40"/>
              <w:spacing w:after="0"/>
              <w:rPr>
                <w:sz w:val="20"/>
                <w:szCs w:val="20"/>
                <w:color w:val="auto"/>
              </w:rPr>
            </w:pPr>
            <w:r>
              <w:rPr>
                <w:rFonts w:ascii="Arial" w:cs="Arial" w:eastAsia="Arial" w:hAnsi="Arial"/>
                <w:sz w:val="22"/>
                <w:szCs w:val="22"/>
                <w:color w:val="auto"/>
              </w:rPr>
              <w:t>Product in the Field in the Territory in a Calendar Year</w:t>
            </w:r>
          </w:p>
        </w:tc>
        <w:tc>
          <w:tcPr>
            <w:tcW w:w="900" w:type="dxa"/>
            <w:vAlign w:val="bottom"/>
          </w:tcPr>
          <w:p>
            <w:pPr>
              <w:spacing w:after="0"/>
              <w:rPr>
                <w:sz w:val="23"/>
                <w:szCs w:val="23"/>
                <w:color w:val="auto"/>
              </w:rPr>
            </w:pPr>
          </w:p>
        </w:tc>
      </w:tr>
      <w:tr>
        <w:trPr>
          <w:trHeight w:val="320"/>
        </w:trPr>
        <w:tc>
          <w:tcPr>
            <w:tcW w:w="300" w:type="dxa"/>
            <w:vAlign w:val="bottom"/>
          </w:tcPr>
          <w:p>
            <w:pPr>
              <w:spacing w:after="0"/>
              <w:rPr>
                <w:sz w:val="20"/>
                <w:szCs w:val="20"/>
                <w:color w:val="auto"/>
              </w:rPr>
            </w:pPr>
            <w:r>
              <w:rPr>
                <w:rFonts w:ascii="Arial" w:cs="Arial" w:eastAsia="Arial" w:hAnsi="Arial"/>
                <w:sz w:val="22"/>
                <w:szCs w:val="22"/>
                <w:color w:val="auto"/>
              </w:rPr>
              <w:t>4.</w:t>
            </w:r>
          </w:p>
        </w:tc>
        <w:tc>
          <w:tcPr>
            <w:tcW w:w="5380" w:type="dxa"/>
            <w:vAlign w:val="bottom"/>
          </w:tcPr>
          <w:p>
            <w:pPr>
              <w:ind w:left="40"/>
              <w:spacing w:after="0"/>
              <w:rPr>
                <w:sz w:val="20"/>
                <w:szCs w:val="20"/>
                <w:color w:val="auto"/>
              </w:rPr>
            </w:pPr>
            <w:r>
              <w:rPr>
                <w:rFonts w:ascii="Arial" w:cs="Arial" w:eastAsia="Arial" w:hAnsi="Arial"/>
                <w:sz w:val="22"/>
                <w:szCs w:val="22"/>
                <w:color w:val="auto"/>
              </w:rPr>
              <w:t>Achievement of €</w:t>
            </w:r>
            <w:r>
              <w:rPr>
                <w:rFonts w:ascii="Arial" w:cs="Arial" w:eastAsia="Arial" w:hAnsi="Arial"/>
                <w:sz w:val="17"/>
                <w:szCs w:val="17"/>
                <w:b w:val="1"/>
                <w:bCs w:val="1"/>
                <w:color w:val="auto"/>
              </w:rPr>
              <w:t>[***]</w:t>
            </w:r>
            <w:r>
              <w:rPr>
                <w:rFonts w:ascii="Arial" w:cs="Arial" w:eastAsia="Arial" w:hAnsi="Arial"/>
                <w:sz w:val="22"/>
                <w:szCs w:val="22"/>
                <w:color w:val="auto"/>
              </w:rPr>
              <w:t xml:space="preserve"> Net Sales, in aggregate, of the</w:t>
            </w:r>
          </w:p>
        </w:tc>
        <w:tc>
          <w:tcPr>
            <w:tcW w:w="900" w:type="dxa"/>
            <w:vAlign w:val="bottom"/>
          </w:tcPr>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color w:val="auto"/>
              </w:rPr>
              <w:t>[***]</w:t>
            </w:r>
          </w:p>
        </w:tc>
      </w:tr>
      <w:tr>
        <w:trPr>
          <w:trHeight w:val="274"/>
        </w:trPr>
        <w:tc>
          <w:tcPr>
            <w:tcW w:w="300" w:type="dxa"/>
            <w:vAlign w:val="bottom"/>
          </w:tcPr>
          <w:p>
            <w:pPr>
              <w:spacing w:after="0"/>
              <w:rPr>
                <w:sz w:val="23"/>
                <w:szCs w:val="23"/>
                <w:color w:val="auto"/>
              </w:rPr>
            </w:pPr>
          </w:p>
        </w:tc>
        <w:tc>
          <w:tcPr>
            <w:tcW w:w="5380" w:type="dxa"/>
            <w:vAlign w:val="bottom"/>
          </w:tcPr>
          <w:p>
            <w:pPr>
              <w:ind w:left="40"/>
              <w:spacing w:after="0"/>
              <w:rPr>
                <w:sz w:val="20"/>
                <w:szCs w:val="20"/>
                <w:color w:val="auto"/>
              </w:rPr>
            </w:pPr>
            <w:r>
              <w:rPr>
                <w:rFonts w:ascii="Arial" w:cs="Arial" w:eastAsia="Arial" w:hAnsi="Arial"/>
                <w:sz w:val="22"/>
                <w:szCs w:val="22"/>
                <w:color w:val="auto"/>
              </w:rPr>
              <w:t>Product in the Field in the Territory in a Calendar Year</w:t>
            </w:r>
          </w:p>
        </w:tc>
        <w:tc>
          <w:tcPr>
            <w:tcW w:w="900" w:type="dxa"/>
            <w:vAlign w:val="bottom"/>
          </w:tcPr>
          <w:p>
            <w:pPr>
              <w:spacing w:after="0"/>
              <w:rPr>
                <w:sz w:val="23"/>
                <w:szCs w:val="23"/>
                <w:color w:val="auto"/>
              </w:rPr>
            </w:pPr>
          </w:p>
        </w:tc>
      </w:tr>
      <w:tr>
        <w:trPr>
          <w:trHeight w:val="320"/>
        </w:trPr>
        <w:tc>
          <w:tcPr>
            <w:tcW w:w="300" w:type="dxa"/>
            <w:vAlign w:val="bottom"/>
          </w:tcPr>
          <w:p>
            <w:pPr>
              <w:spacing w:after="0"/>
              <w:rPr>
                <w:sz w:val="20"/>
                <w:szCs w:val="20"/>
                <w:color w:val="auto"/>
              </w:rPr>
            </w:pPr>
            <w:r>
              <w:rPr>
                <w:rFonts w:ascii="Arial" w:cs="Arial" w:eastAsia="Arial" w:hAnsi="Arial"/>
                <w:sz w:val="22"/>
                <w:szCs w:val="22"/>
                <w:color w:val="auto"/>
              </w:rPr>
              <w:t>5.</w:t>
            </w:r>
          </w:p>
        </w:tc>
        <w:tc>
          <w:tcPr>
            <w:tcW w:w="5380" w:type="dxa"/>
            <w:vAlign w:val="bottom"/>
          </w:tcPr>
          <w:p>
            <w:pPr>
              <w:ind w:left="40"/>
              <w:spacing w:after="0"/>
              <w:rPr>
                <w:sz w:val="20"/>
                <w:szCs w:val="20"/>
                <w:color w:val="auto"/>
              </w:rPr>
            </w:pPr>
            <w:r>
              <w:rPr>
                <w:rFonts w:ascii="Arial" w:cs="Arial" w:eastAsia="Arial" w:hAnsi="Arial"/>
                <w:sz w:val="22"/>
                <w:szCs w:val="22"/>
                <w:color w:val="auto"/>
              </w:rPr>
              <w:t>Achievement of €</w:t>
            </w:r>
            <w:r>
              <w:rPr>
                <w:rFonts w:ascii="Arial" w:cs="Arial" w:eastAsia="Arial" w:hAnsi="Arial"/>
                <w:sz w:val="17"/>
                <w:szCs w:val="17"/>
                <w:b w:val="1"/>
                <w:bCs w:val="1"/>
                <w:color w:val="auto"/>
              </w:rPr>
              <w:t>[***]</w:t>
            </w:r>
            <w:r>
              <w:rPr>
                <w:rFonts w:ascii="Arial" w:cs="Arial" w:eastAsia="Arial" w:hAnsi="Arial"/>
                <w:sz w:val="22"/>
                <w:szCs w:val="22"/>
                <w:color w:val="auto"/>
              </w:rPr>
              <w:t xml:space="preserve"> Net Sales, in aggregate, of the</w:t>
            </w:r>
          </w:p>
        </w:tc>
        <w:tc>
          <w:tcPr>
            <w:tcW w:w="900" w:type="dxa"/>
            <w:vAlign w:val="bottom"/>
          </w:tcPr>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color w:val="auto"/>
              </w:rPr>
              <w:t>[***]</w:t>
            </w:r>
          </w:p>
        </w:tc>
      </w:tr>
      <w:tr>
        <w:trPr>
          <w:trHeight w:val="274"/>
        </w:trPr>
        <w:tc>
          <w:tcPr>
            <w:tcW w:w="300" w:type="dxa"/>
            <w:vAlign w:val="bottom"/>
          </w:tcPr>
          <w:p>
            <w:pPr>
              <w:spacing w:after="0"/>
              <w:rPr>
                <w:sz w:val="23"/>
                <w:szCs w:val="23"/>
                <w:color w:val="auto"/>
              </w:rPr>
            </w:pPr>
          </w:p>
        </w:tc>
        <w:tc>
          <w:tcPr>
            <w:tcW w:w="5380" w:type="dxa"/>
            <w:vAlign w:val="bottom"/>
          </w:tcPr>
          <w:p>
            <w:pPr>
              <w:ind w:left="40"/>
              <w:spacing w:after="0"/>
              <w:rPr>
                <w:sz w:val="20"/>
                <w:szCs w:val="20"/>
                <w:color w:val="auto"/>
              </w:rPr>
            </w:pPr>
            <w:r>
              <w:rPr>
                <w:rFonts w:ascii="Arial" w:cs="Arial" w:eastAsia="Arial" w:hAnsi="Arial"/>
                <w:sz w:val="22"/>
                <w:szCs w:val="22"/>
                <w:color w:val="auto"/>
              </w:rPr>
              <w:t>Product in the Field in the Territory in a Calendar Year</w:t>
            </w:r>
          </w:p>
        </w:tc>
        <w:tc>
          <w:tcPr>
            <w:tcW w:w="900" w:type="dxa"/>
            <w:vAlign w:val="bottom"/>
          </w:tcPr>
          <w:p>
            <w:pPr>
              <w:spacing w:after="0"/>
              <w:rPr>
                <w:sz w:val="23"/>
                <w:szCs w:val="23"/>
                <w:color w:val="auto"/>
              </w:rPr>
            </w:pPr>
          </w:p>
        </w:tc>
      </w:tr>
      <w:tr>
        <w:trPr>
          <w:trHeight w:val="320"/>
        </w:trPr>
        <w:tc>
          <w:tcPr>
            <w:tcW w:w="300" w:type="dxa"/>
            <w:vAlign w:val="bottom"/>
          </w:tcPr>
          <w:p>
            <w:pPr>
              <w:spacing w:after="0"/>
              <w:rPr>
                <w:sz w:val="20"/>
                <w:szCs w:val="20"/>
                <w:color w:val="auto"/>
              </w:rPr>
            </w:pPr>
            <w:r>
              <w:rPr>
                <w:rFonts w:ascii="Arial" w:cs="Arial" w:eastAsia="Arial" w:hAnsi="Arial"/>
                <w:sz w:val="22"/>
                <w:szCs w:val="22"/>
                <w:color w:val="auto"/>
              </w:rPr>
              <w:t>6.</w:t>
            </w:r>
          </w:p>
        </w:tc>
        <w:tc>
          <w:tcPr>
            <w:tcW w:w="5380" w:type="dxa"/>
            <w:vAlign w:val="bottom"/>
          </w:tcPr>
          <w:p>
            <w:pPr>
              <w:ind w:left="40"/>
              <w:spacing w:after="0"/>
              <w:rPr>
                <w:sz w:val="20"/>
                <w:szCs w:val="20"/>
                <w:color w:val="auto"/>
              </w:rPr>
            </w:pPr>
            <w:r>
              <w:rPr>
                <w:rFonts w:ascii="Arial" w:cs="Arial" w:eastAsia="Arial" w:hAnsi="Arial"/>
                <w:sz w:val="22"/>
                <w:szCs w:val="22"/>
                <w:color w:val="auto"/>
              </w:rPr>
              <w:t>Achievement of €</w:t>
            </w:r>
            <w:r>
              <w:rPr>
                <w:rFonts w:ascii="Arial" w:cs="Arial" w:eastAsia="Arial" w:hAnsi="Arial"/>
                <w:sz w:val="17"/>
                <w:szCs w:val="17"/>
                <w:b w:val="1"/>
                <w:bCs w:val="1"/>
                <w:color w:val="auto"/>
              </w:rPr>
              <w:t>[***]</w:t>
            </w:r>
            <w:r>
              <w:rPr>
                <w:rFonts w:ascii="Arial" w:cs="Arial" w:eastAsia="Arial" w:hAnsi="Arial"/>
                <w:sz w:val="22"/>
                <w:szCs w:val="22"/>
                <w:color w:val="auto"/>
              </w:rPr>
              <w:t xml:space="preserve"> Net Sales, in aggregate, of the</w:t>
            </w:r>
          </w:p>
        </w:tc>
        <w:tc>
          <w:tcPr>
            <w:tcW w:w="900" w:type="dxa"/>
            <w:vAlign w:val="bottom"/>
          </w:tcPr>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color w:val="auto"/>
              </w:rPr>
              <w:t>[***]</w:t>
            </w:r>
          </w:p>
        </w:tc>
      </w:tr>
      <w:tr>
        <w:trPr>
          <w:trHeight w:val="274"/>
        </w:trPr>
        <w:tc>
          <w:tcPr>
            <w:tcW w:w="300" w:type="dxa"/>
            <w:vAlign w:val="bottom"/>
          </w:tcPr>
          <w:p>
            <w:pPr>
              <w:spacing w:after="0"/>
              <w:rPr>
                <w:sz w:val="23"/>
                <w:szCs w:val="23"/>
                <w:color w:val="auto"/>
              </w:rPr>
            </w:pPr>
          </w:p>
        </w:tc>
        <w:tc>
          <w:tcPr>
            <w:tcW w:w="5380" w:type="dxa"/>
            <w:vAlign w:val="bottom"/>
          </w:tcPr>
          <w:p>
            <w:pPr>
              <w:ind w:left="40"/>
              <w:spacing w:after="0"/>
              <w:rPr>
                <w:sz w:val="20"/>
                <w:szCs w:val="20"/>
                <w:color w:val="auto"/>
              </w:rPr>
            </w:pPr>
            <w:r>
              <w:rPr>
                <w:rFonts w:ascii="Arial" w:cs="Arial" w:eastAsia="Arial" w:hAnsi="Arial"/>
                <w:sz w:val="22"/>
                <w:szCs w:val="22"/>
                <w:color w:val="auto"/>
              </w:rPr>
              <w:t>Product in the Field in the Territory in a Calendar Year</w:t>
            </w:r>
          </w:p>
        </w:tc>
        <w:tc>
          <w:tcPr>
            <w:tcW w:w="900" w:type="dxa"/>
            <w:vAlign w:val="bottom"/>
          </w:tcPr>
          <w:p>
            <w:pPr>
              <w:spacing w:after="0"/>
              <w:rPr>
                <w:sz w:val="23"/>
                <w:szCs w:val="23"/>
                <w:color w:val="auto"/>
              </w:rPr>
            </w:pPr>
          </w:p>
        </w:tc>
      </w:tr>
      <w:tr>
        <w:trPr>
          <w:trHeight w:val="320"/>
        </w:trPr>
        <w:tc>
          <w:tcPr>
            <w:tcW w:w="300" w:type="dxa"/>
            <w:vAlign w:val="bottom"/>
          </w:tcPr>
          <w:p>
            <w:pPr>
              <w:spacing w:after="0"/>
              <w:rPr>
                <w:sz w:val="20"/>
                <w:szCs w:val="20"/>
                <w:color w:val="auto"/>
              </w:rPr>
            </w:pPr>
            <w:r>
              <w:rPr>
                <w:rFonts w:ascii="Arial" w:cs="Arial" w:eastAsia="Arial" w:hAnsi="Arial"/>
                <w:sz w:val="22"/>
                <w:szCs w:val="22"/>
                <w:color w:val="auto"/>
              </w:rPr>
              <w:t>7.</w:t>
            </w:r>
          </w:p>
        </w:tc>
        <w:tc>
          <w:tcPr>
            <w:tcW w:w="5380" w:type="dxa"/>
            <w:vAlign w:val="bottom"/>
          </w:tcPr>
          <w:p>
            <w:pPr>
              <w:ind w:left="40"/>
              <w:spacing w:after="0"/>
              <w:rPr>
                <w:sz w:val="20"/>
                <w:szCs w:val="20"/>
                <w:color w:val="auto"/>
              </w:rPr>
            </w:pPr>
            <w:r>
              <w:rPr>
                <w:rFonts w:ascii="Arial" w:cs="Arial" w:eastAsia="Arial" w:hAnsi="Arial"/>
                <w:sz w:val="22"/>
                <w:szCs w:val="22"/>
                <w:color w:val="auto"/>
              </w:rPr>
              <w:t>Achievement of €</w:t>
            </w:r>
            <w:r>
              <w:rPr>
                <w:rFonts w:ascii="Arial" w:cs="Arial" w:eastAsia="Arial" w:hAnsi="Arial"/>
                <w:sz w:val="17"/>
                <w:szCs w:val="17"/>
                <w:b w:val="1"/>
                <w:bCs w:val="1"/>
                <w:color w:val="auto"/>
              </w:rPr>
              <w:t>[***]</w:t>
            </w:r>
            <w:r>
              <w:rPr>
                <w:rFonts w:ascii="Arial" w:cs="Arial" w:eastAsia="Arial" w:hAnsi="Arial"/>
                <w:sz w:val="22"/>
                <w:szCs w:val="22"/>
                <w:color w:val="auto"/>
              </w:rPr>
              <w:t xml:space="preserve"> Net Sales, in aggregate, of the</w:t>
            </w:r>
          </w:p>
        </w:tc>
        <w:tc>
          <w:tcPr>
            <w:tcW w:w="900" w:type="dxa"/>
            <w:vAlign w:val="bottom"/>
          </w:tcPr>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color w:val="auto"/>
              </w:rPr>
              <w:t>[***]</w:t>
            </w:r>
          </w:p>
        </w:tc>
      </w:tr>
      <w:tr>
        <w:trPr>
          <w:trHeight w:val="274"/>
        </w:trPr>
        <w:tc>
          <w:tcPr>
            <w:tcW w:w="300" w:type="dxa"/>
            <w:vAlign w:val="bottom"/>
          </w:tcPr>
          <w:p>
            <w:pPr>
              <w:spacing w:after="0"/>
              <w:rPr>
                <w:sz w:val="23"/>
                <w:szCs w:val="23"/>
                <w:color w:val="auto"/>
              </w:rPr>
            </w:pPr>
          </w:p>
        </w:tc>
        <w:tc>
          <w:tcPr>
            <w:tcW w:w="5380" w:type="dxa"/>
            <w:vAlign w:val="bottom"/>
          </w:tcPr>
          <w:p>
            <w:pPr>
              <w:ind w:left="40"/>
              <w:spacing w:after="0"/>
              <w:rPr>
                <w:sz w:val="20"/>
                <w:szCs w:val="20"/>
                <w:color w:val="auto"/>
              </w:rPr>
            </w:pPr>
            <w:r>
              <w:rPr>
                <w:rFonts w:ascii="Arial" w:cs="Arial" w:eastAsia="Arial" w:hAnsi="Arial"/>
                <w:sz w:val="22"/>
                <w:szCs w:val="22"/>
                <w:color w:val="auto"/>
              </w:rPr>
              <w:t>Product in the Field in the Territory in a Calendar Year</w:t>
            </w:r>
          </w:p>
        </w:tc>
        <w:tc>
          <w:tcPr>
            <w:tcW w:w="900" w:type="dxa"/>
            <w:vAlign w:val="bottom"/>
          </w:tcPr>
          <w:p>
            <w:pPr>
              <w:spacing w:after="0"/>
              <w:rPr>
                <w:sz w:val="23"/>
                <w:szCs w:val="23"/>
                <w:color w:val="auto"/>
              </w:rPr>
            </w:pPr>
          </w:p>
        </w:tc>
      </w:tr>
      <w:tr>
        <w:trPr>
          <w:trHeight w:val="320"/>
        </w:trPr>
        <w:tc>
          <w:tcPr>
            <w:tcW w:w="300" w:type="dxa"/>
            <w:vAlign w:val="bottom"/>
          </w:tcPr>
          <w:p>
            <w:pPr>
              <w:spacing w:after="0"/>
              <w:rPr>
                <w:sz w:val="20"/>
                <w:szCs w:val="20"/>
                <w:color w:val="auto"/>
              </w:rPr>
            </w:pPr>
            <w:r>
              <w:rPr>
                <w:rFonts w:ascii="Arial" w:cs="Arial" w:eastAsia="Arial" w:hAnsi="Arial"/>
                <w:sz w:val="22"/>
                <w:szCs w:val="22"/>
                <w:color w:val="auto"/>
              </w:rPr>
              <w:t>8.</w:t>
            </w:r>
          </w:p>
        </w:tc>
        <w:tc>
          <w:tcPr>
            <w:tcW w:w="5380" w:type="dxa"/>
            <w:vAlign w:val="bottom"/>
          </w:tcPr>
          <w:p>
            <w:pPr>
              <w:ind w:left="40"/>
              <w:spacing w:after="0"/>
              <w:rPr>
                <w:sz w:val="20"/>
                <w:szCs w:val="20"/>
                <w:color w:val="auto"/>
              </w:rPr>
            </w:pPr>
            <w:r>
              <w:rPr>
                <w:rFonts w:ascii="Arial" w:cs="Arial" w:eastAsia="Arial" w:hAnsi="Arial"/>
                <w:sz w:val="22"/>
                <w:szCs w:val="22"/>
                <w:color w:val="auto"/>
              </w:rPr>
              <w:t>Achievement of €</w:t>
            </w:r>
            <w:r>
              <w:rPr>
                <w:rFonts w:ascii="Arial" w:cs="Arial" w:eastAsia="Arial" w:hAnsi="Arial"/>
                <w:sz w:val="17"/>
                <w:szCs w:val="17"/>
                <w:b w:val="1"/>
                <w:bCs w:val="1"/>
                <w:color w:val="auto"/>
              </w:rPr>
              <w:t>[***]</w:t>
            </w:r>
            <w:r>
              <w:rPr>
                <w:rFonts w:ascii="Arial" w:cs="Arial" w:eastAsia="Arial" w:hAnsi="Arial"/>
                <w:sz w:val="22"/>
                <w:szCs w:val="22"/>
                <w:color w:val="auto"/>
              </w:rPr>
              <w:t xml:space="preserve"> Net Sales, in aggregate, of the</w:t>
            </w: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17"/>
                <w:szCs w:val="17"/>
                <w:b w:val="1"/>
                <w:bCs w:val="1"/>
                <w:color w:val="auto"/>
              </w:rPr>
              <w:t>[***]</w:t>
            </w:r>
          </w:p>
        </w:tc>
      </w:tr>
      <w:tr>
        <w:trPr>
          <w:trHeight w:val="274"/>
        </w:trPr>
        <w:tc>
          <w:tcPr>
            <w:tcW w:w="300" w:type="dxa"/>
            <w:vAlign w:val="bottom"/>
          </w:tcPr>
          <w:p>
            <w:pPr>
              <w:spacing w:after="0"/>
              <w:rPr>
                <w:sz w:val="23"/>
                <w:szCs w:val="23"/>
                <w:color w:val="auto"/>
              </w:rPr>
            </w:pPr>
          </w:p>
        </w:tc>
        <w:tc>
          <w:tcPr>
            <w:tcW w:w="5380" w:type="dxa"/>
            <w:vAlign w:val="bottom"/>
          </w:tcPr>
          <w:p>
            <w:pPr>
              <w:ind w:left="40"/>
              <w:spacing w:after="0"/>
              <w:rPr>
                <w:sz w:val="20"/>
                <w:szCs w:val="20"/>
                <w:color w:val="auto"/>
              </w:rPr>
            </w:pPr>
            <w:r>
              <w:rPr>
                <w:rFonts w:ascii="Arial" w:cs="Arial" w:eastAsia="Arial" w:hAnsi="Arial"/>
                <w:sz w:val="22"/>
                <w:szCs w:val="22"/>
                <w:color w:val="auto"/>
              </w:rPr>
              <w:t>Product in the Field in the Territory in a Calendar Year</w:t>
            </w:r>
          </w:p>
        </w:tc>
        <w:tc>
          <w:tcPr>
            <w:tcW w:w="900" w:type="dxa"/>
            <w:vAlign w:val="bottom"/>
          </w:tcPr>
          <w:p>
            <w:pPr>
              <w:spacing w:after="0"/>
              <w:rPr>
                <w:sz w:val="23"/>
                <w:szCs w:val="23"/>
                <w:color w:val="auto"/>
              </w:rPr>
            </w:pPr>
          </w:p>
        </w:tc>
      </w:tr>
      <w:tr>
        <w:trPr>
          <w:trHeight w:val="320"/>
        </w:trPr>
        <w:tc>
          <w:tcPr>
            <w:tcW w:w="300" w:type="dxa"/>
            <w:vAlign w:val="bottom"/>
          </w:tcPr>
          <w:p>
            <w:pPr>
              <w:spacing w:after="0"/>
              <w:rPr>
                <w:sz w:val="20"/>
                <w:szCs w:val="20"/>
                <w:color w:val="auto"/>
              </w:rPr>
            </w:pPr>
            <w:r>
              <w:rPr>
                <w:rFonts w:ascii="Arial" w:cs="Arial" w:eastAsia="Arial" w:hAnsi="Arial"/>
                <w:sz w:val="22"/>
                <w:szCs w:val="22"/>
                <w:color w:val="auto"/>
              </w:rPr>
              <w:t>9.</w:t>
            </w:r>
          </w:p>
        </w:tc>
        <w:tc>
          <w:tcPr>
            <w:tcW w:w="5380" w:type="dxa"/>
            <w:vAlign w:val="bottom"/>
          </w:tcPr>
          <w:p>
            <w:pPr>
              <w:ind w:left="40"/>
              <w:spacing w:after="0"/>
              <w:rPr>
                <w:sz w:val="20"/>
                <w:szCs w:val="20"/>
                <w:color w:val="auto"/>
              </w:rPr>
            </w:pPr>
            <w:r>
              <w:rPr>
                <w:rFonts w:ascii="Arial" w:cs="Arial" w:eastAsia="Arial" w:hAnsi="Arial"/>
                <w:sz w:val="22"/>
                <w:szCs w:val="22"/>
                <w:color w:val="auto"/>
              </w:rPr>
              <w:t>Achievement of €</w:t>
            </w:r>
            <w:r>
              <w:rPr>
                <w:rFonts w:ascii="Arial" w:cs="Arial" w:eastAsia="Arial" w:hAnsi="Arial"/>
                <w:sz w:val="17"/>
                <w:szCs w:val="17"/>
                <w:b w:val="1"/>
                <w:bCs w:val="1"/>
                <w:color w:val="auto"/>
              </w:rPr>
              <w:t>[***]</w:t>
            </w:r>
            <w:r>
              <w:rPr>
                <w:rFonts w:ascii="Arial" w:cs="Arial" w:eastAsia="Arial" w:hAnsi="Arial"/>
                <w:sz w:val="22"/>
                <w:szCs w:val="22"/>
                <w:color w:val="auto"/>
              </w:rPr>
              <w:t xml:space="preserve"> Net Sales, in aggregate, of the</w:t>
            </w:r>
          </w:p>
        </w:tc>
        <w:tc>
          <w:tcPr>
            <w:tcW w:w="900" w:type="dxa"/>
            <w:vAlign w:val="bottom"/>
          </w:tcPr>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color w:val="auto"/>
              </w:rPr>
              <w:t>[***]</w:t>
            </w:r>
          </w:p>
        </w:tc>
      </w:tr>
      <w:tr>
        <w:trPr>
          <w:trHeight w:val="274"/>
        </w:trPr>
        <w:tc>
          <w:tcPr>
            <w:tcW w:w="300" w:type="dxa"/>
            <w:vAlign w:val="bottom"/>
          </w:tcPr>
          <w:p>
            <w:pPr>
              <w:spacing w:after="0"/>
              <w:rPr>
                <w:sz w:val="23"/>
                <w:szCs w:val="23"/>
                <w:color w:val="auto"/>
              </w:rPr>
            </w:pPr>
          </w:p>
        </w:tc>
        <w:tc>
          <w:tcPr>
            <w:tcW w:w="5380" w:type="dxa"/>
            <w:vAlign w:val="bottom"/>
          </w:tcPr>
          <w:p>
            <w:pPr>
              <w:ind w:left="40"/>
              <w:spacing w:after="0"/>
              <w:rPr>
                <w:sz w:val="20"/>
                <w:szCs w:val="20"/>
                <w:color w:val="auto"/>
              </w:rPr>
            </w:pPr>
            <w:r>
              <w:rPr>
                <w:rFonts w:ascii="Arial" w:cs="Arial" w:eastAsia="Arial" w:hAnsi="Arial"/>
                <w:sz w:val="22"/>
                <w:szCs w:val="22"/>
                <w:color w:val="auto"/>
              </w:rPr>
              <w:t>Product in the Field in the Territory in a Calendar Year</w:t>
            </w:r>
          </w:p>
        </w:tc>
        <w:tc>
          <w:tcPr>
            <w:tcW w:w="900" w:type="dxa"/>
            <w:vAlign w:val="bottom"/>
          </w:tcPr>
          <w:p>
            <w:pPr>
              <w:spacing w:after="0"/>
              <w:rPr>
                <w:sz w:val="23"/>
                <w:szCs w:val="23"/>
                <w:color w:val="auto"/>
              </w:rPr>
            </w:pPr>
          </w:p>
        </w:tc>
      </w:tr>
      <w:tr>
        <w:trPr>
          <w:trHeight w:val="320"/>
        </w:trPr>
        <w:tc>
          <w:tcPr>
            <w:tcW w:w="300" w:type="dxa"/>
            <w:vAlign w:val="bottom"/>
          </w:tcPr>
          <w:p>
            <w:pPr>
              <w:spacing w:after="0"/>
              <w:rPr>
                <w:sz w:val="20"/>
                <w:szCs w:val="20"/>
                <w:color w:val="auto"/>
              </w:rPr>
            </w:pPr>
            <w:r>
              <w:rPr>
                <w:rFonts w:ascii="Arial" w:cs="Arial" w:eastAsia="Arial" w:hAnsi="Arial"/>
                <w:sz w:val="22"/>
                <w:szCs w:val="22"/>
                <w:color w:val="auto"/>
                <w:w w:val="91"/>
              </w:rPr>
              <w:t>10.</w:t>
            </w:r>
          </w:p>
        </w:tc>
        <w:tc>
          <w:tcPr>
            <w:tcW w:w="5380" w:type="dxa"/>
            <w:vAlign w:val="bottom"/>
          </w:tcPr>
          <w:p>
            <w:pPr>
              <w:ind w:left="40"/>
              <w:spacing w:after="0"/>
              <w:rPr>
                <w:sz w:val="20"/>
                <w:szCs w:val="20"/>
                <w:color w:val="auto"/>
              </w:rPr>
            </w:pPr>
            <w:r>
              <w:rPr>
                <w:rFonts w:ascii="Arial" w:cs="Arial" w:eastAsia="Arial" w:hAnsi="Arial"/>
                <w:sz w:val="22"/>
                <w:szCs w:val="22"/>
                <w:color w:val="auto"/>
              </w:rPr>
              <w:t>Achievement of €</w:t>
            </w:r>
            <w:r>
              <w:rPr>
                <w:rFonts w:ascii="Arial" w:cs="Arial" w:eastAsia="Arial" w:hAnsi="Arial"/>
                <w:sz w:val="17"/>
                <w:szCs w:val="17"/>
                <w:b w:val="1"/>
                <w:bCs w:val="1"/>
                <w:color w:val="auto"/>
              </w:rPr>
              <w:t>[***]</w:t>
            </w:r>
            <w:r>
              <w:rPr>
                <w:rFonts w:ascii="Arial" w:cs="Arial" w:eastAsia="Arial" w:hAnsi="Arial"/>
                <w:sz w:val="22"/>
                <w:szCs w:val="22"/>
                <w:color w:val="auto"/>
              </w:rPr>
              <w:t xml:space="preserve"> Net Sales, in aggregate, of the</w:t>
            </w:r>
          </w:p>
        </w:tc>
        <w:tc>
          <w:tcPr>
            <w:tcW w:w="900" w:type="dxa"/>
            <w:vAlign w:val="bottom"/>
          </w:tcPr>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color w:val="auto"/>
              </w:rPr>
              <w:t>[***]</w:t>
            </w:r>
          </w:p>
        </w:tc>
      </w:tr>
      <w:tr>
        <w:trPr>
          <w:trHeight w:val="274"/>
        </w:trPr>
        <w:tc>
          <w:tcPr>
            <w:tcW w:w="300" w:type="dxa"/>
            <w:vAlign w:val="bottom"/>
          </w:tcPr>
          <w:p>
            <w:pPr>
              <w:spacing w:after="0"/>
              <w:rPr>
                <w:sz w:val="23"/>
                <w:szCs w:val="23"/>
                <w:color w:val="auto"/>
              </w:rPr>
            </w:pPr>
          </w:p>
        </w:tc>
        <w:tc>
          <w:tcPr>
            <w:tcW w:w="5380" w:type="dxa"/>
            <w:vAlign w:val="bottom"/>
          </w:tcPr>
          <w:p>
            <w:pPr>
              <w:ind w:left="40"/>
              <w:spacing w:after="0"/>
              <w:rPr>
                <w:sz w:val="20"/>
                <w:szCs w:val="20"/>
                <w:color w:val="auto"/>
              </w:rPr>
            </w:pPr>
            <w:r>
              <w:rPr>
                <w:rFonts w:ascii="Arial" w:cs="Arial" w:eastAsia="Arial" w:hAnsi="Arial"/>
                <w:sz w:val="22"/>
                <w:szCs w:val="22"/>
                <w:color w:val="auto"/>
              </w:rPr>
              <w:t>Product in the Field in the Territory in a Calendar Year</w:t>
            </w:r>
          </w:p>
        </w:tc>
        <w:tc>
          <w:tcPr>
            <w:tcW w:w="900" w:type="dxa"/>
            <w:vAlign w:val="bottom"/>
          </w:tcPr>
          <w:p>
            <w:pPr>
              <w:spacing w:after="0"/>
              <w:rPr>
                <w:sz w:val="23"/>
                <w:szCs w:val="23"/>
                <w:color w:val="auto"/>
              </w:rPr>
            </w:pPr>
          </w:p>
        </w:tc>
      </w:tr>
      <w:tr>
        <w:trPr>
          <w:trHeight w:val="320"/>
        </w:trPr>
        <w:tc>
          <w:tcPr>
            <w:tcW w:w="5680" w:type="dxa"/>
            <w:vAlign w:val="bottom"/>
            <w:gridSpan w:val="2"/>
          </w:tcPr>
          <w:p>
            <w:pPr>
              <w:spacing w:after="0"/>
              <w:rPr>
                <w:sz w:val="20"/>
                <w:szCs w:val="20"/>
                <w:color w:val="auto"/>
              </w:rPr>
            </w:pPr>
            <w:r>
              <w:rPr>
                <w:rFonts w:ascii="Arial" w:cs="Arial" w:eastAsia="Arial" w:hAnsi="Arial"/>
                <w:sz w:val="22"/>
                <w:szCs w:val="22"/>
                <w:color w:val="auto"/>
              </w:rPr>
              <w:t>11. Achievement of €</w:t>
            </w:r>
            <w:r>
              <w:rPr>
                <w:rFonts w:ascii="Arial" w:cs="Arial" w:eastAsia="Arial" w:hAnsi="Arial"/>
                <w:sz w:val="17"/>
                <w:szCs w:val="17"/>
                <w:b w:val="1"/>
                <w:bCs w:val="1"/>
                <w:color w:val="auto"/>
              </w:rPr>
              <w:t>[***]</w:t>
            </w:r>
            <w:r>
              <w:rPr>
                <w:rFonts w:ascii="Arial" w:cs="Arial" w:eastAsia="Arial" w:hAnsi="Arial"/>
                <w:sz w:val="22"/>
                <w:szCs w:val="22"/>
                <w:color w:val="auto"/>
              </w:rPr>
              <w:t xml:space="preserve"> Net Sales, in aggregate, of the</w:t>
            </w:r>
          </w:p>
        </w:tc>
        <w:tc>
          <w:tcPr>
            <w:tcW w:w="900" w:type="dxa"/>
            <w:vAlign w:val="bottom"/>
          </w:tcPr>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17"/>
                <w:szCs w:val="17"/>
                <w:b w:val="1"/>
                <w:bCs w:val="1"/>
                <w:color w:val="auto"/>
              </w:rPr>
              <w:t>[***]</w:t>
            </w:r>
          </w:p>
        </w:tc>
      </w:tr>
      <w:tr>
        <w:trPr>
          <w:trHeight w:val="274"/>
        </w:trPr>
        <w:tc>
          <w:tcPr>
            <w:tcW w:w="300" w:type="dxa"/>
            <w:vAlign w:val="bottom"/>
          </w:tcPr>
          <w:p>
            <w:pPr>
              <w:spacing w:after="0"/>
              <w:rPr>
                <w:sz w:val="23"/>
                <w:szCs w:val="23"/>
                <w:color w:val="auto"/>
              </w:rPr>
            </w:pPr>
          </w:p>
        </w:tc>
        <w:tc>
          <w:tcPr>
            <w:tcW w:w="5380" w:type="dxa"/>
            <w:vAlign w:val="bottom"/>
          </w:tcPr>
          <w:p>
            <w:pPr>
              <w:ind w:left="40"/>
              <w:spacing w:after="0"/>
              <w:rPr>
                <w:sz w:val="20"/>
                <w:szCs w:val="20"/>
                <w:color w:val="auto"/>
              </w:rPr>
            </w:pPr>
            <w:r>
              <w:rPr>
                <w:rFonts w:ascii="Arial" w:cs="Arial" w:eastAsia="Arial" w:hAnsi="Arial"/>
                <w:sz w:val="22"/>
                <w:szCs w:val="22"/>
                <w:color w:val="auto"/>
              </w:rPr>
              <w:t>Product in the Field in the Territory in a Calendar Year</w:t>
            </w:r>
          </w:p>
        </w:tc>
        <w:tc>
          <w:tcPr>
            <w:tcW w:w="900" w:type="dxa"/>
            <w:vAlign w:val="bottom"/>
          </w:tcPr>
          <w:p>
            <w:pPr>
              <w:spacing w:after="0"/>
              <w:rPr>
                <w:sz w:val="23"/>
                <w:szCs w:val="23"/>
                <w:color w:val="auto"/>
              </w:rPr>
            </w:pPr>
          </w:p>
        </w:tc>
      </w:tr>
    </w:tbl>
    <w:p>
      <w:pPr>
        <w:spacing w:after="0" w:line="29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For clarity, in the event that Company exercises its right to license any New CNS Indication IP in accordance with </w:t>
      </w:r>
      <w:r>
        <w:rPr>
          <w:rFonts w:ascii="Arial" w:cs="Arial" w:eastAsia="Arial" w:hAnsi="Arial"/>
          <w:sz w:val="19"/>
          <w:szCs w:val="19"/>
          <w:u w:val="single" w:color="auto"/>
          <w:color w:val="auto"/>
        </w:rPr>
        <w:t>Section 3.2.1(d)</w:t>
      </w:r>
      <w:r>
        <w:rPr>
          <w:rFonts w:ascii="Arial" w:cs="Arial" w:eastAsia="Arial" w:hAnsi="Arial"/>
          <w:sz w:val="19"/>
          <w:szCs w:val="19"/>
          <w:color w:val="auto"/>
        </w:rPr>
        <w:t xml:space="preserve">, then Net Sales for all Products in the Field (including the New CNS Indication in accordance with the addendum to this Agreement contemplated by </w:t>
      </w:r>
      <w:r>
        <w:rPr>
          <w:rFonts w:ascii="Arial" w:cs="Arial" w:eastAsia="Arial" w:hAnsi="Arial"/>
          <w:sz w:val="19"/>
          <w:szCs w:val="19"/>
          <w:u w:val="single" w:color="auto"/>
          <w:color w:val="auto"/>
        </w:rPr>
        <w:t>Section 3.2.1(d)</w:t>
      </w:r>
      <w:r>
        <w:rPr>
          <w:rFonts w:ascii="Arial" w:cs="Arial" w:eastAsia="Arial" w:hAnsi="Arial"/>
          <w:sz w:val="19"/>
          <w:szCs w:val="19"/>
          <w:color w:val="auto"/>
        </w:rPr>
        <w:t xml:space="preserve">) shall be aggregated for purposes of calculating milestones 3-11 above and for purposes of calculating royalties in accordance with </w:t>
      </w:r>
      <w:r>
        <w:rPr>
          <w:rFonts w:ascii="Arial" w:cs="Arial" w:eastAsia="Arial" w:hAnsi="Arial"/>
          <w:sz w:val="19"/>
          <w:szCs w:val="19"/>
          <w:u w:val="single" w:color="auto"/>
          <w:color w:val="auto"/>
        </w:rPr>
        <w:t>Section 8.3</w:t>
      </w:r>
      <w:r>
        <w:rPr>
          <w:rFonts w:ascii="Arial" w:cs="Arial" w:eastAsia="Arial" w:hAnsi="Arial"/>
          <w:sz w:val="19"/>
          <w:szCs w:val="19"/>
          <w:color w:val="auto"/>
        </w:rPr>
        <w:t>.</w:t>
      </w:r>
    </w:p>
    <w:p>
      <w:pPr>
        <w:spacing w:after="0" w:line="3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8.2.2</w:t>
      </w:r>
      <w:r>
        <w:rPr>
          <w:sz w:val="20"/>
          <w:szCs w:val="20"/>
          <w:color w:val="auto"/>
        </w:rPr>
        <w:tab/>
      </w:r>
      <w:r>
        <w:rPr>
          <w:rFonts w:ascii="Arial" w:cs="Arial" w:eastAsia="Arial" w:hAnsi="Arial"/>
          <w:sz w:val="19"/>
          <w:szCs w:val="19"/>
          <w:u w:val="single" w:color="auto"/>
          <w:color w:val="auto"/>
        </w:rPr>
        <w:t>Notice and Payment of Milestones</w:t>
      </w:r>
      <w:r>
        <w:rPr>
          <w:rFonts w:ascii="Arial" w:cs="Arial" w:eastAsia="Arial" w:hAnsi="Arial"/>
          <w:sz w:val="19"/>
          <w:szCs w:val="19"/>
          <w:color w:val="auto"/>
        </w:rPr>
        <w:t>.</w:t>
      </w:r>
    </w:p>
    <w:p>
      <w:pPr>
        <w:spacing w:after="0" w:line="206" w:lineRule="exact"/>
        <w:rPr>
          <w:sz w:val="20"/>
          <w:szCs w:val="20"/>
          <w:color w:val="auto"/>
        </w:rPr>
      </w:pPr>
    </w:p>
    <w:p>
      <w:pPr>
        <w:jc w:val="both"/>
        <w:ind w:firstLine="1952"/>
        <w:spacing w:after="0" w:line="233" w:lineRule="auto"/>
        <w:tabs>
          <w:tab w:leader="none" w:pos="2592"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Notice of Milestone Events</w:t>
      </w:r>
      <w:r>
        <w:rPr>
          <w:rFonts w:ascii="Arial" w:cs="Arial" w:eastAsia="Arial" w:hAnsi="Arial"/>
          <w:sz w:val="22"/>
          <w:szCs w:val="22"/>
          <w:color w:val="auto"/>
        </w:rPr>
        <w:t xml:space="preserve">. Company shall provide TG with prompt written notice upon the occurrence of each milestone event set forth in </w:t>
      </w:r>
      <w:r>
        <w:rPr>
          <w:rFonts w:ascii="Arial" w:cs="Arial" w:eastAsia="Arial" w:hAnsi="Arial"/>
          <w:sz w:val="22"/>
          <w:szCs w:val="22"/>
          <w:u w:val="single" w:color="auto"/>
          <w:color w:val="auto"/>
        </w:rPr>
        <w:t>Section 8.2.1</w:t>
      </w:r>
      <w:r>
        <w:rPr>
          <w:rFonts w:ascii="Arial" w:cs="Arial" w:eastAsia="Arial" w:hAnsi="Arial"/>
          <w:sz w:val="22"/>
          <w:szCs w:val="22"/>
          <w:color w:val="auto"/>
        </w:rPr>
        <w:t xml:space="preserve">, and no later than (i) with respect to milestones 1 and 2,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xml:space="preserve"> following the occurrence of such milestone event, and (ii) with respect to milestones 3-11,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xml:space="preserve"> following the conclusion of such Calendar Year. Company shall pay TG the applicable Milestone Payment substantially simultaneous with delivery of the applicable notice in accordance with the foregoing sentence. In the event that, notwithstanding the fact that Company has not given such a notice, TG believes any such milestone event has occurred, it shall so notify Company in writing and shall provide to Company data, documentation, or other information that supports its belief. Any dispute under this </w:t>
      </w:r>
      <w:r>
        <w:rPr>
          <w:rFonts w:ascii="Arial" w:cs="Arial" w:eastAsia="Arial" w:hAnsi="Arial"/>
          <w:sz w:val="22"/>
          <w:szCs w:val="22"/>
          <w:u w:val="single" w:color="auto"/>
          <w:color w:val="auto"/>
        </w:rPr>
        <w:t>Section 8.2.2(a)</w:t>
      </w:r>
      <w:r>
        <w:rPr>
          <w:rFonts w:ascii="Arial" w:cs="Arial" w:eastAsia="Arial" w:hAnsi="Arial"/>
          <w:sz w:val="22"/>
          <w:szCs w:val="22"/>
          <w:color w:val="auto"/>
        </w:rPr>
        <w:t xml:space="preserve"> that relates to whether or not a milestone event has occurred shall be resolved in accordance with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190" w:lineRule="exact"/>
        <w:rPr>
          <w:rFonts w:ascii="Arial" w:cs="Arial" w:eastAsia="Arial" w:hAnsi="Arial"/>
          <w:sz w:val="22"/>
          <w:szCs w:val="22"/>
          <w:color w:val="auto"/>
        </w:rPr>
      </w:pPr>
    </w:p>
    <w:p>
      <w:pPr>
        <w:ind w:firstLine="1952"/>
        <w:spacing w:after="0" w:line="250" w:lineRule="auto"/>
        <w:tabs>
          <w:tab w:leader="none" w:pos="2592"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Acknowledgement</w:t>
      </w:r>
      <w:r>
        <w:rPr>
          <w:rFonts w:ascii="Arial" w:cs="Arial" w:eastAsia="Arial" w:hAnsi="Arial"/>
          <w:sz w:val="22"/>
          <w:szCs w:val="22"/>
          <w:color w:val="auto"/>
        </w:rPr>
        <w:t>. The Parties acknowledge and agree that, with respect to milestones 3-11, in the event that more than one (1) milestone is achieved during a given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8" w:right="999" w:bottom="1440" w:gutter="0" w:footer="0" w:header="0"/>
        </w:sectPr>
      </w:pPr>
    </w:p>
    <w:bookmarkStart w:id="123" w:name="page124"/>
    <w:bookmarkEnd w:id="123"/>
    <w:p>
      <w:pPr>
        <w:spacing w:after="0" w:line="250" w:lineRule="auto"/>
        <w:rPr>
          <w:sz w:val="20"/>
          <w:szCs w:val="20"/>
          <w:color w:val="auto"/>
        </w:rPr>
      </w:pPr>
      <w:r>
        <w:rPr>
          <w:rFonts w:ascii="Arial" w:cs="Arial" w:eastAsia="Arial" w:hAnsi="Arial"/>
          <w:sz w:val="22"/>
          <w:szCs w:val="22"/>
          <w:color w:val="auto"/>
        </w:rPr>
        <w:t xml:space="preserve">Calendar Year, all such corresponding Milestone Payments shall be due simultaneously within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xml:space="preserve"> of the conclusion of such Calendar Year.</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Payment of Royalties; Accounting and Records</w:t>
      </w:r>
      <w:r>
        <w:rPr>
          <w:rFonts w:ascii="Arial" w:cs="Arial" w:eastAsia="Arial" w:hAnsi="Arial"/>
          <w:sz w:val="19"/>
          <w:szCs w:val="19"/>
          <w:color w:val="auto"/>
        </w:rPr>
        <w:t>.</w:t>
      </w:r>
    </w:p>
    <w:p>
      <w:pPr>
        <w:spacing w:after="0" w:line="206"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 xml:space="preserve">8.3.1 </w:t>
      </w:r>
      <w:r>
        <w:rPr>
          <w:rFonts w:ascii="Arial" w:cs="Arial" w:eastAsia="Arial" w:hAnsi="Arial"/>
          <w:sz w:val="22"/>
          <w:szCs w:val="22"/>
          <w:u w:val="single" w:color="auto"/>
          <w:color w:val="auto"/>
        </w:rPr>
        <w:t>Payment of Royalties</w:t>
      </w:r>
      <w:r>
        <w:rPr>
          <w:rFonts w:ascii="Arial" w:cs="Arial" w:eastAsia="Arial" w:hAnsi="Arial"/>
          <w:sz w:val="22"/>
          <w:szCs w:val="22"/>
          <w:color w:val="auto"/>
        </w:rPr>
        <w:t xml:space="preserve">. Subject to the remainder of this </w:t>
      </w:r>
      <w:r>
        <w:rPr>
          <w:rFonts w:ascii="Arial" w:cs="Arial" w:eastAsia="Arial" w:hAnsi="Arial"/>
          <w:sz w:val="22"/>
          <w:szCs w:val="22"/>
          <w:u w:val="single" w:color="auto"/>
          <w:color w:val="auto"/>
        </w:rPr>
        <w:t>Section 8.3</w:t>
      </w:r>
      <w:r>
        <w:rPr>
          <w:rFonts w:ascii="Arial" w:cs="Arial" w:eastAsia="Arial" w:hAnsi="Arial"/>
          <w:sz w:val="22"/>
          <w:szCs w:val="22"/>
          <w:color w:val="auto"/>
        </w:rPr>
        <w:t>, during the Term, Company shall make non-refundable, non-creditable royalty payments to TG, as follows:</w:t>
      </w:r>
    </w:p>
    <w:p>
      <w:pPr>
        <w:spacing w:after="0" w:line="175" w:lineRule="exact"/>
        <w:rPr>
          <w:sz w:val="20"/>
          <w:szCs w:val="20"/>
          <w:color w:val="auto"/>
        </w:rPr>
      </w:pPr>
    </w:p>
    <w:p>
      <w:pPr>
        <w:ind w:firstLine="1952"/>
        <w:spacing w:after="0" w:line="262" w:lineRule="auto"/>
        <w:tabs>
          <w:tab w:leader="none" w:pos="2592" w:val="left"/>
        </w:tabs>
        <w:numPr>
          <w:ilvl w:val="0"/>
          <w:numId w:val="79"/>
        </w:numPr>
        <w:rPr>
          <w:rFonts w:ascii="Arial" w:cs="Arial" w:eastAsia="Arial" w:hAnsi="Arial"/>
          <w:sz w:val="22"/>
          <w:szCs w:val="22"/>
          <w:color w:val="auto"/>
        </w:rPr>
      </w:pPr>
      <w:r>
        <w:rPr>
          <w:rFonts w:ascii="Arial" w:cs="Arial" w:eastAsia="Arial" w:hAnsi="Arial"/>
          <w:sz w:val="18"/>
          <w:szCs w:val="18"/>
          <w:b w:val="1"/>
          <w:bCs w:val="1"/>
          <w:color w:val="auto"/>
        </w:rPr>
        <w:t xml:space="preserve">[***] </w:t>
      </w:r>
      <w:r>
        <w:rPr>
          <w:rFonts w:ascii="Arial" w:cs="Arial" w:eastAsia="Arial" w:hAnsi="Arial"/>
          <w:sz w:val="21"/>
          <w:szCs w:val="21"/>
          <w:color w:val="auto"/>
        </w:rPr>
        <w:t>of Net Sales, with respect to that portion of Net Sales of the Product in the</w:t>
      </w:r>
      <w:r>
        <w:rPr>
          <w:rFonts w:ascii="Arial" w:cs="Arial" w:eastAsia="Arial" w:hAnsi="Arial"/>
          <w:sz w:val="18"/>
          <w:szCs w:val="18"/>
          <w:b w:val="1"/>
          <w:bCs w:val="1"/>
          <w:color w:val="auto"/>
        </w:rPr>
        <w:t xml:space="preserve"> </w:t>
      </w:r>
      <w:r>
        <w:rPr>
          <w:rFonts w:ascii="Arial" w:cs="Arial" w:eastAsia="Arial" w:hAnsi="Arial"/>
          <w:sz w:val="21"/>
          <w:szCs w:val="21"/>
          <w:color w:val="auto"/>
        </w:rPr>
        <w:t>Field in the Territory, in aggregate, in a given Calendar Year that is less than or equal to €</w:t>
      </w:r>
      <w:r>
        <w:rPr>
          <w:rFonts w:ascii="Arial" w:cs="Arial" w:eastAsia="Arial" w:hAnsi="Arial"/>
          <w:sz w:val="17"/>
          <w:szCs w:val="17"/>
          <w:b w:val="1"/>
          <w:bCs w:val="1"/>
          <w:color w:val="auto"/>
        </w:rPr>
        <w:t>[***]</w:t>
      </w:r>
      <w:r>
        <w:rPr>
          <w:rFonts w:ascii="Arial" w:cs="Arial" w:eastAsia="Arial" w:hAnsi="Arial"/>
          <w:sz w:val="21"/>
          <w:szCs w:val="21"/>
          <w:color w:val="auto"/>
        </w:rPr>
        <w:t>;</w:t>
      </w:r>
    </w:p>
    <w:p>
      <w:pPr>
        <w:spacing w:after="0" w:line="162" w:lineRule="exact"/>
        <w:rPr>
          <w:rFonts w:ascii="Arial" w:cs="Arial" w:eastAsia="Arial" w:hAnsi="Arial"/>
          <w:sz w:val="22"/>
          <w:szCs w:val="22"/>
          <w:color w:val="auto"/>
        </w:rPr>
      </w:pPr>
    </w:p>
    <w:p>
      <w:pPr>
        <w:ind w:left="2600" w:hanging="648"/>
        <w:spacing w:after="0"/>
        <w:tabs>
          <w:tab w:leader="none" w:pos="2600" w:val="left"/>
        </w:tabs>
        <w:numPr>
          <w:ilvl w:val="0"/>
          <w:numId w:val="79"/>
        </w:numPr>
        <w:rPr>
          <w:rFonts w:ascii="Arial" w:cs="Arial" w:eastAsia="Arial" w:hAnsi="Arial"/>
          <w:sz w:val="22"/>
          <w:szCs w:val="22"/>
          <w:color w:val="auto"/>
        </w:rPr>
      </w:pPr>
      <w:r>
        <w:rPr>
          <w:rFonts w:ascii="Arial" w:cs="Arial" w:eastAsia="Arial" w:hAnsi="Arial"/>
          <w:sz w:val="18"/>
          <w:szCs w:val="18"/>
          <w:b w:val="1"/>
          <w:bCs w:val="1"/>
          <w:color w:val="auto"/>
        </w:rPr>
        <w:t xml:space="preserve">[***] </w:t>
      </w:r>
      <w:r>
        <w:rPr>
          <w:rFonts w:ascii="Arial" w:cs="Arial" w:eastAsia="Arial" w:hAnsi="Arial"/>
          <w:sz w:val="21"/>
          <w:szCs w:val="21"/>
          <w:color w:val="auto"/>
        </w:rPr>
        <w:t>of Net Sales, with respect to that portion of Net Sales of the Product in the</w:t>
      </w:r>
    </w:p>
    <w:p>
      <w:pPr>
        <w:spacing w:after="0" w:line="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Field in the Territory, in aggregate, in a given Calendar Year that is greater than €</w:t>
      </w:r>
      <w:r>
        <w:rPr>
          <w:rFonts w:ascii="Arial" w:cs="Arial" w:eastAsia="Arial" w:hAnsi="Arial"/>
          <w:sz w:val="17"/>
          <w:szCs w:val="17"/>
          <w:b w:val="1"/>
          <w:bCs w:val="1"/>
          <w:color w:val="auto"/>
        </w:rPr>
        <w:t>[***]</w:t>
      </w:r>
      <w:r>
        <w:rPr>
          <w:rFonts w:ascii="Arial" w:cs="Arial" w:eastAsia="Arial" w:hAnsi="Arial"/>
          <w:sz w:val="22"/>
          <w:szCs w:val="22"/>
          <w:color w:val="auto"/>
        </w:rPr>
        <w:t xml:space="preserve">, but less than or equal to € </w:t>
      </w:r>
      <w:r>
        <w:rPr>
          <w:rFonts w:ascii="Arial" w:cs="Arial" w:eastAsia="Arial" w:hAnsi="Arial"/>
          <w:sz w:val="17"/>
          <w:szCs w:val="17"/>
          <w:b w:val="1"/>
          <w:bCs w:val="1"/>
          <w:color w:val="auto"/>
        </w:rPr>
        <w:t>[***]</w:t>
      </w:r>
      <w:r>
        <w:rPr>
          <w:rFonts w:ascii="Arial" w:cs="Arial" w:eastAsia="Arial" w:hAnsi="Arial"/>
          <w:sz w:val="21"/>
          <w:szCs w:val="21"/>
          <w:color w:val="auto"/>
        </w:rPr>
        <w:t>;</w:t>
      </w:r>
    </w:p>
    <w:p>
      <w:pPr>
        <w:spacing w:after="0" w:line="187" w:lineRule="exact"/>
        <w:rPr>
          <w:sz w:val="20"/>
          <w:szCs w:val="20"/>
          <w:color w:val="auto"/>
        </w:rPr>
      </w:pPr>
    </w:p>
    <w:p>
      <w:pPr>
        <w:jc w:val="both"/>
        <w:ind w:firstLine="1952"/>
        <w:spacing w:after="0" w:line="256" w:lineRule="auto"/>
        <w:tabs>
          <w:tab w:leader="none" w:pos="2592" w:val="left"/>
        </w:tabs>
        <w:numPr>
          <w:ilvl w:val="0"/>
          <w:numId w:val="80"/>
        </w:numPr>
        <w:rPr>
          <w:rFonts w:ascii="Arial" w:cs="Arial" w:eastAsia="Arial" w:hAnsi="Arial"/>
          <w:sz w:val="21"/>
          <w:szCs w:val="21"/>
          <w:color w:val="auto"/>
        </w:rPr>
      </w:pPr>
      <w:r>
        <w:rPr>
          <w:rFonts w:ascii="Arial" w:cs="Arial" w:eastAsia="Arial" w:hAnsi="Arial"/>
          <w:sz w:val="17"/>
          <w:szCs w:val="17"/>
          <w:b w:val="1"/>
          <w:bCs w:val="1"/>
          <w:color w:val="auto"/>
        </w:rPr>
        <w:t xml:space="preserve">[***] </w:t>
      </w:r>
      <w:r>
        <w:rPr>
          <w:rFonts w:ascii="Arial" w:cs="Arial" w:eastAsia="Arial" w:hAnsi="Arial"/>
          <w:sz w:val="20"/>
          <w:szCs w:val="20"/>
          <w:color w:val="auto"/>
        </w:rPr>
        <w:t>of Net Sales, with respect to that portion of Net Sales of the Product in the</w:t>
      </w:r>
      <w:r>
        <w:rPr>
          <w:rFonts w:ascii="Arial" w:cs="Arial" w:eastAsia="Arial" w:hAnsi="Arial"/>
          <w:sz w:val="17"/>
          <w:szCs w:val="17"/>
          <w:b w:val="1"/>
          <w:bCs w:val="1"/>
          <w:color w:val="auto"/>
        </w:rPr>
        <w:t xml:space="preserve"> </w:t>
      </w:r>
      <w:r>
        <w:rPr>
          <w:rFonts w:ascii="Arial" w:cs="Arial" w:eastAsia="Arial" w:hAnsi="Arial"/>
          <w:sz w:val="20"/>
          <w:szCs w:val="20"/>
          <w:color w:val="auto"/>
        </w:rPr>
        <w:t>Field in the Territory, in aggregate, in a given Calendar Year that is greater than €</w:t>
      </w:r>
      <w:r>
        <w:rPr>
          <w:rFonts w:ascii="Arial" w:cs="Arial" w:eastAsia="Arial" w:hAnsi="Arial"/>
          <w:sz w:val="16"/>
          <w:szCs w:val="16"/>
          <w:b w:val="1"/>
          <w:bCs w:val="1"/>
          <w:color w:val="auto"/>
        </w:rPr>
        <w:t>[***]</w:t>
      </w:r>
      <w:r>
        <w:rPr>
          <w:rFonts w:ascii="Arial" w:cs="Arial" w:eastAsia="Arial" w:hAnsi="Arial"/>
          <w:sz w:val="20"/>
          <w:szCs w:val="20"/>
          <w:color w:val="auto"/>
        </w:rPr>
        <w:t>, but less than or equal to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21"/>
          <w:szCs w:val="21"/>
          <w:color w:val="auto"/>
        </w:rPr>
        <w:t>; and</w:t>
      </w:r>
    </w:p>
    <w:p>
      <w:pPr>
        <w:spacing w:after="0" w:line="200" w:lineRule="exact"/>
        <w:rPr>
          <w:sz w:val="20"/>
          <w:szCs w:val="20"/>
          <w:color w:val="auto"/>
        </w:rPr>
      </w:pPr>
    </w:p>
    <w:p>
      <w:pPr>
        <w:ind w:firstLine="1952"/>
        <w:spacing w:after="0" w:line="262" w:lineRule="auto"/>
        <w:tabs>
          <w:tab w:leader="none" w:pos="2592" w:val="left"/>
        </w:tabs>
        <w:numPr>
          <w:ilvl w:val="0"/>
          <w:numId w:val="81"/>
        </w:numPr>
        <w:rPr>
          <w:rFonts w:ascii="Arial" w:cs="Arial" w:eastAsia="Arial" w:hAnsi="Arial"/>
          <w:sz w:val="22"/>
          <w:szCs w:val="22"/>
          <w:color w:val="auto"/>
        </w:rPr>
      </w:pPr>
      <w:r>
        <w:rPr>
          <w:rFonts w:ascii="Arial" w:cs="Arial" w:eastAsia="Arial" w:hAnsi="Arial"/>
          <w:sz w:val="18"/>
          <w:szCs w:val="18"/>
          <w:b w:val="1"/>
          <w:bCs w:val="1"/>
          <w:color w:val="auto"/>
        </w:rPr>
        <w:t xml:space="preserve">[***] </w:t>
      </w:r>
      <w:r>
        <w:rPr>
          <w:rFonts w:ascii="Arial" w:cs="Arial" w:eastAsia="Arial" w:hAnsi="Arial"/>
          <w:sz w:val="21"/>
          <w:szCs w:val="21"/>
          <w:color w:val="auto"/>
        </w:rPr>
        <w:t>of Net Sales, with respect to that portion of Net Sales of the Product in the</w:t>
      </w:r>
      <w:r>
        <w:rPr>
          <w:rFonts w:ascii="Arial" w:cs="Arial" w:eastAsia="Arial" w:hAnsi="Arial"/>
          <w:sz w:val="18"/>
          <w:szCs w:val="18"/>
          <w:b w:val="1"/>
          <w:bCs w:val="1"/>
          <w:color w:val="auto"/>
        </w:rPr>
        <w:t xml:space="preserve"> </w:t>
      </w:r>
      <w:r>
        <w:rPr>
          <w:rFonts w:ascii="Arial" w:cs="Arial" w:eastAsia="Arial" w:hAnsi="Arial"/>
          <w:sz w:val="21"/>
          <w:szCs w:val="21"/>
          <w:color w:val="auto"/>
        </w:rPr>
        <w:t>Field in the Territory, in aggregate, in a given Calendar Year that is greater than €</w:t>
      </w:r>
      <w:r>
        <w:rPr>
          <w:rFonts w:ascii="Arial" w:cs="Arial" w:eastAsia="Arial" w:hAnsi="Arial"/>
          <w:sz w:val="17"/>
          <w:szCs w:val="17"/>
          <w:b w:val="1"/>
          <w:bCs w:val="1"/>
          <w:color w:val="auto"/>
        </w:rPr>
        <w:t>[***]</w:t>
      </w:r>
      <w:r>
        <w:rPr>
          <w:rFonts w:ascii="Arial" w:cs="Arial" w:eastAsia="Arial" w:hAnsi="Arial"/>
          <w:sz w:val="21"/>
          <w:szCs w:val="21"/>
          <w:color w:val="auto"/>
        </w:rPr>
        <w:t>.</w:t>
      </w:r>
    </w:p>
    <w:p>
      <w:pPr>
        <w:spacing w:after="0" w:line="16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8.3.2 </w:t>
      </w:r>
      <w:r>
        <w:rPr>
          <w:rFonts w:ascii="Arial" w:cs="Arial" w:eastAsia="Arial" w:hAnsi="Arial"/>
          <w:sz w:val="19"/>
          <w:szCs w:val="19"/>
          <w:u w:val="single" w:color="auto"/>
          <w:color w:val="auto"/>
        </w:rPr>
        <w:t>Payment Dates and Reports</w:t>
      </w:r>
      <w:r>
        <w:rPr>
          <w:rFonts w:ascii="Arial" w:cs="Arial" w:eastAsia="Arial" w:hAnsi="Arial"/>
          <w:sz w:val="19"/>
          <w:szCs w:val="19"/>
          <w:color w:val="auto"/>
        </w:rPr>
        <w:t xml:space="preserve">. Royalty payments shall be made by Company with respect to the Product in the Field in the Territory within thirty (30) days after the end of each Calendar Quarter in which sales of the Product occur, commencing with the Calendar Quarter in which the First Commercial Sale of the Product occurs. Company shall also provide, at the same time each such payment is made, a report showing: (a) the Net Sales of the Product, by country in the Territory; (b) the total amount of deductions from gross sales to determine Net Sales; (c) a calculation of the amount of royalty due to TG; and (d) in the event that a Third Party is selling a Biosimilar Product in any country in the Territory and Company claims to be entitled to reduce its Royalty obligations in accordance with </w:t>
      </w:r>
      <w:r>
        <w:rPr>
          <w:rFonts w:ascii="Arial" w:cs="Arial" w:eastAsia="Arial" w:hAnsi="Arial"/>
          <w:sz w:val="19"/>
          <w:szCs w:val="19"/>
          <w:u w:val="single" w:color="auto"/>
          <w:color w:val="auto"/>
        </w:rPr>
        <w:t>Section 8.3.5</w:t>
      </w:r>
      <w:r>
        <w:rPr>
          <w:rFonts w:ascii="Arial" w:cs="Arial" w:eastAsia="Arial" w:hAnsi="Arial"/>
          <w:sz w:val="19"/>
          <w:szCs w:val="19"/>
          <w:color w:val="auto"/>
        </w:rPr>
        <w:t xml:space="preserve">, then the sales of the Biosimilar Product in such Calendar Quarter as its relates to Company’s </w:t>
      </w:r>
      <w:r>
        <w:rPr>
          <w:rFonts w:ascii="Arial" w:cs="Arial" w:eastAsia="Arial" w:hAnsi="Arial"/>
          <w:sz w:val="15"/>
          <w:szCs w:val="15"/>
          <w:b w:val="1"/>
          <w:bCs w:val="1"/>
          <w:color w:val="auto"/>
        </w:rPr>
        <w:t>[***]</w:t>
      </w:r>
      <w:r>
        <w:rPr>
          <w:rFonts w:ascii="Arial" w:cs="Arial" w:eastAsia="Arial" w:hAnsi="Arial"/>
          <w:sz w:val="19"/>
          <w:szCs w:val="19"/>
          <w:color w:val="auto"/>
        </w:rPr>
        <w:t xml:space="preserve"> (as measured by </w:t>
      </w:r>
      <w:r>
        <w:rPr>
          <w:rFonts w:ascii="Arial" w:cs="Arial" w:eastAsia="Arial" w:hAnsi="Arial"/>
          <w:sz w:val="15"/>
          <w:szCs w:val="15"/>
          <w:b w:val="1"/>
          <w:bCs w:val="1"/>
          <w:color w:val="auto"/>
        </w:rPr>
        <w:t>[***]</w:t>
      </w:r>
      <w:r>
        <w:rPr>
          <w:rFonts w:ascii="Arial" w:cs="Arial" w:eastAsia="Arial" w:hAnsi="Arial"/>
          <w:sz w:val="19"/>
          <w:szCs w:val="19"/>
          <w:color w:val="auto"/>
        </w:rPr>
        <w:t xml:space="preserve"> or other similar information available in such country), in a form adequate for TG to fulfill its obligations to LFB under Section 7.3.3 of the LFB License.</w:t>
      </w:r>
    </w:p>
    <w:p>
      <w:pPr>
        <w:spacing w:after="0" w:line="16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 xml:space="preserve">8.3.3 </w:t>
      </w:r>
      <w:r>
        <w:rPr>
          <w:rFonts w:ascii="Arial" w:cs="Arial" w:eastAsia="Arial" w:hAnsi="Arial"/>
          <w:sz w:val="19"/>
          <w:szCs w:val="19"/>
          <w:u w:val="single" w:color="auto"/>
          <w:color w:val="auto"/>
        </w:rPr>
        <w:t>Records; Audit Rights</w:t>
      </w:r>
      <w:r>
        <w:rPr>
          <w:rFonts w:ascii="Arial" w:cs="Arial" w:eastAsia="Arial" w:hAnsi="Arial"/>
          <w:sz w:val="19"/>
          <w:szCs w:val="19"/>
          <w:color w:val="auto"/>
        </w:rPr>
        <w:t xml:space="preserve">. Company and its Affiliates, Sublicensees, and Distributors shall keep and maintain for a minimum of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from the date of each payment of Milestone Payments and/or royalties hereunder complete and accurate records of gross sales and Net Sales and achievements of milestones by Company and its Affiliates, Sublicensees, and Distributors of the Product, in sufficient detail to allow Milestone Payments and/or royalties to be accurately determined. TG shall have the right for a period of</w:t>
      </w:r>
    </w:p>
    <w:p>
      <w:pPr>
        <w:spacing w:after="0" w:line="4" w:lineRule="exact"/>
        <w:rPr>
          <w:sz w:val="20"/>
          <w:szCs w:val="20"/>
          <w:color w:val="auto"/>
        </w:rPr>
      </w:pPr>
    </w:p>
    <w:p>
      <w:pPr>
        <w:jc w:val="both"/>
        <w:ind w:firstLine="8"/>
        <w:spacing w:after="0" w:line="246" w:lineRule="auto"/>
        <w:tabs>
          <w:tab w:leader="none" w:pos="479" w:val="left"/>
        </w:tabs>
        <w:numPr>
          <w:ilvl w:val="0"/>
          <w:numId w:val="82"/>
        </w:numPr>
        <w:rPr>
          <w:rFonts w:ascii="Arial" w:cs="Arial" w:eastAsia="Arial" w:hAnsi="Arial"/>
          <w:sz w:val="17"/>
          <w:szCs w:val="17"/>
          <w:b w:val="1"/>
          <w:bCs w:val="1"/>
          <w:color w:val="auto"/>
        </w:rPr>
      </w:pPr>
      <w:r>
        <w:rPr>
          <w:rFonts w:ascii="Arial" w:cs="Arial" w:eastAsia="Arial" w:hAnsi="Arial"/>
          <w:sz w:val="21"/>
          <w:szCs w:val="21"/>
          <w:color w:val="auto"/>
        </w:rPr>
        <w:t>(</w:t>
      </w:r>
      <w:r>
        <w:rPr>
          <w:rFonts w:ascii="Arial" w:cs="Arial" w:eastAsia="Arial" w:hAnsi="Arial"/>
          <w:sz w:val="16"/>
          <w:szCs w:val="16"/>
          <w:b w:val="1"/>
          <w:bCs w:val="1"/>
          <w:color w:val="auto"/>
        </w:rPr>
        <w:t>[***]</w:t>
      </w:r>
      <w:r>
        <w:rPr>
          <w:rFonts w:ascii="Arial" w:cs="Arial" w:eastAsia="Arial" w:hAnsi="Arial"/>
          <w:sz w:val="21"/>
          <w:szCs w:val="21"/>
          <w:color w:val="auto"/>
        </w:rPr>
        <w:t xml:space="preserve">) </w:t>
      </w:r>
      <w:r>
        <w:rPr>
          <w:rFonts w:ascii="Arial" w:cs="Arial" w:eastAsia="Arial" w:hAnsi="Arial"/>
          <w:sz w:val="16"/>
          <w:szCs w:val="16"/>
          <w:b w:val="1"/>
          <w:bCs w:val="1"/>
          <w:color w:val="auto"/>
        </w:rPr>
        <w:t>[***]</w:t>
      </w:r>
      <w:r>
        <w:rPr>
          <w:rFonts w:ascii="Arial" w:cs="Arial" w:eastAsia="Arial" w:hAnsi="Arial"/>
          <w:sz w:val="21"/>
          <w:szCs w:val="21"/>
          <w:color w:val="auto"/>
        </w:rPr>
        <w:t xml:space="preserve"> after receiving any such payment to appoint at its expense an independent certified public accountant reasonably acceptable to Company to audit the relevant records of Company and its Affiliates, Sublicensees, and Distributors to verify that the amount of each such payment was correctly determined; provided, that, (a) if requested by Company, TG shall cause the independent certified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4" w:name="page125"/>
    <w:bookmarkEnd w:id="124"/>
    <w:p>
      <w:pPr>
        <w:jc w:val="both"/>
        <w:spacing w:after="0" w:line="272" w:lineRule="auto"/>
        <w:rPr>
          <w:sz w:val="20"/>
          <w:szCs w:val="20"/>
          <w:color w:val="auto"/>
        </w:rPr>
      </w:pPr>
      <w:r>
        <w:rPr>
          <w:rFonts w:ascii="Arial" w:cs="Arial" w:eastAsia="Arial" w:hAnsi="Arial"/>
          <w:sz w:val="19"/>
          <w:szCs w:val="19"/>
          <w:color w:val="auto"/>
        </w:rPr>
        <w:t xml:space="preserve">accountant to enter into a confidentiality agreement reasonably acceptable to Company, and (b) such independent certified public accountant may only disclose to TG whether the amounts paid are correct and the details with respect to any discrepancies. Company and its Affiliates, Sublicensees, and Distributors shall each make its records available for audit by such independent certified public accountant during regular business hours at such place or places where such records are customarily kept, upon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 [***]</w:t>
      </w:r>
      <w:r>
        <w:rPr>
          <w:rFonts w:ascii="Arial" w:cs="Arial" w:eastAsia="Arial" w:hAnsi="Arial"/>
          <w:sz w:val="19"/>
          <w:szCs w:val="19"/>
          <w:color w:val="auto"/>
        </w:rPr>
        <w:t xml:space="preserve"> written notice from TG. Such audit right shall not be exercised by TG more than once in any Calendar Year, unless good cause exists. All records made available for audit shall be deemed to be Confidential Information of Company. The results of each audit, if any, shall be binding on both Parties absent manifest error. In the event there was an underpayment by Company hereunder, Company shall promptly (but in any event no later than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after Company’s receipt of the report so concluding) make payment to TG of any shortfall. TG shall bear the full cost of such audit unless such audit discloses an underpayment by Company of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or more of the aggregate amount payable by Company to TG hereunder in any Calendar Year, in which case Company shall reimburse TG for all costs incurred by TG in connection with such audit.</w:t>
      </w:r>
    </w:p>
    <w:p>
      <w:pPr>
        <w:spacing w:after="0" w:line="200" w:lineRule="exact"/>
        <w:rPr>
          <w:sz w:val="20"/>
          <w:szCs w:val="20"/>
          <w:color w:val="auto"/>
        </w:rPr>
      </w:pPr>
    </w:p>
    <w:p>
      <w:pPr>
        <w:spacing w:after="0" w:line="204"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8.3.4 </w:t>
      </w:r>
      <w:r>
        <w:rPr>
          <w:rFonts w:ascii="Arial" w:cs="Arial" w:eastAsia="Arial" w:hAnsi="Arial"/>
          <w:sz w:val="22"/>
          <w:szCs w:val="22"/>
          <w:u w:val="single" w:color="auto"/>
          <w:color w:val="auto"/>
        </w:rPr>
        <w:t>Overdue Payments</w:t>
      </w:r>
      <w:r>
        <w:rPr>
          <w:rFonts w:ascii="Arial" w:cs="Arial" w:eastAsia="Arial" w:hAnsi="Arial"/>
          <w:sz w:val="22"/>
          <w:szCs w:val="22"/>
          <w:color w:val="auto"/>
        </w:rPr>
        <w:t xml:space="preserve">. All payments not made within the time period set forth in this Agreement shall bear interest at the rate of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per month until paid in full or, if less, the maximum interest rate permitted by Applicable Laws. Any such overdue payment shall, when made, be accompanied by, and credited first to, all interest so accrued.</w:t>
      </w:r>
    </w:p>
    <w:p>
      <w:pPr>
        <w:spacing w:after="0" w:line="18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8.3.5 </w:t>
      </w:r>
      <w:r>
        <w:rPr>
          <w:rFonts w:ascii="Arial" w:cs="Arial" w:eastAsia="Arial" w:hAnsi="Arial"/>
          <w:sz w:val="19"/>
          <w:szCs w:val="19"/>
          <w:u w:val="single" w:color="auto"/>
          <w:color w:val="auto"/>
        </w:rPr>
        <w:t>Royalty Reductions for Biosimilar Product</w:t>
      </w:r>
      <w:r>
        <w:rPr>
          <w:rFonts w:ascii="Arial" w:cs="Arial" w:eastAsia="Arial" w:hAnsi="Arial"/>
          <w:sz w:val="19"/>
          <w:szCs w:val="19"/>
          <w:color w:val="auto"/>
        </w:rPr>
        <w:t xml:space="preserve">. In the event that a Third Party commercializes a Biosimilar Product in any country in the Territory during any Calendar Quarter, then during the period in which sales of the Biosimilar Product by such Third Party in such country are equal to at least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of Company’s</w:t>
      </w:r>
    </w:p>
    <w:p>
      <w:pPr>
        <w:spacing w:after="0" w:line="1" w:lineRule="exact"/>
        <w:rPr>
          <w:sz w:val="20"/>
          <w:szCs w:val="20"/>
          <w:color w:val="auto"/>
        </w:rPr>
      </w:pPr>
    </w:p>
    <w:p>
      <w:pPr>
        <w:jc w:val="both"/>
        <w:ind w:firstLine="8"/>
        <w:spacing w:after="0" w:line="273" w:lineRule="auto"/>
        <w:tabs>
          <w:tab w:leader="none" w:pos="438" w:val="left"/>
        </w:tabs>
        <w:numPr>
          <w:ilvl w:val="0"/>
          <w:numId w:val="83"/>
        </w:numPr>
        <w:rPr>
          <w:rFonts w:ascii="Arial" w:cs="Arial" w:eastAsia="Arial" w:hAnsi="Arial"/>
          <w:sz w:val="16"/>
          <w:szCs w:val="16"/>
          <w:b w:val="1"/>
          <w:bCs w:val="1"/>
          <w:color w:val="auto"/>
        </w:rPr>
      </w:pPr>
      <w:r>
        <w:rPr>
          <w:rFonts w:ascii="Arial" w:cs="Arial" w:eastAsia="Arial" w:hAnsi="Arial"/>
          <w:sz w:val="19"/>
          <w:szCs w:val="19"/>
          <w:color w:val="auto"/>
        </w:rPr>
        <w:t xml:space="preserve">in such country (as measured by </w:t>
      </w:r>
      <w:r>
        <w:rPr>
          <w:rFonts w:ascii="Arial" w:cs="Arial" w:eastAsia="Arial" w:hAnsi="Arial"/>
          <w:sz w:val="15"/>
          <w:szCs w:val="15"/>
          <w:b w:val="1"/>
          <w:bCs w:val="1"/>
          <w:color w:val="auto"/>
        </w:rPr>
        <w:t>[***]</w:t>
      </w:r>
      <w:r>
        <w:rPr>
          <w:rFonts w:ascii="Arial" w:cs="Arial" w:eastAsia="Arial" w:hAnsi="Arial"/>
          <w:sz w:val="19"/>
          <w:szCs w:val="19"/>
          <w:color w:val="auto"/>
        </w:rPr>
        <w:t xml:space="preserve">), the royalty payable to TG solely with respect to such country shall be reduced by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the royalty rate set forth in </w:t>
      </w:r>
      <w:r>
        <w:rPr>
          <w:rFonts w:ascii="Arial" w:cs="Arial" w:eastAsia="Arial" w:hAnsi="Arial"/>
          <w:sz w:val="19"/>
          <w:szCs w:val="19"/>
          <w:u w:val="single" w:color="auto"/>
          <w:color w:val="auto"/>
        </w:rPr>
        <w:t>Section 8.3.1</w:t>
      </w:r>
      <w:r>
        <w:rPr>
          <w:rFonts w:ascii="Arial" w:cs="Arial" w:eastAsia="Arial" w:hAnsi="Arial"/>
          <w:sz w:val="19"/>
          <w:szCs w:val="19"/>
          <w:color w:val="auto"/>
        </w:rPr>
        <w:t xml:space="preserve"> that would otherwise be applicable with respect to Net Sales of such Product in such country; provided, however, that in the event that, in any subsequent Calendar Quarter, sales of such Biosimilar Product account for less than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Company’s </w:t>
      </w:r>
      <w:r>
        <w:rPr>
          <w:rFonts w:ascii="Arial" w:cs="Arial" w:eastAsia="Arial" w:hAnsi="Arial"/>
          <w:sz w:val="15"/>
          <w:szCs w:val="15"/>
          <w:b w:val="1"/>
          <w:bCs w:val="1"/>
          <w:color w:val="auto"/>
        </w:rPr>
        <w:t>[***]</w:t>
      </w:r>
      <w:r>
        <w:rPr>
          <w:rFonts w:ascii="Arial" w:cs="Arial" w:eastAsia="Arial" w:hAnsi="Arial"/>
          <w:sz w:val="19"/>
          <w:szCs w:val="19"/>
          <w:color w:val="auto"/>
        </w:rPr>
        <w:t xml:space="preserve"> in such country, the foregoing reduction shall no longer apply and Company shall pay the royalty payments in accordance with </w:t>
      </w:r>
      <w:r>
        <w:rPr>
          <w:rFonts w:ascii="Arial" w:cs="Arial" w:eastAsia="Arial" w:hAnsi="Arial"/>
          <w:sz w:val="19"/>
          <w:szCs w:val="19"/>
          <w:u w:val="single" w:color="auto"/>
          <w:color w:val="auto"/>
        </w:rPr>
        <w:t>Section 8.3.1</w:t>
      </w:r>
      <w:r>
        <w:rPr>
          <w:rFonts w:ascii="Arial" w:cs="Arial" w:eastAsia="Arial" w:hAnsi="Arial"/>
          <w:sz w:val="19"/>
          <w:szCs w:val="19"/>
          <w:color w:val="auto"/>
        </w:rPr>
        <w:t xml:space="preserve">, without reduction, for all subsequent Calendar Quarters during the Term. </w:t>
      </w:r>
      <w:r>
        <w:rPr>
          <w:rFonts w:ascii="Arial" w:cs="Arial" w:eastAsia="Arial" w:hAnsi="Arial"/>
          <w:sz w:val="19"/>
          <w:szCs w:val="19"/>
          <w:u w:val="single" w:color="auto"/>
          <w:color w:val="auto"/>
        </w:rPr>
        <w:t>Schedule 8.3.5</w:t>
      </w:r>
      <w:r>
        <w:rPr>
          <w:rFonts w:ascii="Arial" w:cs="Arial" w:eastAsia="Arial" w:hAnsi="Arial"/>
          <w:sz w:val="19"/>
          <w:szCs w:val="19"/>
          <w:color w:val="auto"/>
        </w:rPr>
        <w:t xml:space="preserve"> sets forth, for illustration purposes only, example calculations of the royalty reduction described in this </w:t>
      </w:r>
      <w:r>
        <w:rPr>
          <w:rFonts w:ascii="Arial" w:cs="Arial" w:eastAsia="Arial" w:hAnsi="Arial"/>
          <w:sz w:val="19"/>
          <w:szCs w:val="19"/>
          <w:u w:val="single" w:color="auto"/>
          <w:color w:val="auto"/>
        </w:rPr>
        <w:t>Section 8.3.5</w:t>
      </w:r>
      <w:r>
        <w:rPr>
          <w:rFonts w:ascii="Arial" w:cs="Arial" w:eastAsia="Arial" w:hAnsi="Arial"/>
          <w:sz w:val="19"/>
          <w:szCs w:val="19"/>
          <w:color w:val="auto"/>
        </w:rPr>
        <w:t>.</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8.3.6</w:t>
      </w:r>
      <w:r>
        <w:rPr>
          <w:sz w:val="20"/>
          <w:szCs w:val="20"/>
          <w:color w:val="auto"/>
        </w:rPr>
        <w:tab/>
      </w:r>
      <w:r>
        <w:rPr>
          <w:rFonts w:ascii="Arial" w:cs="Arial" w:eastAsia="Arial" w:hAnsi="Arial"/>
          <w:sz w:val="19"/>
          <w:szCs w:val="19"/>
          <w:u w:val="single" w:color="auto"/>
          <w:color w:val="auto"/>
        </w:rPr>
        <w:t>Payments; Taxes; Currency Restrictions</w:t>
      </w:r>
      <w:r>
        <w:rPr>
          <w:rFonts w:ascii="Arial" w:cs="Arial" w:eastAsia="Arial" w:hAnsi="Arial"/>
          <w:sz w:val="19"/>
          <w:szCs w:val="19"/>
          <w:color w:val="auto"/>
        </w:rPr>
        <w:t>.</w:t>
      </w:r>
    </w:p>
    <w:p>
      <w:pPr>
        <w:spacing w:after="0" w:line="206" w:lineRule="exact"/>
        <w:rPr>
          <w:sz w:val="20"/>
          <w:szCs w:val="20"/>
          <w:color w:val="auto"/>
        </w:rPr>
      </w:pPr>
    </w:p>
    <w:p>
      <w:pPr>
        <w:jc w:val="both"/>
        <w:ind w:firstLine="1952"/>
        <w:spacing w:after="0" w:line="236" w:lineRule="auto"/>
        <w:tabs>
          <w:tab w:leader="none" w:pos="2592"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Payments in United States Dollars</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Section 8.3.5(b)</w:t>
      </w:r>
      <w:r>
        <w:rPr>
          <w:rFonts w:ascii="Arial" w:cs="Arial" w:eastAsia="Arial" w:hAnsi="Arial"/>
          <w:sz w:val="22"/>
          <w:szCs w:val="22"/>
          <w:color w:val="auto"/>
        </w:rPr>
        <w:t xml:space="preserve"> below, all payments made by Company under this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shall be made by wire transfer in United States Dollars in accordance with wire transfer instructions provided to Company in writing from time to time by TG. If in any Calendar Quarter, Net Sales are made in any currency other than United States Dollars, such Net Sales shall be converted into United States Dollars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 where</w:t>
      </w:r>
    </w:p>
    <w:p>
      <w:pPr>
        <w:spacing w:after="0" w:line="206"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A = foreign “Net Sales” (as defined above) in such Calendar Quarter expressed in such foreign currency;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5" w:name="page126"/>
    <w:bookmarkEnd w:id="125"/>
    <w:p>
      <w:pPr>
        <w:jc w:val="both"/>
        <w:ind w:left="660"/>
        <w:spacing w:after="0" w:line="252" w:lineRule="auto"/>
        <w:rPr>
          <w:sz w:val="20"/>
          <w:szCs w:val="20"/>
          <w:color w:val="auto"/>
        </w:rPr>
      </w:pPr>
      <w:r>
        <w:rPr>
          <w:rFonts w:ascii="Arial" w:cs="Arial" w:eastAsia="Arial" w:hAnsi="Arial"/>
          <w:sz w:val="21"/>
          <w:szCs w:val="21"/>
          <w:color w:val="auto"/>
        </w:rPr>
        <w:t xml:space="preserve">B = foreign exchange conversion rate, expressed in local currency of the foreign country per United States Dollar (using, as the applicable foreign exchange rate, the spot purchase rate published in the </w:t>
      </w:r>
      <w:r>
        <w:rPr>
          <w:rFonts w:ascii="Arial" w:cs="Arial" w:eastAsia="Arial" w:hAnsi="Arial"/>
          <w:sz w:val="21"/>
          <w:szCs w:val="21"/>
          <w:i w:val="1"/>
          <w:iCs w:val="1"/>
          <w:color w:val="auto"/>
        </w:rPr>
        <w:t>Financial</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Times </w:t>
      </w:r>
      <w:r>
        <w:rPr>
          <w:rFonts w:ascii="Arial" w:cs="Arial" w:eastAsia="Arial" w:hAnsi="Arial"/>
          <w:sz w:val="21"/>
          <w:szCs w:val="21"/>
          <w:color w:val="auto"/>
        </w:rPr>
        <w:t>on the last Business Day of each Calendar Quarter in which any payment is due and payable or any</w:t>
      </w:r>
      <w:r>
        <w:rPr>
          <w:rFonts w:ascii="Arial" w:cs="Arial" w:eastAsia="Arial" w:hAnsi="Arial"/>
          <w:sz w:val="21"/>
          <w:szCs w:val="21"/>
          <w:i w:val="1"/>
          <w:iCs w:val="1"/>
          <w:color w:val="auto"/>
        </w:rPr>
        <w:t xml:space="preserve"> </w:t>
      </w:r>
      <w:r>
        <w:rPr>
          <w:rFonts w:ascii="Arial" w:cs="Arial" w:eastAsia="Arial" w:hAnsi="Arial"/>
          <w:sz w:val="21"/>
          <w:szCs w:val="21"/>
          <w:color w:val="auto"/>
        </w:rPr>
        <w:t>other mutually agreed upon source, for such Calendar Quarter).</w:t>
      </w:r>
    </w:p>
    <w:p>
      <w:pPr>
        <w:spacing w:after="0" w:line="174" w:lineRule="exact"/>
        <w:rPr>
          <w:sz w:val="20"/>
          <w:szCs w:val="20"/>
          <w:color w:val="auto"/>
        </w:rPr>
      </w:pPr>
    </w:p>
    <w:p>
      <w:pPr>
        <w:jc w:val="both"/>
        <w:ind w:firstLine="1952"/>
        <w:spacing w:after="0" w:line="246" w:lineRule="auto"/>
        <w:tabs>
          <w:tab w:leader="none" w:pos="2592"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Company is responsible for all taxes, duties, import duties, assessments, and other governmental charges, however designated, which are now or hereafter imposed by any authority on Company only to the extent Company is the taxpayer according to Applicable Law. The existence of duties or import duties payable by TG according to Applicable Law (for the avoidance of doubt, not including any withholding taxes payable by TG) shall not increase accordingly the amounts payable by Company unless the local regulation governing any such duties or import duties expressly allows the taxpayer to pass this cost on to the Company, in which case the sum payable by Company to TG pursuant to the terms of this Agreement shall be increased by such obligation.</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Without prejudice to the Gross-Up Mechanism established (and defined) below, if Applicable Laws require that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Taxes be deducted and withheld from a payment made pursuant to this </w:t>
      </w:r>
      <w:r>
        <w:rPr>
          <w:rFonts w:ascii="Arial" w:cs="Arial" w:eastAsia="Arial" w:hAnsi="Arial"/>
          <w:sz w:val="22"/>
          <w:szCs w:val="22"/>
          <w:u w:val="single" w:color="auto"/>
          <w:color w:val="auto"/>
        </w:rPr>
        <w:t>Article 8</w:t>
      </w:r>
      <w:r>
        <w:rPr>
          <w:rFonts w:ascii="Arial" w:cs="Arial" w:eastAsia="Arial" w:hAnsi="Arial"/>
          <w:sz w:val="22"/>
          <w:szCs w:val="22"/>
          <w:color w:val="auto"/>
        </w:rPr>
        <w:t>:</w:t>
      </w:r>
    </w:p>
    <w:p>
      <w:pPr>
        <w:spacing w:after="0" w:line="188" w:lineRule="exact"/>
        <w:rPr>
          <w:sz w:val="20"/>
          <w:szCs w:val="20"/>
          <w:color w:val="auto"/>
        </w:rPr>
      </w:pPr>
    </w:p>
    <w:p>
      <w:pPr>
        <w:jc w:val="both"/>
        <w:ind w:firstLine="2600"/>
        <w:spacing w:after="0" w:line="297" w:lineRule="auto"/>
        <w:tabs>
          <w:tab w:leader="none" w:pos="2887" w:val="left"/>
        </w:tabs>
        <w:numPr>
          <w:ilvl w:val="0"/>
          <w:numId w:val="86"/>
        </w:numPr>
        <w:rPr>
          <w:rFonts w:ascii="Arial" w:cs="Arial" w:eastAsia="Arial" w:hAnsi="Arial"/>
          <w:sz w:val="19"/>
          <w:szCs w:val="19"/>
          <w:color w:val="auto"/>
        </w:rPr>
      </w:pPr>
      <w:r>
        <w:rPr>
          <w:rFonts w:ascii="Arial" w:cs="Arial" w:eastAsia="Arial" w:hAnsi="Arial"/>
          <w:sz w:val="19"/>
          <w:szCs w:val="19"/>
          <w:color w:val="auto"/>
        </w:rPr>
        <w:t>Company shall (A) deduct those Taxes in the amount required by Applicable Laws from the payment; (B) pay the Taxes to the proper taxing authority; and (C) send evidence of the obligation together with proof of payment to TG within thirty (30) days following that payment, and</w:t>
      </w:r>
    </w:p>
    <w:p>
      <w:pPr>
        <w:spacing w:after="0" w:line="133" w:lineRule="exact"/>
        <w:rPr>
          <w:rFonts w:ascii="Arial" w:cs="Arial" w:eastAsia="Arial" w:hAnsi="Arial"/>
          <w:sz w:val="19"/>
          <w:szCs w:val="19"/>
          <w:color w:val="auto"/>
        </w:rPr>
      </w:pPr>
    </w:p>
    <w:p>
      <w:pPr>
        <w:jc w:val="both"/>
        <w:ind w:firstLine="2600"/>
        <w:spacing w:after="0" w:line="244" w:lineRule="auto"/>
        <w:tabs>
          <w:tab w:leader="none" w:pos="2984"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Parties shall perform all acts (including by executing all appropriate documents and/or filing all appropriate tax returns, applications, filing or information with any competent governmental authority) so as to enable the other Party to take advantage of any applicable double taxation agreement or treaty or to otherwise secure any applicable exemption from or reduction in withholding Taxes, including the delivery of any prescribed forms necessary (or which have been requested by a governmental authority) to reduce the applicable rate of withholding or relieve the obligation to withhold such tax or any other information or documentation requested by a Party to comply with its tax obligations (for example, and non-exclusively, a tax resident certificate within the meaning of the applicable double tax treaty issued by the relevant US tax authority confirming that TG is tax resident in the US within the meaning of the Spain-US tax treaty, the “</w:t>
      </w:r>
      <w:r>
        <w:rPr>
          <w:rFonts w:ascii="Arial" w:cs="Arial" w:eastAsia="Arial" w:hAnsi="Arial"/>
          <w:sz w:val="21"/>
          <w:szCs w:val="21"/>
          <w:b w:val="1"/>
          <w:bCs w:val="1"/>
          <w:i w:val="1"/>
          <w:iCs w:val="1"/>
          <w:color w:val="auto"/>
        </w:rPr>
        <w:t>DTT Residence Certificate</w:t>
      </w:r>
      <w:r>
        <w:rPr>
          <w:rFonts w:ascii="Arial" w:cs="Arial" w:eastAsia="Arial" w:hAnsi="Arial"/>
          <w:sz w:val="21"/>
          <w:szCs w:val="21"/>
          <w:color w:val="auto"/>
        </w:rPr>
        <w:t xml:space="preserve">”) and such shall be provided on an annual basis before the due date of the first payment under this Agreement for such Calendar Year, including but not limited to the form attached as </w:t>
      </w:r>
      <w:r>
        <w:rPr>
          <w:rFonts w:ascii="Arial" w:cs="Arial" w:eastAsia="Arial" w:hAnsi="Arial"/>
          <w:sz w:val="21"/>
          <w:szCs w:val="21"/>
          <w:u w:val="single" w:color="auto"/>
          <w:color w:val="auto"/>
        </w:rPr>
        <w:t>Schedule 8.3.6</w:t>
      </w:r>
      <w:r>
        <w:rPr>
          <w:rFonts w:ascii="Arial" w:cs="Arial" w:eastAsia="Arial" w:hAnsi="Arial"/>
          <w:sz w:val="21"/>
          <w:szCs w:val="21"/>
          <w:color w:val="auto"/>
        </w:rPr>
        <w:t>.</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Any deductions or withholding for taxes that Company is required by Applicable Law to deduct or withhold on remittance of payments to TG pursuant to the terms of this Agreement shall be paid forthwith by Company to the appropriate taxing authority, and the sum payable by Company to TG pursuant to the terms of this Agreement shall be increased as necessary so that after any required withholding or the making of all required deductions (including deductions or withholdings applicable to additional sums payable under this provision), TG receives an amount equal to the sum which would have been received by TG had no such deduction or withholding been made (the “</w:t>
      </w:r>
      <w:r>
        <w:rPr>
          <w:rFonts w:ascii="Arial" w:cs="Arial" w:eastAsia="Arial" w:hAnsi="Arial"/>
          <w:sz w:val="19"/>
          <w:szCs w:val="19"/>
          <w:b w:val="1"/>
          <w:bCs w:val="1"/>
          <w:i w:val="1"/>
          <w:iCs w:val="1"/>
          <w:color w:val="auto"/>
        </w:rPr>
        <w:t>Gross-Up Mechanism</w:t>
      </w:r>
      <w:r>
        <w:rPr>
          <w:rFonts w:ascii="Arial" w:cs="Arial" w:eastAsia="Arial" w:hAnsi="Arial"/>
          <w:sz w:val="19"/>
          <w:szCs w:val="19"/>
          <w:color w:val="auto"/>
        </w:rPr>
        <w:t xml:space="preserve">”). Where Taxes have been deducted or withheld by Company from a payment made pursuant to this </w:t>
      </w:r>
      <w:r>
        <w:rPr>
          <w:rFonts w:ascii="Arial" w:cs="Arial" w:eastAsia="Arial" w:hAnsi="Arial"/>
          <w:sz w:val="19"/>
          <w:szCs w:val="19"/>
          <w:u w:val="single" w:color="auto"/>
          <w:color w:val="auto"/>
        </w:rPr>
        <w:t>Article 8</w:t>
      </w:r>
      <w:r>
        <w:rPr>
          <w:rFonts w:ascii="Arial" w:cs="Arial" w:eastAsia="Arial" w:hAnsi="Arial"/>
          <w:sz w:val="19"/>
          <w:szCs w:val="19"/>
          <w:color w:val="auto"/>
        </w:rPr>
        <w:t>, TG will be required to pursue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6" w:name="page127"/>
    <w:bookmarkEnd w:id="126"/>
    <w:p>
      <w:pPr>
        <w:jc w:val="both"/>
        <w:spacing w:after="0" w:line="271" w:lineRule="auto"/>
        <w:rPr>
          <w:sz w:val="20"/>
          <w:szCs w:val="20"/>
          <w:color w:val="auto"/>
        </w:rPr>
      </w:pPr>
      <w:r>
        <w:rPr>
          <w:rFonts w:ascii="Arial" w:cs="Arial" w:eastAsia="Arial" w:hAnsi="Arial"/>
          <w:sz w:val="19"/>
          <w:szCs w:val="19"/>
          <w:color w:val="auto"/>
        </w:rPr>
        <w:t>commercially reasonable actions and tax filings according to Applicable Law to obtain and claim any available refund, relief, exemption, tax credit, tax benefit or others in order to eliminate any double taxation and/or to recover (or credit or refund) the taxes withheld and/or paid (in full or to the maximum extent permitted under Applicable Law) as promptly as possible in the US, Spain or elsewhere including but not limited to the applicable tax return corresponding to the fiscal year where such withholding or deduction has taken place. The maximum amount that is recoverable, refundable, creditable, or that otherwise could be claimed and/or received according to Applicable Law (including by any Affiliate of TG, e.g. under any group taxation regime) as a result of the application of those measures to eliminate any double taxation and/or to recover (or credit or refund) the Taxes withheld will be directly paid in cash to Company (or as an offset to any amounts due from Company to TG under this Agreement, at TG’s election) the day after the applicable tax return of the fiscal year where such relief has been used or claimed, is or should have been filed according to Applicable Law, even if it is not fully recovered, refunded, credited or otherwise received in that tax return but can potentially be in the future. The amounts recovered and to be paid to Company will be subsequently adjusted in case that they differ from the final amount resulting from an assessment received by any taxing authority and/or administrative court or courts of justice where the assessment, resolution and/or in general a decision reached by any of those bodies is final and no further appeal can be made.</w:t>
      </w:r>
    </w:p>
    <w:p>
      <w:pPr>
        <w:spacing w:after="0" w:line="200" w:lineRule="exact"/>
        <w:rPr>
          <w:sz w:val="20"/>
          <w:szCs w:val="20"/>
          <w:color w:val="auto"/>
        </w:rPr>
      </w:pP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Gross-Up Mechanism will not apply where TG ceases to be tax resident in the United States. The Gross-Up shall be limited to [***] of the amounts of taxes withheld or deducted from any payment resulting from this Agreement if there is a change in the Applicable Law that modifies the withholding tax rules relevant to this Agreement applicable at the date of signing and/or in the relevant provisions of the Spain-US tax treaty applicable to this Agreement at the date of signing (modifications that do not impact the application of withholding tax or the amount of withholding tax to be applied (if any) shall not be relevant for the purpose of this sentence).</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TG undertakes to (i) use best efforts to obtain a DTT Residence Certificate as soon as possible following the Effective Date, (ii) forward any such DTT Residence Certificate immediately after receipt to the Company and</w:t>
      </w:r>
    </w:p>
    <w:p>
      <w:pPr>
        <w:spacing w:after="0" w:line="1" w:lineRule="exact"/>
        <w:rPr>
          <w:sz w:val="20"/>
          <w:szCs w:val="20"/>
          <w:color w:val="auto"/>
        </w:rPr>
      </w:pPr>
    </w:p>
    <w:p>
      <w:pPr>
        <w:jc w:val="both"/>
        <w:ind w:firstLine="8"/>
        <w:spacing w:after="0" w:line="234" w:lineRule="auto"/>
        <w:tabs>
          <w:tab w:leader="none" w:pos="390"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deliver the confirmations and documentation included as template in </w:t>
      </w:r>
      <w:r>
        <w:rPr>
          <w:rFonts w:ascii="Arial" w:cs="Arial" w:eastAsia="Arial" w:hAnsi="Arial"/>
          <w:sz w:val="22"/>
          <w:szCs w:val="22"/>
          <w:u w:val="single" w:color="auto"/>
          <w:color w:val="auto"/>
        </w:rPr>
        <w:t>Schedule 8.3.6</w:t>
      </w:r>
      <w:r>
        <w:rPr>
          <w:rFonts w:ascii="Arial" w:cs="Arial" w:eastAsia="Arial" w:hAnsi="Arial"/>
          <w:sz w:val="22"/>
          <w:szCs w:val="22"/>
          <w:color w:val="auto"/>
        </w:rPr>
        <w:t xml:space="preserve"> properly completed and signed ("</w:t>
      </w:r>
      <w:r>
        <w:rPr>
          <w:rFonts w:ascii="Arial" w:cs="Arial" w:eastAsia="Arial" w:hAnsi="Arial"/>
          <w:sz w:val="22"/>
          <w:szCs w:val="22"/>
          <w:b w:val="1"/>
          <w:bCs w:val="1"/>
          <w:i w:val="1"/>
          <w:iCs w:val="1"/>
          <w:color w:val="auto"/>
        </w:rPr>
        <w:t>TG Residence Confirmation</w:t>
      </w:r>
      <w:r>
        <w:rPr>
          <w:rFonts w:ascii="Arial" w:cs="Arial" w:eastAsia="Arial" w:hAnsi="Arial"/>
          <w:sz w:val="22"/>
          <w:szCs w:val="22"/>
          <w:color w:val="auto"/>
        </w:rPr>
        <w:t>") immediately after the signing of this Agreement and before the first payment under this Agreement from the Company to TG.</w:t>
      </w:r>
    </w:p>
    <w:p>
      <w:pPr>
        <w:spacing w:after="0" w:line="7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Where TG does not provide Company with a proper DTT Residence Certificate and the documents in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8.3.6</w:t>
      </w:r>
      <w:r>
        <w:rPr>
          <w:rFonts w:ascii="Arial" w:cs="Arial" w:eastAsia="Arial" w:hAnsi="Arial"/>
          <w:sz w:val="21"/>
          <w:szCs w:val="21"/>
          <w:color w:val="auto"/>
        </w:rPr>
        <w:t xml:space="preserve"> of this Agreement, on an annual basis (understood as each year and referring to the specific fiscal year where payments under this Agreement are made and in relation to the TG Residence Confirmation in any case before the first payment to be made by the Company under this Agreement), or where such information and/or documents, where applicable, are missing, false, incorrect, unclear, inconclusive or inaccurate, any Loss (including for the avoidance of doubt any Tax, Withholding Tax delay payment interest, surcharges or penalties generated and/or applicable) of the Company (or the wider Neuraxpharm Group) directly caused, generated upon or occurring as a result of any such non-provision or missing, false, incorrect, unclear, inconclusive or inaccurate information and/or documentation, shall be indemnified by TG to Company and TG will hold Company harmless from any such Loss.</w:t>
      </w:r>
    </w:p>
    <w:p>
      <w:pPr>
        <w:spacing w:after="0" w:line="7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the case such Loss is a Tax (and related additions, interest or late payment penalties) that arises as a result of a Tax audit assessment or any other (tax) assessment deriving from a verification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7" w:name="page128"/>
    <w:bookmarkEnd w:id="127"/>
    <w:p>
      <w:pPr>
        <w:jc w:val="both"/>
        <w:spacing w:after="0" w:line="249" w:lineRule="auto"/>
        <w:rPr>
          <w:sz w:val="20"/>
          <w:szCs w:val="20"/>
          <w:color w:val="auto"/>
        </w:rPr>
      </w:pPr>
      <w:r>
        <w:rPr>
          <w:rFonts w:ascii="Arial" w:cs="Arial" w:eastAsia="Arial" w:hAnsi="Arial"/>
          <w:sz w:val="21"/>
          <w:szCs w:val="21"/>
          <w:color w:val="auto"/>
        </w:rPr>
        <w:t>procedure or otherwise by any governmental authority (including any taxing authority or (tax) courts), the amount to be paid by TG to Company will be the final amount resulting from any assessment received by any such governmental authority if and when such assessment is final cannot be further appealed. Without prejudice to the above, TG will assume and pay the corresponding amounts resulting from the assessment as soon as those amounts are required to be paid by such relevant governmental authority.</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For the purposes of this </w:t>
      </w:r>
      <w:r>
        <w:rPr>
          <w:rFonts w:ascii="Arial" w:cs="Arial" w:eastAsia="Arial" w:hAnsi="Arial"/>
          <w:sz w:val="21"/>
          <w:szCs w:val="21"/>
          <w:u w:val="single" w:color="auto"/>
          <w:color w:val="auto"/>
        </w:rPr>
        <w:t>Section 8.3.6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11.2.5(b)</w:t>
      </w:r>
      <w:r>
        <w:rPr>
          <w:rFonts w:ascii="Arial" w:cs="Arial" w:eastAsia="Arial" w:hAnsi="Arial"/>
          <w:sz w:val="21"/>
          <w:szCs w:val="21"/>
          <w:color w:val="auto"/>
        </w:rPr>
        <w:t>, any reference to TG shall mean and oblige each of TG Therapeutics, Inc. and TG Biologics, Inc. individually, and each of them shall individually be obliged to in particular provide the documentation required to be provided by them hereunder.</w:t>
      </w:r>
    </w:p>
    <w:p>
      <w:pPr>
        <w:spacing w:after="0" w:line="61" w:lineRule="exact"/>
        <w:rPr>
          <w:sz w:val="20"/>
          <w:szCs w:val="20"/>
          <w:color w:val="auto"/>
        </w:rPr>
      </w:pPr>
    </w:p>
    <w:p>
      <w:pPr>
        <w:jc w:val="both"/>
        <w:ind w:firstLine="1952"/>
        <w:spacing w:after="0" w:line="236" w:lineRule="auto"/>
        <w:tabs>
          <w:tab w:leader="none" w:pos="259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Assessment</w:t>
      </w:r>
      <w:r>
        <w:rPr>
          <w:rFonts w:ascii="Arial" w:cs="Arial" w:eastAsia="Arial" w:hAnsi="Arial"/>
          <w:sz w:val="22"/>
          <w:szCs w:val="22"/>
          <w:color w:val="auto"/>
        </w:rPr>
        <w:t>. Either Party may, at its own expense, protest any assessment, proposed assessment, or other claim by any governmental authority for any additional amount of Taxes, interest or penalties or seek a refund of such amounts paid if permitted to do so by Applicable Law. The Parties shall cooperate with each other in any protest by providing records and such additional information as may reasonably be necessary for a Party to pursue such protest.</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Subject to paragraph b) above of </w:t>
      </w:r>
      <w:r>
        <w:rPr>
          <w:rFonts w:ascii="Arial" w:cs="Arial" w:eastAsia="Arial" w:hAnsi="Arial"/>
          <w:sz w:val="22"/>
          <w:szCs w:val="22"/>
          <w:u w:val="single" w:color="auto"/>
          <w:color w:val="auto"/>
        </w:rPr>
        <w:t>Section 8.3.6</w:t>
      </w:r>
      <w:r>
        <w:rPr>
          <w:rFonts w:ascii="Arial" w:cs="Arial" w:eastAsia="Arial" w:hAnsi="Arial"/>
          <w:sz w:val="22"/>
          <w:szCs w:val="22"/>
          <w:color w:val="auto"/>
        </w:rPr>
        <w:t>), in the case the result of any assessment, proposed assessment, or other claims by any Governmental Authorities with respect to Taxes is due to missing, false, incorrect or inaccurate information provided, Taxes will be borne by the relevant taxpayer according to Applicable Law, including penalties, interest or additions to Tax attributable thereto.</w:t>
      </w:r>
    </w:p>
    <w:p>
      <w:pPr>
        <w:spacing w:after="0" w:line="185" w:lineRule="exact"/>
        <w:rPr>
          <w:sz w:val="20"/>
          <w:szCs w:val="20"/>
          <w:color w:val="auto"/>
        </w:rPr>
      </w:pPr>
    </w:p>
    <w:p>
      <w:pPr>
        <w:jc w:val="both"/>
        <w:ind w:firstLine="1952"/>
        <w:spacing w:after="0" w:line="282" w:lineRule="auto"/>
        <w:tabs>
          <w:tab w:leader="none" w:pos="2592" w:val="left"/>
        </w:tabs>
        <w:numPr>
          <w:ilvl w:val="1"/>
          <w:numId w:val="89"/>
        </w:numPr>
        <w:rPr>
          <w:rFonts w:ascii="Arial" w:cs="Arial" w:eastAsia="Arial" w:hAnsi="Arial"/>
          <w:sz w:val="19"/>
          <w:szCs w:val="19"/>
          <w:color w:val="auto"/>
        </w:rPr>
      </w:pPr>
      <w:r>
        <w:rPr>
          <w:rFonts w:ascii="Arial" w:cs="Arial" w:eastAsia="Arial" w:hAnsi="Arial"/>
          <w:sz w:val="19"/>
          <w:szCs w:val="19"/>
          <w:u w:val="single" w:color="auto"/>
          <w:color w:val="auto"/>
        </w:rPr>
        <w:t>Currency Restrictions</w:t>
      </w:r>
      <w:r>
        <w:rPr>
          <w:rFonts w:ascii="Arial" w:cs="Arial" w:eastAsia="Arial" w:hAnsi="Arial"/>
          <w:sz w:val="19"/>
          <w:szCs w:val="19"/>
          <w:color w:val="auto"/>
        </w:rPr>
        <w:t>. If any restrictions on the transfer of currency exist in any country in which Products are sold that prevent Company from making royalty payments thereon in United States Dollars, Company shall make royalty payments on the sales in such country in the local currency by deposit in a local bank or other depository designated in writing by TG (or, in the absence of such designation, at a local bank or other depository selected by Company and identified by Company by written notice to TG).</w:t>
      </w:r>
    </w:p>
    <w:p>
      <w:pPr>
        <w:spacing w:after="0" w:line="141" w:lineRule="exact"/>
        <w:rPr>
          <w:rFonts w:ascii="Arial" w:cs="Arial" w:eastAsia="Arial" w:hAnsi="Arial"/>
          <w:sz w:val="19"/>
          <w:szCs w:val="19"/>
          <w:color w:val="auto"/>
        </w:rPr>
      </w:pPr>
    </w:p>
    <w:p>
      <w:pPr>
        <w:ind w:left="2080" w:hanging="646"/>
        <w:spacing w:after="0"/>
        <w:tabs>
          <w:tab w:leader="none" w:pos="208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TREATMENT OF CONFIDENTIAL INFORMATION; PUBLICITY</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Confidentiality.</w:t>
      </w:r>
    </w:p>
    <w:p>
      <w:pPr>
        <w:spacing w:after="0" w:line="20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Confidentiality Obligations</w:t>
      </w:r>
      <w:r>
        <w:rPr>
          <w:rFonts w:ascii="Arial" w:cs="Arial" w:eastAsia="Arial" w:hAnsi="Arial"/>
          <w:sz w:val="19"/>
          <w:szCs w:val="19"/>
          <w:color w:val="auto"/>
        </w:rPr>
        <w:t xml:space="preserve">. TG and Company each recognize that the other Party’s Confidential Information and Proprietary Materials constitute highly valuable assets of such other Party. TG and Company each agrees that, (a) subject to </w:t>
      </w:r>
      <w:r>
        <w:rPr>
          <w:rFonts w:ascii="Arial" w:cs="Arial" w:eastAsia="Arial" w:hAnsi="Arial"/>
          <w:sz w:val="19"/>
          <w:szCs w:val="19"/>
          <w:u w:val="single" w:color="auto"/>
          <w:color w:val="auto"/>
        </w:rPr>
        <w:t>Section 9.1.2</w:t>
      </w:r>
      <w:r>
        <w:rPr>
          <w:rFonts w:ascii="Arial" w:cs="Arial" w:eastAsia="Arial" w:hAnsi="Arial"/>
          <w:sz w:val="19"/>
          <w:szCs w:val="19"/>
          <w:color w:val="auto"/>
        </w:rPr>
        <w:t>, during the Term and for an additional ten (10) years after termination or expiration of this Agreement it will not disclose, and will cause its Affiliates, Sublicensees, and Distributors not to disclose whether directly or indirectly, in any manner whatsoever, any Confidential Information or Proprietary Materials of the other Party, and (b) it will not use, and will cause its Affiliates, Sublicensees, and Distributors not to use, any Confidential Information or Proprietary Materials of the other Party, without the prior written consent of the Disclosing Party, except as expressly permitted hereunder.</w:t>
      </w:r>
    </w:p>
    <w:p>
      <w:pPr>
        <w:spacing w:after="0" w:line="157"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9.1.2 </w:t>
      </w:r>
      <w:r>
        <w:rPr>
          <w:rFonts w:ascii="Arial" w:cs="Arial" w:eastAsia="Arial" w:hAnsi="Arial"/>
          <w:sz w:val="22"/>
          <w:szCs w:val="22"/>
          <w:u w:val="single" w:color="auto"/>
          <w:color w:val="auto"/>
        </w:rPr>
        <w:t>Limited Disclosure</w:t>
      </w:r>
      <w:r>
        <w:rPr>
          <w:rFonts w:ascii="Arial" w:cs="Arial" w:eastAsia="Arial" w:hAnsi="Arial"/>
          <w:sz w:val="22"/>
          <w:szCs w:val="22"/>
          <w:color w:val="auto"/>
        </w:rPr>
        <w:t>. TG and Company each agrees that disclosure of its Confidential Information or any transfer of its Proprietary Materials may be made by the other Party on a need-to-know basis to any employee, consultant, or Affiliate of such other Party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8" w:name="page129"/>
    <w:bookmarkEnd w:id="128"/>
    <w:p>
      <w:pPr>
        <w:jc w:val="both"/>
        <w:spacing w:after="0" w:line="270" w:lineRule="auto"/>
        <w:rPr>
          <w:sz w:val="20"/>
          <w:szCs w:val="20"/>
          <w:color w:val="auto"/>
        </w:rPr>
      </w:pPr>
      <w:r>
        <w:rPr>
          <w:rFonts w:ascii="Arial" w:cs="Arial" w:eastAsia="Arial" w:hAnsi="Arial"/>
          <w:sz w:val="19"/>
          <w:szCs w:val="19"/>
          <w:color w:val="auto"/>
        </w:rPr>
        <w:t xml:space="preserve">the extent the receiving Party is Company, to any Third Party subcontractor engaged by Company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in each case solely to the extent reasonably necessary to enable such other Party to exercise its rights or to carry out its responsibilities under this Agreement; provided, that, any such disclosure or transfer shall only be made to Persons who are bound by written obligations no less stringent than those obligations described in </w:t>
      </w:r>
      <w:r>
        <w:rPr>
          <w:rFonts w:ascii="Arial" w:cs="Arial" w:eastAsia="Arial" w:hAnsi="Arial"/>
          <w:sz w:val="19"/>
          <w:szCs w:val="19"/>
          <w:u w:val="single" w:color="auto"/>
          <w:color w:val="auto"/>
        </w:rPr>
        <w:t>Section 9.1.3</w:t>
      </w:r>
      <w:r>
        <w:rPr>
          <w:rFonts w:ascii="Arial" w:cs="Arial" w:eastAsia="Arial" w:hAnsi="Arial"/>
          <w:sz w:val="19"/>
          <w:szCs w:val="19"/>
          <w:color w:val="auto"/>
        </w:rPr>
        <w:t>. TG and Company each further agrees that the other Party may disclose its Confidential Information</w:t>
      </w:r>
    </w:p>
    <w:p>
      <w:pPr>
        <w:spacing w:after="0" w:line="4" w:lineRule="exact"/>
        <w:rPr>
          <w:sz w:val="20"/>
          <w:szCs w:val="20"/>
          <w:color w:val="auto"/>
        </w:rPr>
      </w:pPr>
    </w:p>
    <w:p>
      <w:pPr>
        <w:jc w:val="both"/>
        <w:ind w:firstLine="8"/>
        <w:spacing w:after="0" w:line="269" w:lineRule="auto"/>
        <w:tabs>
          <w:tab w:leader="none" w:pos="327"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on a need-to-know basis to such other Party’s legal and financial advisors; (b) as reasonably necessary in connection with an actual or potential (i) permitted sublicense of such Party’s rights hereunder, (ii) debt or equity financing of such other Party or (iii) acquisition, consolidation, share exchange, or other similar transaction involving such Party and any Third Party (including, without limitation, a Change of Control of TG); (c) to the extent the receiving Party is Company, to any Third Party that is or may be engaged by Company to perform services in connection with the Commercialization of the Product as necessary to enable such Third Party to perform such services; (d) to the extent the receiving Party is TG, to LFB (or, as applicable, Dr. Hadam under the Hadam License); (e) as reasonably necessary to make Regulatory Filings with respect to the Product under this Agreement or to respond to any inquiry made by any Regulatory Authority with respect to the Product and to prosecute or maintain Patent Rights, or to file, prosecute, or defend litigation related to Patent Rights, in accordance with this Agreement; (f) as required by Applicable Laws (which shall be determined by the Disclosing Party in its reasonable discretion, and including, without limitation, the requirements of any nationally recognized securities exchange, quotation system or over-the-counter market on which such Party has its securities listed or traded); provided, that, in the case of any disclosure under this clause (f), the Disclosing Party shall (i) if practicable, provide the other Party with reasonable advance notice of and an opportunity to comment on any such required disclosure and (ii) if requested by the Disclosing Party, cooperate in all reasonable respects with the Disclosing Party’s efforts to obtain confidential treatment or a protective order with respect to any such disclosure, at the Disclosing Party’s expense; provided, that, any such disclosure or transfer according to (a) – (d) above shall only be made to Persons who are bound by obligations no less stringent than those obligations described in </w:t>
      </w:r>
      <w:r>
        <w:rPr>
          <w:rFonts w:ascii="Arial" w:cs="Arial" w:eastAsia="Arial" w:hAnsi="Arial"/>
          <w:sz w:val="19"/>
          <w:szCs w:val="19"/>
          <w:u w:val="single" w:color="auto"/>
          <w:color w:val="auto"/>
        </w:rPr>
        <w:t>Section 9.1.3</w:t>
      </w:r>
      <w:r>
        <w:rPr>
          <w:rFonts w:ascii="Arial" w:cs="Arial" w:eastAsia="Arial" w:hAnsi="Arial"/>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9.1.3 </w:t>
      </w:r>
      <w:r>
        <w:rPr>
          <w:rFonts w:ascii="Arial" w:cs="Arial" w:eastAsia="Arial" w:hAnsi="Arial"/>
          <w:sz w:val="21"/>
          <w:szCs w:val="21"/>
          <w:u w:val="single" w:color="auto"/>
          <w:color w:val="auto"/>
        </w:rPr>
        <w:t>Employees and Consultants</w:t>
      </w:r>
      <w:r>
        <w:rPr>
          <w:rFonts w:ascii="Arial" w:cs="Arial" w:eastAsia="Arial" w:hAnsi="Arial"/>
          <w:sz w:val="21"/>
          <w:szCs w:val="21"/>
          <w:color w:val="auto"/>
        </w:rPr>
        <w:t>. TG and Company each hereby covenants and agrees that all of its employees and consultants, and all of the employees and consultants of its Affiliates, who have access to Confidential Information or Proprietary Materials of the other Party will, prior to having such access, be bound by written obligations to maintain such Confidential Information or Proprietary Materials in confidence that are no less stringent than those confidentiality and non-use provisions contained in this Agreement. Each Party agrees to use, and to cause its Affiliates to use, reasonable efforts to enforce such obligations and to prohibit its employees and consultants from using such information except as expressly permitted hereunder. Each Party will be liable to the other Party for any disclosure or misuse by its employees or consultants of Confidential Information or Proprietary Materials of the other Party.</w:t>
      </w:r>
    </w:p>
    <w:p>
      <w:pPr>
        <w:spacing w:after="0" w:line="184"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 xml:space="preserve">9.1.4 </w:t>
      </w:r>
      <w:r>
        <w:rPr>
          <w:rFonts w:ascii="Arial" w:cs="Arial" w:eastAsia="Arial" w:hAnsi="Arial"/>
          <w:sz w:val="19"/>
          <w:szCs w:val="19"/>
          <w:u w:val="single" w:color="auto"/>
          <w:color w:val="auto"/>
        </w:rPr>
        <w:t>Trade Secrets</w:t>
      </w:r>
      <w:r>
        <w:rPr>
          <w:rFonts w:ascii="Arial" w:cs="Arial" w:eastAsia="Arial" w:hAnsi="Arial"/>
          <w:sz w:val="19"/>
          <w:szCs w:val="19"/>
          <w:color w:val="auto"/>
        </w:rPr>
        <w:t>. Notwithstanding any provision to the contrary, to the extent that any of TG’s Confidential Information and/or Proprietary Materials constitutes a “trade secret” under Applicable Law, the confidentiality and non-use obligations under this Agreement shall continue for so long as such Confidential Information and/or Proprietary Materials constitutes a “trade secret” under Applicable Law. This Agreement is intended to be in addition to and not in lieu of common law or statutory protections provided for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29" w:name="page130"/>
    <w:bookmarkEnd w:id="129"/>
    <w:p>
      <w:pPr>
        <w:jc w:val="both"/>
        <w:ind w:firstLine="648"/>
        <w:spacing w:after="0" w:line="270"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Publicity</w:t>
      </w:r>
      <w:r>
        <w:rPr>
          <w:rFonts w:ascii="Arial" w:cs="Arial" w:eastAsia="Arial" w:hAnsi="Arial"/>
          <w:sz w:val="19"/>
          <w:szCs w:val="19"/>
          <w:color w:val="auto"/>
        </w:rPr>
        <w:t xml:space="preserve">. Notwithstanding anything to the contrary in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the Parties, upon the execution of this Agreement, shall jointly issue a press release with respect to this Agreement to be reasonably agreed by the Parties in substantially the form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and either Party may make subsequent public disclosure of the contents of such press release without further approval of the other Party. Subject to the foregoing, except as required by Applicable Laws (including those relating to disclosure of material information to investors), neither Party shall issue a press or news release or make any similar public announcement (it being understood that publication in scientific journals, presentation at scientific conferences and meetings, and the like are intended to be covered by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and not subject to this </w:t>
      </w:r>
      <w:r>
        <w:rPr>
          <w:rFonts w:ascii="Arial" w:cs="Arial" w:eastAsia="Arial" w:hAnsi="Arial"/>
          <w:sz w:val="19"/>
          <w:szCs w:val="19"/>
          <w:u w:val="single" w:color="auto"/>
          <w:color w:val="auto"/>
        </w:rPr>
        <w:t>Section 9.2</w:t>
      </w:r>
      <w:r>
        <w:rPr>
          <w:rFonts w:ascii="Arial" w:cs="Arial" w:eastAsia="Arial" w:hAnsi="Arial"/>
          <w:sz w:val="19"/>
          <w:szCs w:val="19"/>
          <w:color w:val="auto"/>
        </w:rPr>
        <w:t>) related to the terms or existence of this Agreement, any Company Development Activities, or the Commercialization of Product by or on behalf of Company, without the prior written consent of the other Party; provided, however, that either Party may make such a disclosure (a) to the extent required by Applicable Laws (including the requirements of any nationally recognized securities exchange, quotation system or over-the-counter market on which such Party has its securities listed or traded), or (b) to any investors, prospective investors, lenders, and other potential financing sources who are obligated to keep such information confidential. Once any press release or any other written statement is approved for disclosure by both Parties, either Party may make subsequent public disclosure of the contents of such statement without the further approval of the other Party. For the avoidance of doubt, nothing herein shall restrict TG’s ability to issue a press or news release to make any similar public announcements relating to its Development activities or its Commercialization activities of the Product.</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No Use of Name</w:t>
      </w:r>
      <w:r>
        <w:rPr>
          <w:rFonts w:ascii="Arial" w:cs="Arial" w:eastAsia="Arial" w:hAnsi="Arial"/>
          <w:sz w:val="22"/>
          <w:szCs w:val="22"/>
          <w:color w:val="auto"/>
        </w:rPr>
        <w:t>. Neither Party shall use the name of the other Party in any Promotional Materials or advertising without the prior express written permission of the other Party.</w:t>
      </w:r>
    </w:p>
    <w:p>
      <w:pPr>
        <w:spacing w:after="0" w:line="17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Publications and Presentations</w:t>
      </w:r>
      <w:r>
        <w:rPr>
          <w:rFonts w:ascii="Arial" w:cs="Arial" w:eastAsia="Arial" w:hAnsi="Arial"/>
          <w:sz w:val="22"/>
          <w:szCs w:val="22"/>
          <w:color w:val="auto"/>
        </w:rPr>
        <w:t>. Company shall not publish or present any results (the “</w:t>
      </w:r>
      <w:r>
        <w:rPr>
          <w:rFonts w:ascii="Arial" w:cs="Arial" w:eastAsia="Arial" w:hAnsi="Arial"/>
          <w:sz w:val="22"/>
          <w:szCs w:val="22"/>
          <w:b w:val="1"/>
          <w:bCs w:val="1"/>
          <w:i w:val="1"/>
          <w:iCs w:val="1"/>
          <w:color w:val="auto"/>
        </w:rPr>
        <w:t>Results</w:t>
      </w:r>
      <w:r>
        <w:rPr>
          <w:rFonts w:ascii="Arial" w:cs="Arial" w:eastAsia="Arial" w:hAnsi="Arial"/>
          <w:sz w:val="22"/>
          <w:szCs w:val="22"/>
          <w:color w:val="auto"/>
        </w:rPr>
        <w:t>”) of any Global Development Activities and/or Company Development Activities, without the prior written consent of TG in its sole discretion. Without limiting the generality of any provision in this Agreement, in the event that Company attends an international conference with attendees from both the Territory and the Excluded Territory, including, without limitation, ECTRIMS, EAN, AAN, and ACTRIMS, Company shall cooperate with TG regarding a coordinated approach to any and all such conferences, including with respect to a reasonable allocation of any associated costs.</w:t>
      </w:r>
    </w:p>
    <w:p>
      <w:pPr>
        <w:spacing w:after="0" w:line="185" w:lineRule="exact"/>
        <w:rPr>
          <w:sz w:val="20"/>
          <w:szCs w:val="20"/>
          <w:color w:val="auto"/>
        </w:rPr>
      </w:pPr>
    </w:p>
    <w:p>
      <w:pPr>
        <w:ind w:left="3380" w:hanging="653"/>
        <w:spacing w:after="0"/>
        <w:tabs>
          <w:tab w:leader="none" w:pos="338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INTELLECTUAL PROPERTY RIGHTS</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Ownership</w:t>
      </w:r>
      <w:r>
        <w:rPr>
          <w:rFonts w:ascii="Arial" w:cs="Arial" w:eastAsia="Arial" w:hAnsi="Arial"/>
          <w:sz w:val="22"/>
          <w:szCs w:val="22"/>
          <w:color w:val="auto"/>
        </w:rPr>
        <w:t>. As between the Parties, TG (and/or LFB, as applicable) is, and shall be, the sole and exclusive owner of all right, title, and interest in and to any and all Licensed Technology and Licensed Patent Rights. Additionally, TG (and/or LFB, as applicable, in accordance with the LFB License) shall be the sole and exclusive owner of all Arising IP, and Company shall promptly notify TG of the development of any such Arising IP (including that, upon TG’s request, Company shall provide to TG all data and specifications concerning such Arising IP). Company hereby assigns, and shall cause its Affiliates, Sublicensees, and Distributors and their respective personnel to assign, to TG and/or LFB, as applicable, all right, title, and interest, in and to all Arising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0" w:name="page131"/>
    <w:bookmarkEnd w:id="130"/>
    <w:p>
      <w:pPr>
        <w:jc w:val="both"/>
        <w:ind w:firstLine="648"/>
        <w:spacing w:after="0" w:line="246"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Filing, Prosecution, and Maintenance</w:t>
      </w:r>
      <w:r>
        <w:rPr>
          <w:rFonts w:ascii="Arial" w:cs="Arial" w:eastAsia="Arial" w:hAnsi="Arial"/>
          <w:sz w:val="21"/>
          <w:szCs w:val="21"/>
          <w:color w:val="auto"/>
        </w:rPr>
        <w:t xml:space="preserve">. TG and/or LFB, as applicable, shall have the sole right (but not obligation) to prepare and file patent applications with respect to, and to prosecute and maintain, at its sole cost, expense, and discretion, and using patent counsel or agents of its choice, all Licensed Patent Rights and patentable subject matter included in the Arising IP throughout the Territory, and to otherwise seek protection of any Licensed Technology or other Arising IP under applicable intellectual property laws. Company shall cooperate with and assist, and shall cause its Affiliates, Sublicensees, and Distributors and their respective personnel to cooperate with and assist, TG and/or LFB in all reasonable respects, in connection with TG’s and LFB’s activities under this </w:t>
      </w:r>
      <w:r>
        <w:rPr>
          <w:rFonts w:ascii="Arial" w:cs="Arial" w:eastAsia="Arial" w:hAnsi="Arial"/>
          <w:sz w:val="21"/>
          <w:szCs w:val="21"/>
          <w:u w:val="single" w:color="auto"/>
          <w:color w:val="auto"/>
        </w:rPr>
        <w:t>Section 10.2</w:t>
      </w:r>
      <w:r>
        <w:rPr>
          <w:rFonts w:ascii="Arial" w:cs="Arial" w:eastAsia="Arial" w:hAnsi="Arial"/>
          <w:sz w:val="21"/>
          <w:szCs w:val="21"/>
          <w:color w:val="auto"/>
        </w:rPr>
        <w:t>.</w:t>
      </w:r>
    </w:p>
    <w:p>
      <w:pPr>
        <w:spacing w:after="0" w:line="18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Information and Cooperation</w:t>
      </w:r>
      <w:r>
        <w:rPr>
          <w:rFonts w:ascii="Arial" w:cs="Arial" w:eastAsia="Arial" w:hAnsi="Arial"/>
          <w:sz w:val="21"/>
          <w:szCs w:val="21"/>
          <w:color w:val="auto"/>
        </w:rPr>
        <w:t>. Company hereby agrees to cooperate with TG and LFB in connection with the filing, prosecution, and maintenance of Patent Rights under this Agreement, including through the prompt execution and delivery of documents and instruments as may reasonably be required in connection therewith, including, without limitation, assignments. Without limiting the foregoing, TG shall</w:t>
      </w:r>
    </w:p>
    <w:p>
      <w:pPr>
        <w:spacing w:after="0" w:line="4" w:lineRule="exact"/>
        <w:rPr>
          <w:sz w:val="20"/>
          <w:szCs w:val="20"/>
          <w:color w:val="auto"/>
        </w:rPr>
      </w:pPr>
    </w:p>
    <w:p>
      <w:pPr>
        <w:jc w:val="both"/>
        <w:ind w:firstLine="8"/>
        <w:spacing w:after="0" w:line="266" w:lineRule="auto"/>
        <w:tabs>
          <w:tab w:leader="none" w:pos="303" w:val="left"/>
        </w:tabs>
        <w:numPr>
          <w:ilvl w:val="0"/>
          <w:numId w:val="93"/>
        </w:numPr>
        <w:rPr>
          <w:rFonts w:ascii="Arial" w:cs="Arial" w:eastAsia="Arial" w:hAnsi="Arial"/>
          <w:sz w:val="19"/>
          <w:szCs w:val="19"/>
          <w:color w:val="auto"/>
        </w:rPr>
      </w:pPr>
      <w:r>
        <w:rPr>
          <w:rFonts w:ascii="Arial" w:cs="Arial" w:eastAsia="Arial" w:hAnsi="Arial"/>
          <w:sz w:val="19"/>
          <w:szCs w:val="19"/>
          <w:color w:val="auto"/>
        </w:rPr>
        <w:t>promptly provide Company with copies of all patent applications filed with respect to the Licensed Patents in the Territory, to the extent such Patent Rights Cover the Product in the Field, and other material submissions and correspondence with applicable patent offices, in sufficient time to allow for Company to review and comment;</w:t>
      </w:r>
    </w:p>
    <w:p>
      <w:pPr>
        <w:spacing w:after="0" w:line="2" w:lineRule="exact"/>
        <w:rPr>
          <w:rFonts w:ascii="Arial" w:cs="Arial" w:eastAsia="Arial" w:hAnsi="Arial"/>
          <w:sz w:val="19"/>
          <w:szCs w:val="19"/>
          <w:color w:val="auto"/>
        </w:rPr>
      </w:pPr>
    </w:p>
    <w:p>
      <w:pPr>
        <w:jc w:val="both"/>
        <w:ind w:firstLine="8"/>
        <w:spacing w:after="0" w:line="233" w:lineRule="auto"/>
        <w:tabs>
          <w:tab w:leader="none" w:pos="352" w:val="left"/>
        </w:tabs>
        <w:numPr>
          <w:ilvl w:val="0"/>
          <w:numId w:val="93"/>
        </w:numPr>
        <w:rPr>
          <w:rFonts w:ascii="Arial" w:cs="Arial" w:eastAsia="Arial" w:hAnsi="Arial"/>
          <w:sz w:val="22"/>
          <w:szCs w:val="22"/>
          <w:color w:val="auto"/>
        </w:rPr>
      </w:pPr>
      <w:r>
        <w:rPr>
          <w:rFonts w:ascii="Arial" w:cs="Arial" w:eastAsia="Arial" w:hAnsi="Arial"/>
          <w:sz w:val="22"/>
          <w:szCs w:val="22"/>
          <w:color w:val="auto"/>
        </w:rPr>
        <w:t>provide Company and its patent counsel with an opportunity to consult with TG and its patent counsel regarding the filing and contents of any such application, amendment, submission or response; and (c) take into consideration in good faith the advice and suggestions of Company and its patent counsel in connection with such filing.</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Interference, Opposition, Reexamination, and Reissue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10.4.1 </w:t>
      </w:r>
      <w:r>
        <w:rPr>
          <w:rFonts w:ascii="Arial" w:cs="Arial" w:eastAsia="Arial" w:hAnsi="Arial"/>
          <w:sz w:val="22"/>
          <w:szCs w:val="22"/>
          <w:u w:val="single" w:color="auto"/>
          <w:color w:val="auto"/>
        </w:rPr>
        <w:t>Notice</w:t>
      </w:r>
      <w:r>
        <w:rPr>
          <w:rFonts w:ascii="Arial" w:cs="Arial" w:eastAsia="Arial" w:hAnsi="Arial"/>
          <w:sz w:val="22"/>
          <w:szCs w:val="22"/>
          <w:color w:val="auto"/>
        </w:rPr>
        <w:t>. Not more than [***] ([***]) [***] following the discovery by either Party of any request for, or the filing or declaration of, any interference, opposition, or reexamination proceeding with respect to any Licensed Patent Rights in the Territory, the discovering or determining Party shall notify the other Party of such event.</w:t>
      </w:r>
    </w:p>
    <w:p>
      <w:pPr>
        <w:spacing w:after="0" w:line="18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10.4.2 </w:t>
      </w:r>
      <w:r>
        <w:rPr>
          <w:rFonts w:ascii="Arial" w:cs="Arial" w:eastAsia="Arial" w:hAnsi="Arial"/>
          <w:sz w:val="19"/>
          <w:szCs w:val="19"/>
          <w:u w:val="single" w:color="auto"/>
          <w:color w:val="auto"/>
        </w:rPr>
        <w:t>Responsibility and Cooperation</w:t>
      </w:r>
      <w:r>
        <w:rPr>
          <w:rFonts w:ascii="Arial" w:cs="Arial" w:eastAsia="Arial" w:hAnsi="Arial"/>
          <w:sz w:val="19"/>
          <w:szCs w:val="19"/>
          <w:color w:val="auto"/>
        </w:rPr>
        <w:t xml:space="preserve">. TG and/or LFB, as applicable, shall have the sole right and responsibility, at its own expense, to defend or prosecute any such interference, opposition, reexamination, or reissue. Company shall cooperate and provide TG and/or LFB with any information or assistance that TG and/or LFB may reasonably request with respect to any course of action taken under this </w:t>
      </w:r>
      <w:r>
        <w:rPr>
          <w:rFonts w:ascii="Arial" w:cs="Arial" w:eastAsia="Arial" w:hAnsi="Arial"/>
          <w:sz w:val="19"/>
          <w:szCs w:val="19"/>
          <w:u w:val="single" w:color="auto"/>
          <w:color w:val="auto"/>
        </w:rPr>
        <w:t>Section 10.4.2</w:t>
      </w:r>
      <w:r>
        <w:rPr>
          <w:rFonts w:ascii="Arial" w:cs="Arial" w:eastAsia="Arial" w:hAnsi="Arial"/>
          <w:sz w:val="19"/>
          <w:szCs w:val="19"/>
          <w:color w:val="auto"/>
        </w:rPr>
        <w:t>. TG shall (a) keep Company reasonably informed of all developments in such interference, opposition, reexamination, or reissue in the Territory, to the extent that the applicable Licensed Patent Right Covers the Product in the Field, including to the extent permissible, the status of any settlement negotiations and the terms of any offer related thereto and (b) provide to Company copies of all submissions or agreements arising in connection with such proceeding sufficiently in advance of their filing or due date as to give Company sufficient time to comment thereon, and TG shall give good faith consideration to Company's comments; provided, however, that TG’s obligation to provide such copies with sufficient time to comment thereon shall be subject to TG’s good faith determination that the time required to so provide and await comments would not materially impair the availability of rights or remedies, or increase exposure, in connection with such interference, opposition, reexamination, or reissue.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1" w:name="page132"/>
    <w:bookmarkEnd w:id="131"/>
    <w:p>
      <w:pPr>
        <w:ind w:left="660"/>
        <w:spacing w:after="0"/>
        <w:tabs>
          <w:tab w:leader="none" w:pos="128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u w:val="single" w:color="auto"/>
          <w:color w:val="auto"/>
        </w:rPr>
        <w:t>Enforcement and Defense</w:t>
      </w:r>
      <w:r>
        <w:rPr>
          <w:rFonts w:ascii="Arial" w:cs="Arial" w:eastAsia="Arial" w:hAnsi="Arial"/>
          <w:sz w:val="19"/>
          <w:szCs w:val="19"/>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10.5.1 </w:t>
      </w:r>
      <w:r>
        <w:rPr>
          <w:rFonts w:ascii="Arial" w:cs="Arial" w:eastAsia="Arial" w:hAnsi="Arial"/>
          <w:sz w:val="22"/>
          <w:szCs w:val="22"/>
          <w:u w:val="single" w:color="auto"/>
          <w:color w:val="auto"/>
        </w:rPr>
        <w:t>Third Party Infringement</w:t>
      </w:r>
      <w:r>
        <w:rPr>
          <w:rFonts w:ascii="Arial" w:cs="Arial" w:eastAsia="Arial" w:hAnsi="Arial"/>
          <w:sz w:val="22"/>
          <w:szCs w:val="22"/>
          <w:color w:val="auto"/>
        </w:rPr>
        <w:t>.</w:t>
      </w:r>
    </w:p>
    <w:p>
      <w:pPr>
        <w:spacing w:after="0" w:line="206" w:lineRule="exact"/>
        <w:rPr>
          <w:sz w:val="20"/>
          <w:szCs w:val="20"/>
          <w:color w:val="auto"/>
        </w:rPr>
      </w:pPr>
    </w:p>
    <w:p>
      <w:pPr>
        <w:jc w:val="both"/>
        <w:ind w:firstLine="1952"/>
        <w:spacing w:after="0" w:line="236" w:lineRule="auto"/>
        <w:tabs>
          <w:tab w:leader="none" w:pos="2592"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In the event either Party becomes aware of any suspected infringement or misappropriation of any Licensed Patent Rights that Covers the Development or Commercialization of the Compound or the Product in the Field in the Territory (each, an “</w:t>
      </w:r>
      <w:r>
        <w:rPr>
          <w:rFonts w:ascii="Arial" w:cs="Arial" w:eastAsia="Arial" w:hAnsi="Arial"/>
          <w:sz w:val="22"/>
          <w:szCs w:val="22"/>
          <w:b w:val="1"/>
          <w:bCs w:val="1"/>
          <w:i w:val="1"/>
          <w:iCs w:val="1"/>
          <w:color w:val="auto"/>
        </w:rPr>
        <w:t>Infringement</w:t>
      </w:r>
      <w:r>
        <w:rPr>
          <w:rFonts w:ascii="Arial" w:cs="Arial" w:eastAsia="Arial" w:hAnsi="Arial"/>
          <w:sz w:val="22"/>
          <w:szCs w:val="22"/>
          <w:color w:val="auto"/>
        </w:rPr>
        <w:t>”), that Party shall promptly notify the other Party and provide it with all details of such Infringement of which it is aware (each, an “</w:t>
      </w:r>
      <w:r>
        <w:rPr>
          <w:rFonts w:ascii="Arial" w:cs="Arial" w:eastAsia="Arial" w:hAnsi="Arial"/>
          <w:sz w:val="22"/>
          <w:szCs w:val="22"/>
          <w:b w:val="1"/>
          <w:bCs w:val="1"/>
          <w:i w:val="1"/>
          <w:iCs w:val="1"/>
          <w:color w:val="auto"/>
        </w:rPr>
        <w:t>Infringement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1952"/>
        <w:spacing w:after="0" w:line="233" w:lineRule="auto"/>
        <w:tabs>
          <w:tab w:leader="none" w:pos="2592"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TG Right to Enforce</w:t>
      </w:r>
      <w:r>
        <w:rPr>
          <w:rFonts w:ascii="Arial" w:cs="Arial" w:eastAsia="Arial" w:hAnsi="Arial"/>
          <w:sz w:val="22"/>
          <w:szCs w:val="22"/>
          <w:color w:val="auto"/>
        </w:rPr>
        <w:t>. TG and/or LFB, as applicable, shall have the sole right, but not the obligation, to address any such Infringement in the Territory by taking reasonable steps, which may include the institution of legal proceedings or other actions (each, an “</w:t>
      </w:r>
      <w:r>
        <w:rPr>
          <w:rFonts w:ascii="Arial" w:cs="Arial" w:eastAsia="Arial" w:hAnsi="Arial"/>
          <w:sz w:val="22"/>
          <w:szCs w:val="22"/>
          <w:b w:val="1"/>
          <w:bCs w:val="1"/>
          <w:i w:val="1"/>
          <w:iCs w:val="1"/>
          <w:color w:val="auto"/>
        </w:rPr>
        <w:t>Action</w:t>
      </w:r>
      <w:r>
        <w:rPr>
          <w:rFonts w:ascii="Arial" w:cs="Arial" w:eastAsia="Arial" w:hAnsi="Arial"/>
          <w:sz w:val="22"/>
          <w:szCs w:val="22"/>
          <w:color w:val="auto"/>
        </w:rPr>
        <w:t>”), and to compromise or settle such Action; provided, that, (i) TG shall keep Company reasonably informed about such Action, and (ii) Company shall provide reasonable cooperation to TG and/or LFB in connection with such Action. TG and LFB shall incur no liability to Company as a consequence of such Action or any unfavorable decision resulting therefrom, including any decision holding any such claim invalid, not infringed, or unenforceable. All costs, including, without limitation, attorneys’ fees, relating to such legal proceedings or other action shall be borne by TG and/or LFB, as applicable.</w:t>
      </w:r>
    </w:p>
    <w:p>
      <w:pPr>
        <w:spacing w:after="0" w:line="192" w:lineRule="exact"/>
        <w:rPr>
          <w:rFonts w:ascii="Arial" w:cs="Arial" w:eastAsia="Arial" w:hAnsi="Arial"/>
          <w:sz w:val="22"/>
          <w:szCs w:val="22"/>
          <w:color w:val="auto"/>
        </w:rPr>
      </w:pPr>
    </w:p>
    <w:p>
      <w:pPr>
        <w:jc w:val="both"/>
        <w:ind w:firstLine="1952"/>
        <w:spacing w:after="0" w:line="236" w:lineRule="auto"/>
        <w:tabs>
          <w:tab w:leader="none" w:pos="2592"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Right to Representation</w:t>
      </w:r>
      <w:r>
        <w:rPr>
          <w:rFonts w:ascii="Arial" w:cs="Arial" w:eastAsia="Arial" w:hAnsi="Arial"/>
          <w:sz w:val="22"/>
          <w:szCs w:val="22"/>
          <w:color w:val="auto"/>
        </w:rPr>
        <w:t xml:space="preserve">. Company shall have the right to participate and be represented by counsel that it selects, in any Action instituted by TG or LFB under </w:t>
      </w:r>
      <w:r>
        <w:rPr>
          <w:rFonts w:ascii="Arial" w:cs="Arial" w:eastAsia="Arial" w:hAnsi="Arial"/>
          <w:sz w:val="22"/>
          <w:szCs w:val="22"/>
          <w:u w:val="single" w:color="auto"/>
          <w:color w:val="auto"/>
        </w:rPr>
        <w:t>Section 10.5.1(b)</w:t>
      </w:r>
      <w:r>
        <w:rPr>
          <w:rFonts w:ascii="Arial" w:cs="Arial" w:eastAsia="Arial" w:hAnsi="Arial"/>
          <w:sz w:val="22"/>
          <w:szCs w:val="22"/>
          <w:color w:val="auto"/>
        </w:rPr>
        <w:t>. If TG and/or LFB lacks standing to initiate an Action, and Company has standing to initiate such Action, then TG and/or LFB may name Company as plaintiff in such Action or may require Company to initiate such Action at TG’s expense.</w:t>
      </w:r>
    </w:p>
    <w:p>
      <w:pPr>
        <w:spacing w:after="0" w:line="187" w:lineRule="exact"/>
        <w:rPr>
          <w:rFonts w:ascii="Arial" w:cs="Arial" w:eastAsia="Arial" w:hAnsi="Arial"/>
          <w:sz w:val="22"/>
          <w:szCs w:val="22"/>
          <w:color w:val="auto"/>
        </w:rPr>
      </w:pPr>
    </w:p>
    <w:p>
      <w:pPr>
        <w:jc w:val="both"/>
        <w:ind w:firstLine="1952"/>
        <w:spacing w:after="0" w:line="238" w:lineRule="auto"/>
        <w:tabs>
          <w:tab w:leader="none" w:pos="2592"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xml:space="preserve">. In any Action instituted under this </w:t>
      </w:r>
      <w:r>
        <w:rPr>
          <w:rFonts w:ascii="Arial" w:cs="Arial" w:eastAsia="Arial" w:hAnsi="Arial"/>
          <w:sz w:val="22"/>
          <w:szCs w:val="22"/>
          <w:u w:val="single" w:color="auto"/>
          <w:color w:val="auto"/>
        </w:rPr>
        <w:t>Section 10.5.1</w:t>
      </w:r>
      <w:r>
        <w:rPr>
          <w:rFonts w:ascii="Arial" w:cs="Arial" w:eastAsia="Arial" w:hAnsi="Arial"/>
          <w:sz w:val="22"/>
          <w:szCs w:val="22"/>
          <w:color w:val="auto"/>
        </w:rPr>
        <w:t>, the Parties shall cooperate with and assist each other in all reasonable respects. Upon the reasonable request of TG and/or LFB, Company shall join such Action and shall be represented using counsel of its own choice, at TG’s or LFB’s expense.</w:t>
      </w:r>
    </w:p>
    <w:p>
      <w:pPr>
        <w:spacing w:after="0" w:line="184" w:lineRule="exact"/>
        <w:rPr>
          <w:rFonts w:ascii="Arial" w:cs="Arial" w:eastAsia="Arial" w:hAnsi="Arial"/>
          <w:sz w:val="22"/>
          <w:szCs w:val="22"/>
          <w:color w:val="auto"/>
        </w:rPr>
      </w:pPr>
    </w:p>
    <w:p>
      <w:pPr>
        <w:jc w:val="both"/>
        <w:ind w:firstLine="1952"/>
        <w:spacing w:after="0" w:line="236" w:lineRule="auto"/>
        <w:tabs>
          <w:tab w:leader="none" w:pos="2592"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Allocation of Proceeds</w:t>
      </w:r>
      <w:r>
        <w:rPr>
          <w:rFonts w:ascii="Arial" w:cs="Arial" w:eastAsia="Arial" w:hAnsi="Arial"/>
          <w:sz w:val="22"/>
          <w:szCs w:val="22"/>
          <w:color w:val="auto"/>
        </w:rPr>
        <w:t xml:space="preserve">. Any amounts recovered by TG in connection with its activities under this </w:t>
      </w:r>
      <w:r>
        <w:rPr>
          <w:rFonts w:ascii="Arial" w:cs="Arial" w:eastAsia="Arial" w:hAnsi="Arial"/>
          <w:sz w:val="22"/>
          <w:szCs w:val="22"/>
          <w:u w:val="single" w:color="auto"/>
          <w:color w:val="auto"/>
        </w:rPr>
        <w:t>Section 10.5.1</w:t>
      </w:r>
      <w:r>
        <w:rPr>
          <w:rFonts w:ascii="Arial" w:cs="Arial" w:eastAsia="Arial" w:hAnsi="Arial"/>
          <w:sz w:val="22"/>
          <w:szCs w:val="22"/>
          <w:color w:val="auto"/>
        </w:rPr>
        <w:t xml:space="preserve"> with respect to any Infringement, whether by settlement or judgment, shall, after reimbursing Company and TG for their respective reasonable out-of-pocket expenses incurred in pursuing such Action and obtaining such recovery (which amounts shall be allocated pro rata if insufficient to cover the totality of such expenses) be retained by TG.</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10.5.2 </w:t>
      </w:r>
      <w:r>
        <w:rPr>
          <w:rFonts w:ascii="Arial" w:cs="Arial" w:eastAsia="Arial" w:hAnsi="Arial"/>
          <w:sz w:val="22"/>
          <w:szCs w:val="22"/>
          <w:u w:val="single" w:color="auto"/>
          <w:color w:val="auto"/>
        </w:rPr>
        <w:t>Defense of Claims</w:t>
      </w:r>
      <w:r>
        <w:rPr>
          <w:rFonts w:ascii="Arial" w:cs="Arial" w:eastAsia="Arial" w:hAnsi="Arial"/>
          <w:sz w:val="22"/>
          <w:szCs w:val="22"/>
          <w:color w:val="auto"/>
        </w:rPr>
        <w:t>.</w:t>
      </w:r>
    </w:p>
    <w:p>
      <w:pPr>
        <w:spacing w:after="0" w:line="206" w:lineRule="exact"/>
        <w:rPr>
          <w:sz w:val="20"/>
          <w:szCs w:val="20"/>
          <w:color w:val="auto"/>
        </w:rPr>
      </w:pPr>
    </w:p>
    <w:p>
      <w:pPr>
        <w:jc w:val="both"/>
        <w:ind w:firstLine="1952"/>
        <w:spacing w:after="0" w:line="234" w:lineRule="auto"/>
        <w:tabs>
          <w:tab w:leader="none" w:pos="2592"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In the event that any action, suit, or proceeding is brought against either Party or any Affiliate of either Party or any Sublicensee or Distributor of Company alleging the infringement of the Technology or Patent Rights or any other intellectual property of a Third Party by reason of or the Development or Commercialization, including the Manufacture, use, or sale, of the Compound or Product, by or on behalf of Company, its Affiliates, Sublicensees, or Distributors (such action, suit, or proceeding, a “</w:t>
      </w:r>
      <w:r>
        <w:rPr>
          <w:rFonts w:ascii="Arial" w:cs="Arial" w:eastAsia="Arial" w:hAnsi="Arial"/>
          <w:sz w:val="22"/>
          <w:szCs w:val="22"/>
          <w:b w:val="1"/>
          <w:bCs w:val="1"/>
          <w:i w:val="1"/>
          <w:iCs w:val="1"/>
          <w:color w:val="auto"/>
        </w:rPr>
        <w:t>Defensive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Action</w:t>
      </w:r>
      <w:r>
        <w:rPr>
          <w:rFonts w:ascii="Arial" w:cs="Arial" w:eastAsia="Arial" w:hAnsi="Arial"/>
          <w:sz w:val="22"/>
          <w:szCs w:val="22"/>
          <w:color w:val="auto"/>
        </w:rPr>
        <w:t>”), such Party shall notify the other Party within [***] ([***]) [***] of the earlier of (i) receipt of service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process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2" w:name="page133"/>
    <w:bookmarkEnd w:id="132"/>
    <w:p>
      <w:pPr>
        <w:spacing w:after="0" w:line="328" w:lineRule="auto"/>
        <w:rPr>
          <w:sz w:val="20"/>
          <w:szCs w:val="20"/>
          <w:color w:val="auto"/>
        </w:rPr>
      </w:pPr>
      <w:r>
        <w:rPr>
          <w:rFonts w:ascii="Arial" w:cs="Arial" w:eastAsia="Arial" w:hAnsi="Arial"/>
          <w:sz w:val="19"/>
          <w:szCs w:val="19"/>
          <w:color w:val="auto"/>
        </w:rPr>
        <w:t>Defensive Action, or (ii) the date such Party becomes aware that such Defensive Action has been instituted and the Parties shall meet as soon as possible to discuss the overall strategy for defense of such matter.</w:t>
      </w:r>
    </w:p>
    <w:p>
      <w:pPr>
        <w:spacing w:after="0" w:line="105" w:lineRule="exact"/>
        <w:rPr>
          <w:sz w:val="20"/>
          <w:szCs w:val="20"/>
          <w:color w:val="auto"/>
        </w:rPr>
      </w:pPr>
    </w:p>
    <w:p>
      <w:pPr>
        <w:jc w:val="both"/>
        <w:ind w:firstLine="1952"/>
        <w:spacing w:after="0" w:line="274" w:lineRule="auto"/>
        <w:tabs>
          <w:tab w:leader="none" w:pos="2592"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Prosecution of Defensive Actions in the Territory</w:t>
      </w:r>
      <w:r>
        <w:rPr>
          <w:rFonts w:ascii="Arial" w:cs="Arial" w:eastAsia="Arial" w:hAnsi="Arial"/>
          <w:sz w:val="19"/>
          <w:szCs w:val="19"/>
          <w:color w:val="auto"/>
        </w:rPr>
        <w:t>. TG and/or LFB, as applicable, and only to the extent permissible under Applicable Law, shall have the sole right, but not the obligation, to institute and/or control such Defensive Action in its own name and at its sole expense; and in such case, Company and/or any of its Affiliates shall have the right to separate counsel at its own expense in any such Defensive Action, and Company shall cooperate with TG and/or LFB in all reasonable respects in any such Defensive Action. Without limiting the generality of the foregoing, solely upon TG’s request, Company shall defend any Defensive Action in its own name and at its sole expense; and in such case TG and/or any of its Affiliates shall have the right to separate counsel at its own expense in any such Defensive Action, and TG shall cooperate with Company in all reasonable respects in any such Defensive Action.</w:t>
      </w:r>
    </w:p>
    <w:p>
      <w:pPr>
        <w:spacing w:after="0" w:line="158" w:lineRule="exact"/>
        <w:rPr>
          <w:rFonts w:ascii="Arial" w:cs="Arial" w:eastAsia="Arial" w:hAnsi="Arial"/>
          <w:sz w:val="19"/>
          <w:szCs w:val="19"/>
          <w:color w:val="auto"/>
        </w:rPr>
      </w:pPr>
    </w:p>
    <w:p>
      <w:pPr>
        <w:jc w:val="both"/>
        <w:ind w:firstLine="1952"/>
        <w:spacing w:after="0" w:line="249" w:lineRule="auto"/>
        <w:tabs>
          <w:tab w:leader="none" w:pos="2592"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Each Party shall promptly furnish the other Party with a copy of each communication relating to the alleged infringement that is received by such Party including all documents filed in any litigation. In no event shall either Party settle or otherwise resolve any such action, suit, or proceeding brought against the other Party or any of its Affiliates or sublicensees without the other Party’s prior written consent (not to be unreasonably withheld, conditioned, or delayed).</w:t>
      </w:r>
    </w:p>
    <w:p>
      <w:pPr>
        <w:spacing w:after="0" w:line="17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10.5.3 </w:t>
      </w:r>
      <w:r>
        <w:rPr>
          <w:rFonts w:ascii="Arial" w:cs="Arial" w:eastAsia="Arial" w:hAnsi="Arial"/>
          <w:sz w:val="19"/>
          <w:szCs w:val="19"/>
          <w:u w:val="single" w:color="auto"/>
          <w:color w:val="auto"/>
        </w:rPr>
        <w:t>Patent Term Restoration</w:t>
      </w:r>
      <w:r>
        <w:rPr>
          <w:rFonts w:ascii="Arial" w:cs="Arial" w:eastAsia="Arial" w:hAnsi="Arial"/>
          <w:sz w:val="19"/>
          <w:szCs w:val="19"/>
          <w:color w:val="auto"/>
        </w:rPr>
        <w:t>. The Parties shall cooperate with each other in obtaining patent term restoration or supplemental protection certificates or their equivalents in any country in the Territory where applicable to Licensed Patent Rights and/or Arising IP. Such cooperation shall include diligently and timely conferring and coordinating with respect to such matters to ensure compliance with applicable filing deadlines and agreeing on procedures to be followed by the Parties to ensure such compliance. In the event that elections with respect to obtaining such patent term restoration are to be made, TG and/or LFB shall have the right to make the election with respect to Licensed Patent Rights and/or Arising IP. The Parties agree that for those cases where TG and/or LFB initially agree not to obtain patent term restoration and/or supplemental protection certificates, Company shall nonetheless have the right to overrule such decision, and as consequence patent term restoration and/or supplemental protection certificates shall be obtained at the sole cost and expense of Company.</w:t>
      </w:r>
    </w:p>
    <w:p>
      <w:pPr>
        <w:spacing w:after="0" w:line="16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Trademark Prosecution and Registration</w:t>
      </w:r>
      <w:r>
        <w:rPr>
          <w:rFonts w:ascii="Arial" w:cs="Arial" w:eastAsia="Arial" w:hAnsi="Arial"/>
          <w:sz w:val="22"/>
          <w:szCs w:val="22"/>
          <w:color w:val="auto"/>
        </w:rPr>
        <w:t xml:space="preserve">. TG shall control the registration of the Licensed Trademark in the Territory. TG shall have the sole right (but not obligation) to take any actions as are required to continue and maintain in full force and effect and enforce and defend the Licensed Trademark and registrations thereof, against infringement and misappropriation in the Territory, and shall be solely responsible for all expenses incurred in connection therewith. Upon TG’s request, Company shall reasonably cooperate and assist with the activities contemplated by this </w:t>
      </w:r>
      <w:r>
        <w:rPr>
          <w:rFonts w:ascii="Arial" w:cs="Arial" w:eastAsia="Arial" w:hAnsi="Arial"/>
          <w:sz w:val="22"/>
          <w:szCs w:val="22"/>
          <w:u w:val="single" w:color="auto"/>
          <w:color w:val="auto"/>
        </w:rPr>
        <w:t>Section 10.6</w:t>
      </w:r>
      <w:r>
        <w:rPr>
          <w:rFonts w:ascii="Arial" w:cs="Arial" w:eastAsia="Arial" w:hAnsi="Arial"/>
          <w:sz w:val="22"/>
          <w:szCs w:val="22"/>
          <w:color w:val="auto"/>
        </w:rPr>
        <w:t>.</w:t>
      </w:r>
    </w:p>
    <w:p>
      <w:pPr>
        <w:spacing w:after="0" w:line="182" w:lineRule="exact"/>
        <w:rPr>
          <w:sz w:val="20"/>
          <w:szCs w:val="20"/>
          <w:color w:val="auto"/>
        </w:rPr>
      </w:pPr>
    </w:p>
    <w:p>
      <w:pPr>
        <w:ind w:left="3900" w:hanging="654"/>
        <w:spacing w:after="0"/>
        <w:tabs>
          <w:tab w:leader="none" w:pos="390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AND TERMINATION</w:t>
      </w:r>
    </w:p>
    <w:p>
      <w:pPr>
        <w:spacing w:after="0" w:line="21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This Agreement shall commence on the Effective Date and shall continue in full force and effect until terminated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3" w:name="page134"/>
    <w:bookmarkEnd w:id="133"/>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as follows:</w:t>
      </w:r>
    </w:p>
    <w:p>
      <w:pPr>
        <w:spacing w:after="0" w:line="20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 xml:space="preserve">11.2.1 </w:t>
      </w:r>
      <w:r>
        <w:rPr>
          <w:rFonts w:ascii="Arial" w:cs="Arial" w:eastAsia="Arial" w:hAnsi="Arial"/>
          <w:sz w:val="19"/>
          <w:szCs w:val="19"/>
          <w:u w:val="single" w:color="auto"/>
          <w:color w:val="auto"/>
        </w:rPr>
        <w:t>TG Rights to Terminate for Challenge</w:t>
      </w:r>
      <w:r>
        <w:rPr>
          <w:rFonts w:ascii="Arial" w:cs="Arial" w:eastAsia="Arial" w:hAnsi="Arial"/>
          <w:sz w:val="19"/>
          <w:szCs w:val="19"/>
          <w:color w:val="auto"/>
        </w:rPr>
        <w:t>. Except to the extent the following is unenforceable under the Applicable Laws of a particular jurisdiction where a patent application within the Licensed Patent Rights and/or the Arising IP is pending or a patent within the Licensed Patent Rights and/or the Arising IP is issued, TG may terminate this Agreement immediately upon written notice to Company in the event that Company or any of its Affiliates, Sublicensees, or Distributors Challenges any Licensed Patent Rights and/or Arising IP or assists a Third Party in initiating a Challenge of any Licensed Patent Rights and/or Arising IP.</w:t>
      </w:r>
    </w:p>
    <w:p>
      <w:pPr>
        <w:spacing w:after="0" w:line="15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 xml:space="preserve">11.2.2 </w:t>
      </w:r>
      <w:r>
        <w:rPr>
          <w:rFonts w:ascii="Arial" w:cs="Arial" w:eastAsia="Arial" w:hAnsi="Arial"/>
          <w:sz w:val="19"/>
          <w:szCs w:val="19"/>
          <w:u w:val="single" w:color="auto"/>
          <w:color w:val="auto"/>
        </w:rPr>
        <w:t>Termination for Breach</w:t>
      </w:r>
      <w:r>
        <w:rPr>
          <w:rFonts w:ascii="Arial" w:cs="Arial" w:eastAsia="Arial" w:hAnsi="Arial"/>
          <w:sz w:val="19"/>
          <w:szCs w:val="19"/>
          <w:color w:val="auto"/>
        </w:rPr>
        <w:t>. Either Party may terminate this Agreement, effective immediately upon written notice to the other Party, for a material breach by the other Party of any term of this Agreement and/or the Supply Agreement that remains uncured [***] ([***]) [***] after the non-breaching Party first gives written notice to the other Party of such breach and its intent to terminate this Agreement if such breach is not cured; provided, however, that the cure period for breach of any payment obligation shall be [***] ([***]) [***].</w:t>
      </w:r>
    </w:p>
    <w:p>
      <w:pPr>
        <w:spacing w:after="0" w:line="147"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11.2.3 </w:t>
      </w:r>
      <w:r>
        <w:rPr>
          <w:rFonts w:ascii="Arial" w:cs="Arial" w:eastAsia="Arial" w:hAnsi="Arial"/>
          <w:sz w:val="22"/>
          <w:szCs w:val="22"/>
          <w:u w:val="single" w:color="auto"/>
          <w:color w:val="auto"/>
        </w:rPr>
        <w:t>Termination for Insolvency</w:t>
      </w:r>
      <w:r>
        <w:rPr>
          <w:rFonts w:ascii="Arial" w:cs="Arial" w:eastAsia="Arial" w:hAnsi="Arial"/>
          <w:sz w:val="22"/>
          <w:szCs w:val="22"/>
          <w:color w:val="auto"/>
        </w:rPr>
        <w:t>. In the event that either Party makes an assignment for the benefit of creditors, appoints or suffers appointment of a receiver or trustee over all or substantially all of its property, or files a petition under any bankruptcy or insolvency act or has any such petition filed against it which is not discharged within [***] ([***]) [***] of the filing thereof, then the other Party may terminate this Agreement effective immediately upon written notice to such Party.</w:t>
      </w:r>
    </w:p>
    <w:p>
      <w:pPr>
        <w:spacing w:after="0" w:line="18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11.2.4 </w:t>
      </w:r>
      <w:r>
        <w:rPr>
          <w:rFonts w:ascii="Arial" w:cs="Arial" w:eastAsia="Arial" w:hAnsi="Arial"/>
          <w:sz w:val="19"/>
          <w:szCs w:val="19"/>
          <w:u w:val="single" w:color="auto"/>
          <w:color w:val="auto"/>
        </w:rPr>
        <w:t>Termination for Failure to Achieve</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Sales Target. If LFB has sent or has threatened in writing to TG to send to TG a termination notice pursuant to section 5.5.2 para. 2 of the LFB License (i.e., based on the grounds that TG failed to achieve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of the sales targets applicable under the LFB License for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consecutive commercial years), then TG shall have the right to terminate this Agreement with respect to country(-ies) within the Territory where </w:t>
      </w:r>
      <w:r>
        <w:rPr>
          <w:rFonts w:ascii="Arial" w:cs="Arial" w:eastAsia="Arial" w:hAnsi="Arial"/>
          <w:sz w:val="15"/>
          <w:szCs w:val="15"/>
          <w:b w:val="1"/>
          <w:bCs w:val="1"/>
          <w:color w:val="auto"/>
        </w:rPr>
        <w:t>[***]</w:t>
      </w:r>
      <w:r>
        <w:rPr>
          <w:rFonts w:ascii="Arial" w:cs="Arial" w:eastAsia="Arial" w:hAnsi="Arial"/>
          <w:sz w:val="19"/>
          <w:szCs w:val="19"/>
          <w:color w:val="auto"/>
        </w:rPr>
        <w:t xml:space="preserve"> of the Sales Targets for the Product in the Field in such country were not achieved and in relation to which LFB has terminated or threatened in writing to terminate the LFB License; provided, however, that (a) TG shall provide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prior written notice of termination, and, if during such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period Company achieves </w:t>
      </w:r>
      <w:r>
        <w:rPr>
          <w:rFonts w:ascii="Arial" w:cs="Arial" w:eastAsia="Arial" w:hAnsi="Arial"/>
          <w:sz w:val="15"/>
          <w:szCs w:val="15"/>
          <w:b w:val="1"/>
          <w:bCs w:val="1"/>
          <w:color w:val="auto"/>
        </w:rPr>
        <w:t>[***]</w:t>
      </w:r>
      <w:r>
        <w:rPr>
          <w:rFonts w:ascii="Arial" w:cs="Arial" w:eastAsia="Arial" w:hAnsi="Arial"/>
          <w:sz w:val="19"/>
          <w:szCs w:val="19"/>
          <w:color w:val="auto"/>
        </w:rPr>
        <w:t xml:space="preserve"> of the Sales Target for such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b w:val="1"/>
          <w:bCs w:val="1"/>
          <w:color w:val="auto"/>
        </w:rPr>
        <w:t>[***]</w:t>
      </w:r>
      <w:r>
        <w:rPr>
          <w:rFonts w:ascii="Arial" w:cs="Arial" w:eastAsia="Arial" w:hAnsi="Arial"/>
          <w:sz w:val="19"/>
          <w:szCs w:val="19"/>
          <w:color w:val="auto"/>
        </w:rPr>
        <w:t xml:space="preserve"> period, then Company shall be deemed to have cured the breach and the termination will be null and void, (b) TG shall, upon the effective date of such termination, purchase back the Product stock held by Company at the price paid by Company for the Product under the Supply Agreement, and (c) such termination right shall not apply if the failure to achieve the Sales Target in such country is due to a Product supply failure not attributable to Company, provided that Company has satisfied its safety stock obligations set forth in the Supply Agreement and has exhausted its safety stock of the Product. For the purpose of this </w:t>
      </w:r>
      <w:r>
        <w:rPr>
          <w:rFonts w:ascii="Arial" w:cs="Arial" w:eastAsia="Arial" w:hAnsi="Arial"/>
          <w:sz w:val="19"/>
          <w:szCs w:val="19"/>
          <w:u w:val="single" w:color="auto"/>
          <w:color w:val="auto"/>
        </w:rPr>
        <w:t>Section 11.2.4</w:t>
      </w:r>
      <w:r>
        <w:rPr>
          <w:rFonts w:ascii="Arial" w:cs="Arial" w:eastAsia="Arial" w:hAnsi="Arial"/>
          <w:sz w:val="19"/>
          <w:szCs w:val="19"/>
          <w:color w:val="auto"/>
        </w:rPr>
        <w:t>, Company means Company, and where applicable, its Affiliates, Sublicensees, and Distributors.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-2050415</wp:posOffset>
            </wp:positionV>
            <wp:extent cx="8686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11.2.5 </w:t>
      </w:r>
      <w:r>
        <w:rPr>
          <w:rFonts w:ascii="Arial" w:cs="Arial" w:eastAsia="Arial" w:hAnsi="Arial"/>
          <w:sz w:val="22"/>
          <w:szCs w:val="22"/>
          <w:u w:val="single" w:color="auto"/>
          <w:color w:val="auto"/>
        </w:rPr>
        <w:t>Termination Following Change of Control; the Buy-Back Option</w:t>
      </w:r>
      <w:r>
        <w:rPr>
          <w:rFonts w:ascii="Arial" w:cs="Arial" w:eastAsia="Arial" w:hAnsi="Arial"/>
          <w:sz w:val="22"/>
          <w:szCs w:val="22"/>
          <w:color w:val="auto"/>
        </w:rPr>
        <w:t>.</w:t>
      </w:r>
    </w:p>
    <w:p>
      <w:pPr>
        <w:spacing w:after="0" w:line="206" w:lineRule="exact"/>
        <w:rPr>
          <w:sz w:val="20"/>
          <w:szCs w:val="20"/>
          <w:color w:val="auto"/>
        </w:rPr>
      </w:pPr>
    </w:p>
    <w:p>
      <w:pPr>
        <w:ind w:firstLine="1952"/>
        <w:spacing w:after="0" w:line="250" w:lineRule="auto"/>
        <w:tabs>
          <w:tab w:leader="none" w:pos="2592" w:val="left"/>
        </w:tabs>
        <w:numPr>
          <w:ilvl w:val="0"/>
          <w:numId w:val="98"/>
        </w:numPr>
        <w:rPr>
          <w:rFonts w:ascii="Arial" w:cs="Arial" w:eastAsia="Arial" w:hAnsi="Arial"/>
          <w:sz w:val="22"/>
          <w:szCs w:val="22"/>
          <w:color w:val="auto"/>
        </w:rPr>
      </w:pPr>
      <w:r>
        <w:rPr>
          <w:rFonts w:ascii="Arial" w:cs="Arial" w:eastAsia="Arial" w:hAnsi="Arial"/>
          <w:sz w:val="22"/>
          <w:szCs w:val="22"/>
          <w:color w:val="auto"/>
        </w:rPr>
        <w:t>Upon the first consummation of a Change of Control of TG following the Effective Date, TG or its successor-in-interest shall have the right to terminate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4" w:name="page135"/>
    <w:bookmarkEnd w:id="134"/>
    <w:p>
      <w:pPr>
        <w:spacing w:after="0" w:line="250" w:lineRule="auto"/>
        <w:rPr>
          <w:sz w:val="20"/>
          <w:szCs w:val="20"/>
          <w:color w:val="auto"/>
        </w:rPr>
      </w:pPr>
      <w:r>
        <w:rPr>
          <w:rFonts w:ascii="Arial" w:cs="Arial" w:eastAsia="Arial" w:hAnsi="Arial"/>
          <w:sz w:val="22"/>
          <w:szCs w:val="22"/>
          <w:color w:val="auto"/>
        </w:rPr>
        <w:t>Agreement immediately by providing Company with written notice of termination (the “</w:t>
      </w:r>
      <w:r>
        <w:rPr>
          <w:rFonts w:ascii="Arial" w:cs="Arial" w:eastAsia="Arial" w:hAnsi="Arial"/>
          <w:sz w:val="22"/>
          <w:szCs w:val="22"/>
          <w:b w:val="1"/>
          <w:bCs w:val="1"/>
          <w:i w:val="1"/>
          <w:iCs w:val="1"/>
          <w:color w:val="auto"/>
        </w:rPr>
        <w:t>Buy-Back Option</w:t>
      </w:r>
      <w:r>
        <w:rPr>
          <w:rFonts w:ascii="Arial" w:cs="Arial" w:eastAsia="Arial" w:hAnsi="Arial"/>
          <w:sz w:val="22"/>
          <w:szCs w:val="22"/>
          <w:color w:val="auto"/>
        </w:rPr>
        <w:t>”); provided, however, that:</w:t>
      </w:r>
    </w:p>
    <w:p>
      <w:pPr>
        <w:spacing w:after="0" w:line="175" w:lineRule="exact"/>
        <w:rPr>
          <w:sz w:val="20"/>
          <w:szCs w:val="20"/>
          <w:color w:val="auto"/>
        </w:rPr>
      </w:pPr>
    </w:p>
    <w:p>
      <w:pPr>
        <w:jc w:val="both"/>
        <w:ind w:firstLine="2600"/>
        <w:spacing w:after="0" w:line="236" w:lineRule="auto"/>
        <w:tabs>
          <w:tab w:leader="none" w:pos="3240" w:val="left"/>
        </w:tabs>
        <w:numPr>
          <w:ilvl w:val="2"/>
          <w:numId w:val="99"/>
        </w:numPr>
        <w:rPr>
          <w:rFonts w:ascii="Arial" w:cs="Arial" w:eastAsia="Arial" w:hAnsi="Arial"/>
          <w:sz w:val="22"/>
          <w:szCs w:val="22"/>
          <w:color w:val="auto"/>
        </w:rPr>
      </w:pPr>
      <w:r>
        <w:rPr>
          <w:rFonts w:ascii="Arial" w:cs="Arial" w:eastAsia="Arial" w:hAnsi="Arial"/>
          <w:sz w:val="22"/>
          <w:szCs w:val="22"/>
          <w:color w:val="auto"/>
        </w:rPr>
        <w:t>the Buy-Back Option may be exercised only in connection with the first occurrence of a Change of Control of TG and, for the avoidance of doubt, shall not apply in relation to any subsequent agreement pursuant to which TG or its successor-in-interest would reasonably expect to undergo a Change of Control (a “</w:t>
      </w:r>
      <w:r>
        <w:rPr>
          <w:rFonts w:ascii="Arial" w:cs="Arial" w:eastAsia="Arial" w:hAnsi="Arial"/>
          <w:sz w:val="22"/>
          <w:szCs w:val="22"/>
          <w:b w:val="1"/>
          <w:bCs w:val="1"/>
          <w:i w:val="1"/>
          <w:iCs w:val="1"/>
          <w:color w:val="auto"/>
        </w:rPr>
        <w:t>CoC Agreement</w:t>
      </w:r>
      <w:r>
        <w:rPr>
          <w:rFonts w:ascii="Arial" w:cs="Arial" w:eastAsia="Arial" w:hAnsi="Arial"/>
          <w:sz w:val="22"/>
          <w:szCs w:val="22"/>
          <w:color w:val="auto"/>
        </w:rPr>
        <w:t>”) and/or any other subsequent Change of Control in relation to TG or its successor-in-interest;</w:t>
      </w:r>
    </w:p>
    <w:p>
      <w:pPr>
        <w:spacing w:after="0" w:line="187" w:lineRule="exact"/>
        <w:rPr>
          <w:rFonts w:ascii="Arial" w:cs="Arial" w:eastAsia="Arial" w:hAnsi="Arial"/>
          <w:sz w:val="22"/>
          <w:szCs w:val="22"/>
          <w:color w:val="auto"/>
        </w:rPr>
      </w:pPr>
    </w:p>
    <w:p>
      <w:pPr>
        <w:ind w:left="3240" w:hanging="640"/>
        <w:spacing w:after="0"/>
        <w:tabs>
          <w:tab w:leader="none" w:pos="3240" w:val="left"/>
        </w:tabs>
        <w:numPr>
          <w:ilvl w:val="2"/>
          <w:numId w:val="99"/>
        </w:numPr>
        <w:rPr>
          <w:rFonts w:ascii="Arial" w:cs="Arial" w:eastAsia="Arial" w:hAnsi="Arial"/>
          <w:sz w:val="22"/>
          <w:szCs w:val="22"/>
          <w:color w:val="auto"/>
        </w:rPr>
      </w:pPr>
      <w:r>
        <w:rPr>
          <w:rFonts w:ascii="Arial" w:cs="Arial" w:eastAsia="Arial" w:hAnsi="Arial"/>
          <w:sz w:val="22"/>
          <w:szCs w:val="22"/>
          <w:color w:val="auto"/>
        </w:rPr>
        <w:t xml:space="preserve">the applicable CoC Agreement is signed no later than </w:t>
      </w:r>
      <w:r>
        <w:rPr>
          <w:rFonts w:ascii="Arial" w:cs="Arial" w:eastAsia="Arial" w:hAnsi="Arial"/>
          <w:sz w:val="17"/>
          <w:szCs w:val="17"/>
          <w:b w:val="1"/>
          <w:bCs w:val="1"/>
          <w:color w:val="auto"/>
        </w:rPr>
        <w: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240" w:hanging="640"/>
        <w:spacing w:after="0"/>
        <w:tabs>
          <w:tab w:leader="none" w:pos="3240" w:val="left"/>
        </w:tabs>
        <w:numPr>
          <w:ilvl w:val="2"/>
          <w:numId w:val="99"/>
        </w:numPr>
        <w:rPr>
          <w:rFonts w:ascii="Arial" w:cs="Arial" w:eastAsia="Arial" w:hAnsi="Arial"/>
          <w:sz w:val="22"/>
          <w:szCs w:val="22"/>
          <w:color w:val="auto"/>
        </w:rPr>
      </w:pPr>
      <w:r>
        <w:rPr>
          <w:rFonts w:ascii="Arial" w:cs="Arial" w:eastAsia="Arial" w:hAnsi="Arial"/>
          <w:sz w:val="22"/>
          <w:szCs w:val="22"/>
          <w:color w:val="auto"/>
        </w:rPr>
        <w:t xml:space="preserve">the applicable Change of Control is consummated no later than </w:t>
      </w:r>
      <w:r>
        <w:rPr>
          <w:rFonts w:ascii="Arial" w:cs="Arial" w:eastAsia="Arial" w:hAnsi="Arial"/>
          <w:sz w:val="17"/>
          <w:szCs w:val="17"/>
          <w:b w:val="1"/>
          <w:bCs w:val="1"/>
          <w:color w:val="auto"/>
        </w:rPr>
        <w: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240" w:hanging="640"/>
        <w:spacing w:after="0"/>
        <w:tabs>
          <w:tab w:leader="none" w:pos="3240" w:val="left"/>
        </w:tabs>
        <w:numPr>
          <w:ilvl w:val="2"/>
          <w:numId w:val="99"/>
        </w:numPr>
        <w:rPr>
          <w:rFonts w:ascii="Arial" w:cs="Arial" w:eastAsia="Arial" w:hAnsi="Arial"/>
          <w:sz w:val="21"/>
          <w:szCs w:val="21"/>
          <w:color w:val="auto"/>
        </w:rPr>
      </w:pPr>
      <w:r>
        <w:rPr>
          <w:rFonts w:ascii="Arial" w:cs="Arial" w:eastAsia="Arial" w:hAnsi="Arial"/>
          <w:sz w:val="21"/>
          <w:szCs w:val="21"/>
          <w:color w:val="auto"/>
        </w:rPr>
        <w:t xml:space="preserve">notice of the exercise of the Buy-Back Option is given within </w:t>
      </w:r>
      <w:r>
        <w:rPr>
          <w:rFonts w:ascii="Arial" w:cs="Arial" w:eastAsia="Arial" w:hAnsi="Arial"/>
          <w:sz w:val="16"/>
          <w:szCs w:val="16"/>
          <w:b w:val="1"/>
          <w:bCs w:val="1"/>
          <w:color w:val="auto"/>
        </w:rPr>
        <w:t>[***]</w:t>
      </w:r>
      <w:r>
        <w:rPr>
          <w:rFonts w:ascii="Arial" w:cs="Arial" w:eastAsia="Arial" w:hAnsi="Arial"/>
          <w:sz w:val="21"/>
          <w:szCs w:val="21"/>
          <w:color w:val="auto"/>
        </w:rPr>
        <w:t xml:space="preserve"> (</w:t>
      </w:r>
      <w:r>
        <w:rPr>
          <w:rFonts w:ascii="Arial" w:cs="Arial" w:eastAsia="Arial" w:hAnsi="Arial"/>
          <w:sz w:val="16"/>
          <w:szCs w:val="16"/>
          <w:b w:val="1"/>
          <w:bCs w:val="1"/>
          <w:color w:val="auto"/>
        </w:rPr>
        <w:t>[***]</w:t>
      </w:r>
      <w:r>
        <w:rPr>
          <w:rFonts w:ascii="Arial" w:cs="Arial" w:eastAsia="Arial" w:hAnsi="Arial"/>
          <w:sz w:val="21"/>
          <w:szCs w:val="21"/>
          <w:color w:val="auto"/>
        </w:rPr>
        <w:t>)</w:t>
      </w:r>
    </w:p>
    <w:p>
      <w:pPr>
        <w:spacing w:after="0" w:line="19" w:lineRule="exact"/>
        <w:rPr>
          <w:rFonts w:ascii="Arial" w:cs="Arial" w:eastAsia="Arial" w:hAnsi="Arial"/>
          <w:sz w:val="21"/>
          <w:szCs w:val="21"/>
          <w:color w:val="auto"/>
        </w:rPr>
      </w:pPr>
    </w:p>
    <w:p>
      <w:pPr>
        <w:ind w:left="440" w:hanging="432"/>
        <w:spacing w:after="0"/>
        <w:tabs>
          <w:tab w:leader="none" w:pos="440" w:val="left"/>
        </w:tabs>
        <w:numPr>
          <w:ilvl w:val="0"/>
          <w:numId w:val="99"/>
        </w:numPr>
        <w:rPr>
          <w:rFonts w:ascii="Arial" w:cs="Arial" w:eastAsia="Arial" w:hAnsi="Arial"/>
          <w:sz w:val="18"/>
          <w:szCs w:val="18"/>
          <w:b w:val="1"/>
          <w:bCs w:val="1"/>
          <w:color w:val="auto"/>
        </w:rPr>
      </w:pPr>
      <w:r>
        <w:rPr>
          <w:rFonts w:ascii="Arial" w:cs="Arial" w:eastAsia="Arial" w:hAnsi="Arial"/>
          <w:sz w:val="22"/>
          <w:szCs w:val="22"/>
          <w:color w:val="auto"/>
        </w:rPr>
        <w:t>following the consummation of the applicable Change of Control;</w:t>
      </w:r>
    </w:p>
    <w:p>
      <w:pPr>
        <w:spacing w:after="0" w:line="188" w:lineRule="exact"/>
        <w:rPr>
          <w:rFonts w:ascii="Arial" w:cs="Arial" w:eastAsia="Arial" w:hAnsi="Arial"/>
          <w:sz w:val="18"/>
          <w:szCs w:val="18"/>
          <w:b w:val="1"/>
          <w:bCs w:val="1"/>
          <w:color w:val="auto"/>
        </w:rPr>
      </w:pPr>
    </w:p>
    <w:p>
      <w:pPr>
        <w:ind w:left="3240" w:hanging="640"/>
        <w:spacing w:after="0"/>
        <w:tabs>
          <w:tab w:leader="none" w:pos="3240" w:val="left"/>
        </w:tabs>
        <w:numPr>
          <w:ilvl w:val="2"/>
          <w:numId w:val="100"/>
        </w:numPr>
        <w:rPr>
          <w:rFonts w:ascii="Arial" w:cs="Arial" w:eastAsia="Arial" w:hAnsi="Arial"/>
          <w:sz w:val="19"/>
          <w:szCs w:val="19"/>
          <w:color w:val="auto"/>
        </w:rPr>
      </w:pPr>
      <w:r>
        <w:rPr>
          <w:rFonts w:ascii="Arial" w:cs="Arial" w:eastAsia="Arial" w:hAnsi="Arial"/>
          <w:sz w:val="19"/>
          <w:szCs w:val="19"/>
          <w:color w:val="auto"/>
        </w:rPr>
        <w:t xml:space="preserve">the Parties shall comply with the provisions of </w:t>
      </w:r>
      <w:r>
        <w:rPr>
          <w:rFonts w:ascii="Arial" w:cs="Arial" w:eastAsia="Arial" w:hAnsi="Arial"/>
          <w:sz w:val="19"/>
          <w:szCs w:val="19"/>
          <w:u w:val="single" w:color="auto"/>
          <w:color w:val="auto"/>
        </w:rPr>
        <w:t>Schedule 11.2.5(a)(v)</w:t>
      </w:r>
      <w:r>
        <w:rPr>
          <w:rFonts w:ascii="Arial" w:cs="Arial" w:eastAsia="Arial" w:hAnsi="Arial"/>
          <w:sz w:val="19"/>
          <w:szCs w:val="19"/>
          <w:color w:val="auto"/>
        </w:rPr>
        <w:t xml:space="preserve"> with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respect to Company Employees;</w:t>
      </w:r>
    </w:p>
    <w:p>
      <w:pPr>
        <w:spacing w:after="0" w:line="188" w:lineRule="exact"/>
        <w:rPr>
          <w:rFonts w:ascii="Arial" w:cs="Arial" w:eastAsia="Arial" w:hAnsi="Arial"/>
          <w:sz w:val="19"/>
          <w:szCs w:val="19"/>
          <w:color w:val="auto"/>
        </w:rPr>
      </w:pPr>
    </w:p>
    <w:p>
      <w:pPr>
        <w:ind w:firstLine="2600"/>
        <w:spacing w:after="0" w:line="250" w:lineRule="auto"/>
        <w:tabs>
          <w:tab w:leader="none" w:pos="3240" w:val="left"/>
        </w:tabs>
        <w:numPr>
          <w:ilvl w:val="2"/>
          <w:numId w:val="100"/>
        </w:numPr>
        <w:rPr>
          <w:rFonts w:ascii="Arial" w:cs="Arial" w:eastAsia="Arial" w:hAnsi="Arial"/>
          <w:sz w:val="22"/>
          <w:szCs w:val="22"/>
          <w:color w:val="auto"/>
        </w:rPr>
      </w:pPr>
      <w:r>
        <w:rPr>
          <w:rFonts w:ascii="Arial" w:cs="Arial" w:eastAsia="Arial" w:hAnsi="Arial"/>
          <w:sz w:val="22"/>
          <w:szCs w:val="22"/>
          <w:color w:val="auto"/>
        </w:rPr>
        <w:t xml:space="preserve">TG or its successor-in-interest shall re-purchase supplies and Raw Materials in accordance with </w:t>
      </w:r>
      <w:r>
        <w:rPr>
          <w:rFonts w:ascii="Arial" w:cs="Arial" w:eastAsia="Arial" w:hAnsi="Arial"/>
          <w:sz w:val="22"/>
          <w:szCs w:val="22"/>
          <w:u w:val="single" w:color="auto"/>
          <w:color w:val="auto"/>
        </w:rPr>
        <w:t>Section 11.4.4(g)</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3240" w:hanging="640"/>
        <w:spacing w:after="0"/>
        <w:tabs>
          <w:tab w:leader="none" w:pos="3240" w:val="left"/>
        </w:tabs>
        <w:numPr>
          <w:ilvl w:val="2"/>
          <w:numId w:val="100"/>
        </w:numPr>
        <w:rPr>
          <w:rFonts w:ascii="Arial" w:cs="Arial" w:eastAsia="Arial" w:hAnsi="Arial"/>
          <w:sz w:val="22"/>
          <w:szCs w:val="22"/>
          <w:color w:val="auto"/>
        </w:rPr>
      </w:pPr>
      <w:r>
        <w:rPr>
          <w:rFonts w:ascii="Arial" w:cs="Arial" w:eastAsia="Arial" w:hAnsi="Arial"/>
          <w:sz w:val="22"/>
          <w:szCs w:val="22"/>
          <w:color w:val="auto"/>
        </w:rPr>
        <w:t>TG or its successor-in-interest pays Company, as follows:</w:t>
      </w:r>
    </w:p>
    <w:p>
      <w:pPr>
        <w:spacing w:after="0" w:line="206" w:lineRule="exact"/>
        <w:rPr>
          <w:rFonts w:ascii="Arial" w:cs="Arial" w:eastAsia="Arial" w:hAnsi="Arial"/>
          <w:sz w:val="22"/>
          <w:szCs w:val="22"/>
          <w:color w:val="auto"/>
        </w:rPr>
      </w:pPr>
    </w:p>
    <w:p>
      <w:pPr>
        <w:jc w:val="both"/>
        <w:ind w:firstLine="3248"/>
        <w:spacing w:after="0" w:line="238" w:lineRule="auto"/>
        <w:tabs>
          <w:tab w:leader="none" w:pos="3888" w:val="left"/>
        </w:tabs>
        <w:numPr>
          <w:ilvl w:val="3"/>
          <w:numId w:val="100"/>
        </w:numPr>
        <w:rPr>
          <w:rFonts w:ascii="Arial" w:cs="Arial" w:eastAsia="Arial" w:hAnsi="Arial"/>
          <w:sz w:val="22"/>
          <w:szCs w:val="22"/>
          <w:color w:val="auto"/>
        </w:rPr>
      </w:pPr>
      <w:r>
        <w:rPr>
          <w:rFonts w:ascii="Arial" w:cs="Arial" w:eastAsia="Arial" w:hAnsi="Arial"/>
          <w:sz w:val="22"/>
          <w:szCs w:val="22"/>
          <w:color w:val="auto"/>
        </w:rPr>
        <w:t xml:space="preserve">in the event TG or its successor-in-interest exercises the Buy-Back Option at any time on or prior to </w:t>
      </w:r>
      <w:r>
        <w:rPr>
          <w:rFonts w:ascii="Arial" w:cs="Arial" w:eastAsia="Arial" w:hAnsi="Arial"/>
          <w:sz w:val="17"/>
          <w:szCs w:val="17"/>
          <w:b w:val="1"/>
          <w:bCs w:val="1"/>
          <w:color w:val="auto"/>
        </w:rPr>
        <w:t>[***]</w:t>
      </w:r>
      <w:r>
        <w:rPr>
          <w:rFonts w:ascii="Arial" w:cs="Arial" w:eastAsia="Arial" w:hAnsi="Arial"/>
          <w:sz w:val="22"/>
          <w:szCs w:val="22"/>
          <w:color w:val="auto"/>
        </w:rPr>
        <w:t xml:space="preserve">, an amount equal to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the sum of any Upfront Payment and/or Milestone Payments made by Company to TG or its successor-in-interest as of the date of such exercise of the Buy-Back Option;</w:t>
      </w:r>
    </w:p>
    <w:p>
      <w:pPr>
        <w:spacing w:after="0" w:line="184" w:lineRule="exact"/>
        <w:rPr>
          <w:rFonts w:ascii="Arial" w:cs="Arial" w:eastAsia="Arial" w:hAnsi="Arial"/>
          <w:sz w:val="22"/>
          <w:szCs w:val="22"/>
          <w:color w:val="auto"/>
        </w:rPr>
      </w:pPr>
    </w:p>
    <w:p>
      <w:pPr>
        <w:jc w:val="both"/>
        <w:ind w:firstLine="3248"/>
        <w:spacing w:after="0" w:line="238" w:lineRule="auto"/>
        <w:tabs>
          <w:tab w:leader="none" w:pos="3888" w:val="left"/>
        </w:tabs>
        <w:numPr>
          <w:ilvl w:val="3"/>
          <w:numId w:val="100"/>
        </w:numPr>
        <w:rPr>
          <w:rFonts w:ascii="Arial" w:cs="Arial" w:eastAsia="Arial" w:hAnsi="Arial"/>
          <w:sz w:val="22"/>
          <w:szCs w:val="22"/>
          <w:color w:val="auto"/>
        </w:rPr>
      </w:pPr>
      <w:r>
        <w:rPr>
          <w:rFonts w:ascii="Arial" w:cs="Arial" w:eastAsia="Arial" w:hAnsi="Arial"/>
          <w:sz w:val="22"/>
          <w:szCs w:val="22"/>
          <w:color w:val="auto"/>
        </w:rPr>
        <w:t xml:space="preserve">in the event TG or its successor-in-interest exercises the Buy-Back Option at any time after </w:t>
      </w:r>
      <w:r>
        <w:rPr>
          <w:rFonts w:ascii="Arial" w:cs="Arial" w:eastAsia="Arial" w:hAnsi="Arial"/>
          <w:sz w:val="17"/>
          <w:szCs w:val="17"/>
          <w:b w:val="1"/>
          <w:bCs w:val="1"/>
          <w:color w:val="auto"/>
        </w:rPr>
        <w:t>[***]</w:t>
      </w:r>
      <w:r>
        <w:rPr>
          <w:rFonts w:ascii="Arial" w:cs="Arial" w:eastAsia="Arial" w:hAnsi="Arial"/>
          <w:sz w:val="22"/>
          <w:szCs w:val="22"/>
          <w:color w:val="auto"/>
        </w:rPr>
        <w:t xml:space="preserve"> but on or prior to </w:t>
      </w:r>
      <w:r>
        <w:rPr>
          <w:rFonts w:ascii="Arial" w:cs="Arial" w:eastAsia="Arial" w:hAnsi="Arial"/>
          <w:sz w:val="17"/>
          <w:szCs w:val="17"/>
          <w:b w:val="1"/>
          <w:bCs w:val="1"/>
          <w:color w:val="auto"/>
        </w:rPr>
        <w:t>[***]</w:t>
      </w:r>
      <w:r>
        <w:rPr>
          <w:rFonts w:ascii="Arial" w:cs="Arial" w:eastAsia="Arial" w:hAnsi="Arial"/>
          <w:sz w:val="22"/>
          <w:szCs w:val="22"/>
          <w:color w:val="auto"/>
        </w:rPr>
        <w:t xml:space="preserve"> , an amount equal to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the sum of any Upfront Payment and/or Milestone Payments made by Company to TG or its successor-in-interest as of the date of such exercise of the Buy-Back Option;</w:t>
      </w:r>
    </w:p>
    <w:p>
      <w:pPr>
        <w:spacing w:after="0" w:line="184" w:lineRule="exact"/>
        <w:rPr>
          <w:rFonts w:ascii="Arial" w:cs="Arial" w:eastAsia="Arial" w:hAnsi="Arial"/>
          <w:sz w:val="22"/>
          <w:szCs w:val="22"/>
          <w:color w:val="auto"/>
        </w:rPr>
      </w:pPr>
    </w:p>
    <w:p>
      <w:pPr>
        <w:jc w:val="both"/>
        <w:ind w:firstLine="3248"/>
        <w:spacing w:after="0" w:line="235" w:lineRule="auto"/>
        <w:tabs>
          <w:tab w:leader="none" w:pos="3888" w:val="left"/>
        </w:tabs>
        <w:numPr>
          <w:ilvl w:val="3"/>
          <w:numId w:val="100"/>
        </w:numPr>
        <w:rPr>
          <w:rFonts w:ascii="Arial" w:cs="Arial" w:eastAsia="Arial" w:hAnsi="Arial"/>
          <w:sz w:val="22"/>
          <w:szCs w:val="22"/>
          <w:color w:val="auto"/>
        </w:rPr>
      </w:pPr>
      <w:r>
        <w:rPr>
          <w:rFonts w:ascii="Arial" w:cs="Arial" w:eastAsia="Arial" w:hAnsi="Arial"/>
          <w:sz w:val="22"/>
          <w:szCs w:val="22"/>
          <w:color w:val="auto"/>
        </w:rPr>
        <w:t xml:space="preserve">in the event TG or its successor-in-interest exercises the Buy-Back Option at any time after </w:t>
      </w:r>
      <w:r>
        <w:rPr>
          <w:rFonts w:ascii="Arial" w:cs="Arial" w:eastAsia="Arial" w:hAnsi="Arial"/>
          <w:sz w:val="17"/>
          <w:szCs w:val="17"/>
          <w:b w:val="1"/>
          <w:bCs w:val="1"/>
          <w:color w:val="auto"/>
        </w:rPr>
        <w:t>[***]</w:t>
      </w:r>
      <w:r>
        <w:rPr>
          <w:rFonts w:ascii="Arial" w:cs="Arial" w:eastAsia="Arial" w:hAnsi="Arial"/>
          <w:sz w:val="22"/>
          <w:szCs w:val="22"/>
          <w:color w:val="auto"/>
        </w:rPr>
        <w:t xml:space="preserve">but on or prior to </w:t>
      </w:r>
      <w:r>
        <w:rPr>
          <w:rFonts w:ascii="Arial" w:cs="Arial" w:eastAsia="Arial" w:hAnsi="Arial"/>
          <w:sz w:val="17"/>
          <w:szCs w:val="17"/>
          <w:b w:val="1"/>
          <w:bCs w:val="1"/>
          <w:color w:val="auto"/>
        </w:rPr>
        <w:t>[***]</w:t>
      </w:r>
      <w:r>
        <w:rPr>
          <w:rFonts w:ascii="Arial" w:cs="Arial" w:eastAsia="Arial" w:hAnsi="Arial"/>
          <w:sz w:val="22"/>
          <w:szCs w:val="22"/>
          <w:color w:val="auto"/>
        </w:rPr>
        <w:t xml:space="preserve"> (or, should the relevant Change of Control be consummated less than </w:t>
      </w:r>
      <w:r>
        <w:rPr>
          <w:rFonts w:ascii="Arial" w:cs="Arial" w:eastAsia="Arial" w:hAnsi="Arial"/>
          <w:sz w:val="17"/>
          <w:szCs w:val="17"/>
          <w:b w:val="1"/>
          <w:bCs w:val="1"/>
          <w:color w:val="auto"/>
        </w:rPr>
        <w:t>[***]</w:t>
      </w:r>
      <w:r>
        <w:rPr>
          <w:rFonts w:ascii="Arial" w:cs="Arial" w:eastAsia="Arial" w:hAnsi="Arial"/>
          <w:sz w:val="22"/>
          <w:szCs w:val="22"/>
          <w:color w:val="auto"/>
        </w:rPr>
        <w:t>(</w:t>
      </w:r>
      <w:r>
        <w:rPr>
          <w:rFonts w:ascii="Arial" w:cs="Arial" w:eastAsia="Arial" w:hAnsi="Arial"/>
          <w:sz w:val="17"/>
          <w:szCs w:val="17"/>
          <w:b w:val="1"/>
          <w:bCs w:val="1"/>
          <w:color w:val="auto"/>
        </w:rPr>
        <w:t>[***]</w:t>
      </w:r>
      <w:r>
        <w:rPr>
          <w:rFonts w:ascii="Arial" w:cs="Arial" w:eastAsia="Arial" w:hAnsi="Arial"/>
          <w:sz w:val="22"/>
          <w:szCs w:val="22"/>
          <w:color w:val="auto"/>
        </w:rPr>
        <w:t xml:space="preserve">) [***] prior to </w:t>
      </w:r>
      <w:r>
        <w:rPr>
          <w:rFonts w:ascii="Arial" w:cs="Arial" w:eastAsia="Arial" w:hAnsi="Arial"/>
          <w:sz w:val="17"/>
          <w:szCs w:val="17"/>
          <w:b w:val="1"/>
          <w:bCs w:val="1"/>
          <w:color w:val="auto"/>
        </w:rPr>
        <w:t>[***]</w:t>
      </w:r>
      <w:r>
        <w:rPr>
          <w:rFonts w:ascii="Arial" w:cs="Arial" w:eastAsia="Arial" w:hAnsi="Arial"/>
          <w:sz w:val="22"/>
          <w:szCs w:val="22"/>
          <w:color w:val="auto"/>
        </w:rPr>
        <w:t xml:space="preserve">, on or prior to the date which is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xml:space="preserve">) [***] following the consummation of the applicable Change of Control), an amount equal to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the sum of any Upfront Payment and/or Milestone Payments made by Company to TG or its successor-in-interest as of the date of such exercise of the Buy-Back Option.</w:t>
      </w:r>
    </w:p>
    <w:p>
      <w:pPr>
        <w:spacing w:after="0" w:line="187" w:lineRule="exact"/>
        <w:rPr>
          <w:rFonts w:ascii="Arial" w:cs="Arial" w:eastAsia="Arial" w:hAnsi="Arial"/>
          <w:sz w:val="22"/>
          <w:szCs w:val="22"/>
          <w:color w:val="auto"/>
        </w:rPr>
      </w:pPr>
    </w:p>
    <w:p>
      <w:pPr>
        <w:jc w:val="both"/>
        <w:ind w:firstLine="1952"/>
        <w:spacing w:after="0"/>
        <w:tabs>
          <w:tab w:leader="none" w:pos="2592"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xml:space="preserve">. Without prejudice to the Buy-Back Gross-Up Mechanism established (and defined) below, if Applicable Laws require that Taxes be deducted and withheld from a payment made pursuant to this </w:t>
      </w:r>
      <w:r>
        <w:rPr>
          <w:rFonts w:ascii="Arial" w:cs="Arial" w:eastAsia="Arial" w:hAnsi="Arial"/>
          <w:sz w:val="22"/>
          <w:szCs w:val="22"/>
          <w:u w:val="single" w:color="auto"/>
          <w:color w:val="auto"/>
        </w:rPr>
        <w:t>Section 11.2.5</w:t>
      </w:r>
      <w:r>
        <w:rPr>
          <w:rFonts w:ascii="Arial" w:cs="Arial" w:eastAsia="Arial" w:hAnsi="Arial"/>
          <w:sz w:val="22"/>
          <w:szCs w:val="22"/>
          <w:color w:val="auto"/>
        </w:rPr>
        <w:t>, then:</w:t>
      </w:r>
    </w:p>
    <w:p>
      <w:pPr>
        <w:spacing w:after="0" w:line="186" w:lineRule="exact"/>
        <w:rPr>
          <w:rFonts w:ascii="Arial" w:cs="Arial" w:eastAsia="Arial" w:hAnsi="Arial"/>
          <w:sz w:val="22"/>
          <w:szCs w:val="22"/>
          <w:color w:val="auto"/>
        </w:rPr>
      </w:pPr>
    </w:p>
    <w:p>
      <w:pPr>
        <w:ind w:left="3240" w:hanging="640"/>
        <w:spacing w:after="0"/>
        <w:tabs>
          <w:tab w:leader="none" w:pos="3240" w:val="left"/>
        </w:tabs>
        <w:numPr>
          <w:ilvl w:val="2"/>
          <w:numId w:val="101"/>
        </w:numPr>
        <w:rPr>
          <w:rFonts w:ascii="Arial" w:cs="Arial" w:eastAsia="Arial" w:hAnsi="Arial"/>
          <w:sz w:val="19"/>
          <w:szCs w:val="19"/>
          <w:color w:val="auto"/>
        </w:rPr>
      </w:pPr>
      <w:r>
        <w:rPr>
          <w:rFonts w:ascii="Arial" w:cs="Arial" w:eastAsia="Arial" w:hAnsi="Arial"/>
          <w:sz w:val="19"/>
          <w:szCs w:val="19"/>
          <w:color w:val="auto"/>
        </w:rPr>
        <w:t>TG shall (A) deduct those Taxes in the amount required by Applicable Laws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from the payment; (B) pay the Taxes to the proper taxing authority; and (C) send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5" w:name="page136"/>
    <w:bookmarkEnd w:id="135"/>
    <w:p>
      <w:pPr>
        <w:spacing w:after="0" w:line="250" w:lineRule="auto"/>
        <w:rPr>
          <w:sz w:val="20"/>
          <w:szCs w:val="20"/>
          <w:color w:val="auto"/>
        </w:rPr>
      </w:pPr>
      <w:r>
        <w:rPr>
          <w:rFonts w:ascii="Arial" w:cs="Arial" w:eastAsia="Arial" w:hAnsi="Arial"/>
          <w:sz w:val="22"/>
          <w:szCs w:val="22"/>
          <w:color w:val="auto"/>
        </w:rPr>
        <w:t>evidence of the obligation together with proof of payment to Company within [***] ([***]) [***] following that payment, and</w:t>
      </w:r>
    </w:p>
    <w:p>
      <w:pPr>
        <w:spacing w:after="0" w:line="175" w:lineRule="exact"/>
        <w:rPr>
          <w:sz w:val="20"/>
          <w:szCs w:val="20"/>
          <w:color w:val="auto"/>
        </w:rPr>
      </w:pPr>
    </w:p>
    <w:p>
      <w:pPr>
        <w:jc w:val="both"/>
        <w:ind w:firstLine="2600"/>
        <w:spacing w:after="0" w:line="245" w:lineRule="auto"/>
        <w:tabs>
          <w:tab w:leader="none" w:pos="324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the Parties shall perform all acts (including by executing all appropriate documents and/or filing all appropriate tax returns, applications, filing or information with any competent governmental authority) so as to enable the other Party to take advantage of any applicable double taxation agreement or treaty or to otherwise secure any applicable exemption from or reduction in withholding Taxes, including the delivery of any prescribed forms necessary (or has been requested by a governmental authority) to reduce the applicable rate of withholding or relieve the obligation to withhold such tax or any other information or documentation requested by a Party to comply with its tax obligations (for example, and non-exclusively, a tax resident certificate within the meaning of the applicable double tax treaty) and such shall be provided before the due date of payment pursuant to this </w:t>
      </w:r>
      <w:r>
        <w:rPr>
          <w:rFonts w:ascii="Arial" w:cs="Arial" w:eastAsia="Arial" w:hAnsi="Arial"/>
          <w:sz w:val="21"/>
          <w:szCs w:val="21"/>
          <w:u w:val="single" w:color="auto"/>
          <w:color w:val="auto"/>
        </w:rPr>
        <w:t>Section 11.2.5</w:t>
      </w:r>
      <w:r>
        <w:rPr>
          <w:rFonts w:ascii="Arial" w:cs="Arial" w:eastAsia="Arial" w:hAnsi="Arial"/>
          <w:sz w:val="21"/>
          <w:szCs w:val="21"/>
          <w:color w:val="auto"/>
        </w:rPr>
        <w:t>.</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Any deductions or withholding for taxes that TG is required by Applicable Law to deduct or withhold on remittance of payments to Company pursuant to the terms of this Agreement shall be paid forthwith by TG to the appropriate taxing authority, and the sum payable by TG to Company pursuant to the terms of this </w:t>
      </w:r>
      <w:r>
        <w:rPr>
          <w:rFonts w:ascii="Arial" w:cs="Arial" w:eastAsia="Arial" w:hAnsi="Arial"/>
          <w:sz w:val="19"/>
          <w:szCs w:val="19"/>
          <w:u w:val="single" w:color="auto"/>
          <w:color w:val="auto"/>
        </w:rPr>
        <w:t>Section 11.2.5</w:t>
      </w:r>
      <w:r>
        <w:rPr>
          <w:rFonts w:ascii="Arial" w:cs="Arial" w:eastAsia="Arial" w:hAnsi="Arial"/>
          <w:sz w:val="19"/>
          <w:szCs w:val="19"/>
          <w:color w:val="auto"/>
        </w:rPr>
        <w:t xml:space="preserve"> shall be increased as necessary so that after any required withholding or the making of all required deductions (including deductions or withholdings applicable to additional sums payable under this provision), Company receives an amount equal to the sum which would have been received by Company had no such deduction or withholding been made (the “</w:t>
      </w:r>
      <w:r>
        <w:rPr>
          <w:rFonts w:ascii="Arial" w:cs="Arial" w:eastAsia="Arial" w:hAnsi="Arial"/>
          <w:sz w:val="19"/>
          <w:szCs w:val="19"/>
          <w:b w:val="1"/>
          <w:bCs w:val="1"/>
          <w:i w:val="1"/>
          <w:iCs w:val="1"/>
          <w:color w:val="auto"/>
        </w:rPr>
        <w:t>Buy-Back Gross-Up Mechanism</w:t>
      </w:r>
      <w:r>
        <w:rPr>
          <w:rFonts w:ascii="Arial" w:cs="Arial" w:eastAsia="Arial" w:hAnsi="Arial"/>
          <w:sz w:val="19"/>
          <w:szCs w:val="19"/>
          <w:color w:val="auto"/>
        </w:rPr>
        <w:t xml:space="preserve">”). Where Taxes have been deducted or withheld by TG from a payment made pursuant to this </w:t>
      </w:r>
      <w:r>
        <w:rPr>
          <w:rFonts w:ascii="Arial" w:cs="Arial" w:eastAsia="Arial" w:hAnsi="Arial"/>
          <w:sz w:val="19"/>
          <w:szCs w:val="19"/>
          <w:u w:val="single" w:color="auto"/>
          <w:color w:val="auto"/>
        </w:rPr>
        <w:t>Section 11.2.5</w:t>
      </w:r>
      <w:r>
        <w:rPr>
          <w:rFonts w:ascii="Arial" w:cs="Arial" w:eastAsia="Arial" w:hAnsi="Arial"/>
          <w:sz w:val="19"/>
          <w:szCs w:val="19"/>
          <w:color w:val="auto"/>
        </w:rPr>
        <w:t>, Company will be required to pursue commercially reasonable actions and tax filings according to Applicable Law to obtain and claim any available refund, relief, exemption, tax credit, tax benefit or others in order to eliminate any double taxation and/or to recover (or credit or refund) the taxes paid withheld and/or paid (in full or to the maximum extent permitted under Applicable Law) as promptly as possible in the US, Spain or elsewhere including but not limited to the applicable tax return corresponding to the fiscal year where such withholding or deduction has taken place. The maximum amount that is recoverable, refundable, creditable, or that otherwise could be claimed and /or received according to Applicable Law (including by any Affiliate of TG, e.g. under any group taxation regime) as a result of the application of those measures to eliminate any double taxation and/or to recover (credit or refund) the Taxes withheld will be directly paid in cash to TG the day after the applicable tax return of the fiscal year where such relief has been used, is or should have been filed according to Applicable Law, even if it is not fully recovered, refunded, credited or otherwise received in that tax return but can potentially be in the future. The amounts recovered and to be paid to TG will be subsequently adjusted in case that they differ from the final amount resulting from an assessment received by any taxing authority and/or administrative court or courts of justice where the assessment, resolution and/or in general a decision reached by any of those bodies is final and no further appeal can be made.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The Buy-Back Gross-Up Mechanism will not apply where Company ceases to be tax resident in Spain.</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The Buy-Back Gross-Up shall be limited to the </w:t>
      </w:r>
      <w:r>
        <w:rPr>
          <w:rFonts w:ascii="Arial" w:cs="Arial" w:eastAsia="Arial" w:hAnsi="Arial"/>
          <w:sz w:val="17"/>
          <w:szCs w:val="17"/>
          <w:b w:val="1"/>
          <w:bCs w:val="1"/>
          <w:color w:val="auto"/>
        </w:rPr>
        <w:t>[***]</w:t>
      </w:r>
      <w:r>
        <w:rPr>
          <w:rFonts w:ascii="Arial" w:cs="Arial" w:eastAsia="Arial" w:hAnsi="Arial"/>
          <w:sz w:val="22"/>
          <w:szCs w:val="22"/>
          <w:color w:val="auto"/>
        </w:rPr>
        <w:t xml:space="preserve"> of the amounts of taxes withheld or deducted from any payment resulting from this Agreement if there is a change in the Applicable Law that modifies the withholding tax rules relevant to this Agreement applicable at the date of signing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6" w:name="page137"/>
    <w:bookmarkEnd w:id="136"/>
    <w:p>
      <w:pPr>
        <w:jc w:val="both"/>
        <w:spacing w:after="0"/>
        <w:rPr>
          <w:sz w:val="20"/>
          <w:szCs w:val="20"/>
          <w:color w:val="auto"/>
        </w:rPr>
      </w:pPr>
      <w:r>
        <w:rPr>
          <w:rFonts w:ascii="Arial" w:cs="Arial" w:eastAsia="Arial" w:hAnsi="Arial"/>
          <w:sz w:val="22"/>
          <w:szCs w:val="22"/>
          <w:color w:val="auto"/>
        </w:rPr>
        <w:t>and/or in the relevant provisions of the Spain-US tax treaty applicable to this Agreement at the date of signing (modifications that do not impact the application of withholding tax or the amount of withholding tax to be applied (if any) shall not be relevant for the purpose of this sentence).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Commercial License in Bankruptcy Scenario</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 xml:space="preserve">11.3.1 All rights and licenses now or hereafter granted under or pursuant to any section of this Agreement, including, inter alia, </w:t>
      </w:r>
      <w:r>
        <w:rPr>
          <w:rFonts w:ascii="Arial" w:cs="Arial" w:eastAsia="Arial" w:hAnsi="Arial"/>
          <w:sz w:val="21"/>
          <w:szCs w:val="21"/>
          <w:u w:val="single" w:color="auto"/>
          <w:color w:val="auto"/>
        </w:rPr>
        <w:t>Section 2</w:t>
      </w:r>
      <w:r>
        <w:rPr>
          <w:rFonts w:ascii="Arial" w:cs="Arial" w:eastAsia="Arial" w:hAnsi="Arial"/>
          <w:sz w:val="21"/>
          <w:szCs w:val="21"/>
          <w:color w:val="auto"/>
        </w:rPr>
        <w:t>, are and will otherwise be deemed to be for purposes of Section 365(n) of the United States Bankruptcy Code (Title 11, U.S. Code), as amended (the “</w:t>
      </w:r>
      <w:r>
        <w:rPr>
          <w:rFonts w:ascii="Arial" w:cs="Arial" w:eastAsia="Arial" w:hAnsi="Arial"/>
          <w:sz w:val="21"/>
          <w:szCs w:val="21"/>
          <w:b w:val="1"/>
          <w:bCs w:val="1"/>
          <w:i w:val="1"/>
          <w:iCs w:val="1"/>
          <w:color w:val="auto"/>
        </w:rPr>
        <w:t>Bankruptcy Code</w:t>
      </w:r>
      <w:r>
        <w:rPr>
          <w:rFonts w:ascii="Arial" w:cs="Arial" w:eastAsia="Arial" w:hAnsi="Arial"/>
          <w:sz w:val="21"/>
          <w:szCs w:val="21"/>
          <w:color w:val="auto"/>
        </w:rPr>
        <w:t>”), licenses of rights to “intellectual property” as defined in Section 101(35A) of the Bankruptcy Code.</w:t>
      </w:r>
    </w:p>
    <w:p>
      <w:pPr>
        <w:spacing w:after="0" w:line="17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11.3.2 Company, as licensee of such rights under this Agreement, shall have all rights, elections, and protections under the Bankruptcy Code and all other applicable bankruptcy, insolvency, and similar laws with respect to this Agreement and the subject matter hereof. Any agreements supplemental hereto will be deemed to be “agreements supplementary to” this Agreement for purposes of Section 365(n) of the Bankruptcy Code.</w:t>
      </w:r>
    </w:p>
    <w:p>
      <w:pPr>
        <w:spacing w:after="0" w:line="14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Consequences of Termination of Agreement</w:t>
      </w:r>
      <w:r>
        <w:rPr>
          <w:rFonts w:ascii="Arial" w:cs="Arial" w:eastAsia="Arial" w:hAnsi="Arial"/>
          <w:sz w:val="22"/>
          <w:szCs w:val="22"/>
          <w:color w:val="auto"/>
        </w:rPr>
        <w:t xml:space="preserve">. In the event of the termination of this Agreement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 the following provisions shall apply, as applicable, except as TG agrees otherwise in its sole discretion for the sake of patient safety and otherwise orderly transition from Company to TG as contemplated by this </w:t>
      </w:r>
      <w:r>
        <w:rPr>
          <w:rFonts w:ascii="Arial" w:cs="Arial" w:eastAsia="Arial" w:hAnsi="Arial"/>
          <w:sz w:val="22"/>
          <w:szCs w:val="22"/>
          <w:u w:val="single" w:color="auto"/>
          <w:color w:val="auto"/>
        </w:rPr>
        <w:t>Section 11.4</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 xml:space="preserve">11.4.1 All licenses and rights granted by TG to Company, including all licenses granted to Company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shall immediately terminate. Any Sublicense in effect immediately prior to the termination of this Agreement shall automatically terminate, unless TG determines, in its sole discretion, to maintain such Sublicense, in which case, Company shall assign to TG such Sublicense and all rights thereunder, provided that (a) Company shall remain responsible and liable, in all respects, for all obligations and liabilities arising thereunder prior to such assignment, and (b) each such Sublicensee shall take all steps and execute all documents that TG reasonably requires in connection with its assumption of such Sublicense.</w:t>
      </w:r>
    </w:p>
    <w:p>
      <w:pPr>
        <w:spacing w:after="0" w:line="152"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11.4.2 Company shall cease to use the Licensed Trademark and any Marketing Authorization obtained in accordance with this Agreement and shall promptly transfer such Marketing Authorizations and/or orphan drug designations to TG at no cost for TG.</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11.4.3 Company shall cease to conduct any activity related to the Development and/or Commercialization of the Product in the Field in the Territory.</w:t>
      </w:r>
    </w:p>
    <w:p>
      <w:pPr>
        <w:spacing w:after="0" w:line="17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 xml:space="preserve">11.4.4 Promptly following the termination of this Agreement, Company shall promptly (and in any event within thirty ([***]) [***] of termination of this Agreement, or such other period of time if required under Applicable Law, except as required to enable Company to exercise its rights during the sell-off period contemplated by </w:t>
      </w:r>
      <w:r>
        <w:rPr>
          <w:rFonts w:ascii="Arial" w:cs="Arial" w:eastAsia="Arial" w:hAnsi="Arial"/>
          <w:sz w:val="21"/>
          <w:szCs w:val="21"/>
          <w:u w:val="single" w:color="auto"/>
          <w:color w:val="auto"/>
        </w:rPr>
        <w:t>Section 11.4.4(g)(ii)</w:t>
      </w:r>
      <w:r>
        <w:rPr>
          <w:rFonts w:ascii="Arial" w:cs="Arial" w:eastAsia="Arial" w:hAnsi="Arial"/>
          <w:sz w:val="21"/>
          <w:szCs w:val="21"/>
          <w:color w:val="auto"/>
        </w:rPr>
        <w:t xml:space="preserve"> solely during such sell-off period, as applicable):</w:t>
      </w:r>
    </w:p>
    <w:p>
      <w:pPr>
        <w:spacing w:after="0" w:line="174" w:lineRule="exact"/>
        <w:rPr>
          <w:sz w:val="20"/>
          <w:szCs w:val="20"/>
          <w:color w:val="auto"/>
        </w:rPr>
      </w:pPr>
    </w:p>
    <w:p>
      <w:pPr>
        <w:jc w:val="both"/>
        <w:ind w:firstLine="1952"/>
        <w:spacing w:after="0"/>
        <w:tabs>
          <w:tab w:leader="none" w:pos="259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transfer to TG, and cause its Affiliates, Sublicensees, and Distributors to transfer to TG, all of their respective right, title and interest in all Drug Approval Applications, Marketing Authorizations, Regulatory Approvals, and any other Regulatory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7" w:name="page138"/>
    <w:bookmarkEnd w:id="137"/>
    <w:p>
      <w:pPr>
        <w:jc w:val="both"/>
        <w:spacing w:after="0" w:line="246" w:lineRule="auto"/>
        <w:rPr>
          <w:sz w:val="20"/>
          <w:szCs w:val="20"/>
          <w:color w:val="auto"/>
        </w:rPr>
      </w:pPr>
      <w:r>
        <w:rPr>
          <w:rFonts w:ascii="Arial" w:cs="Arial" w:eastAsia="Arial" w:hAnsi="Arial"/>
          <w:sz w:val="21"/>
          <w:szCs w:val="21"/>
          <w:color w:val="auto"/>
        </w:rPr>
        <w:t>then in any of their respective names, or otherwise under their Control, applicable to the Compound and/or Product in the Field in the Territory, if any, and all Confidential Information Controlled by Company as of the date of termination relied on by such Drug Approval Applications, Marketing Authorizations, Regulatory Approvals, and/or other Regulatory Filings. Until the transfer of any such Marketing Authorizations and/or Regulatory Approvals is complete, then, in each country in the Territory, as applicable, Company hereby appoints, and shall appoint, TG or its designee as its exclusive distributor of the Product in such country, with the right to appoint sub-distributors, to the fullest extent permissible under Applicable Law;</w:t>
      </w:r>
    </w:p>
    <w:p>
      <w:pPr>
        <w:spacing w:after="0" w:line="184" w:lineRule="exact"/>
        <w:rPr>
          <w:sz w:val="20"/>
          <w:szCs w:val="20"/>
          <w:color w:val="auto"/>
        </w:rPr>
      </w:pPr>
    </w:p>
    <w:p>
      <w:pPr>
        <w:ind w:firstLine="1952"/>
        <w:spacing w:after="0" w:line="250" w:lineRule="auto"/>
        <w:tabs>
          <w:tab w:leader="none" w:pos="259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notify the applicable Regulatory Authorities and take any other action reasonably necessary to effect such transfer;</w:t>
      </w:r>
    </w:p>
    <w:p>
      <w:pPr>
        <w:spacing w:after="0" w:line="174" w:lineRule="exact"/>
        <w:rPr>
          <w:rFonts w:ascii="Arial" w:cs="Arial" w:eastAsia="Arial" w:hAnsi="Arial"/>
          <w:sz w:val="22"/>
          <w:szCs w:val="22"/>
          <w:color w:val="auto"/>
        </w:rPr>
      </w:pPr>
    </w:p>
    <w:p>
      <w:pPr>
        <w:jc w:val="both"/>
        <w:ind w:firstLine="1952"/>
        <w:spacing w:after="0"/>
        <w:tabs>
          <w:tab w:leader="none" w:pos="259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provide TG with copies of all correspondence between Company and such Regulatory Authorities relating to such Drug Approval Applications, Marketing Authorizations, Regulatory Approvals, and/or other Regulatory Filings;</w:t>
      </w:r>
    </w:p>
    <w:p>
      <w:pPr>
        <w:spacing w:after="0" w:line="186" w:lineRule="exact"/>
        <w:rPr>
          <w:rFonts w:ascii="Arial" w:cs="Arial" w:eastAsia="Arial" w:hAnsi="Arial"/>
          <w:sz w:val="22"/>
          <w:szCs w:val="22"/>
          <w:color w:val="auto"/>
        </w:rPr>
      </w:pPr>
    </w:p>
    <w:p>
      <w:pPr>
        <w:jc w:val="both"/>
        <w:ind w:firstLine="1952"/>
        <w:spacing w:after="0" w:line="234" w:lineRule="auto"/>
        <w:tabs>
          <w:tab w:leader="none" w:pos="259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unless expressly prohibited by any Regulatory Authority, transfer sponsorship and control to TG of all Clinical Trials of the Product in the Field in the Territory being conducted by or on behalf of Company as of the effective date of termination and, upon TG’s request, continue to conduct such Clinical Trials after the effective date of termination to enable such transfer to be completed without interruption of any such Clinical Trial for up to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xml:space="preserve">) </w:t>
      </w:r>
      <w:r>
        <w:rPr>
          <w:rFonts w:ascii="Arial" w:cs="Arial" w:eastAsia="Arial" w:hAnsi="Arial"/>
          <w:sz w:val="17"/>
          <w:szCs w:val="17"/>
          <w:b w:val="1"/>
          <w:bCs w:val="1"/>
          <w:color w:val="auto"/>
        </w:rPr>
        <w:t>[***]</w:t>
      </w:r>
      <w:r>
        <w:rPr>
          <w:rFonts w:ascii="Arial" w:cs="Arial" w:eastAsia="Arial" w:hAnsi="Arial"/>
          <w:sz w:val="22"/>
          <w:szCs w:val="22"/>
          <w:color w:val="auto"/>
        </w:rPr>
        <w:t xml:space="preserve"> from the effective date of termination, which such conduct shall be at TG’s cost and direction (except that Company will bear the costs if this Agreement is terminated by TG in accordance with </w:t>
      </w:r>
      <w:r>
        <w:rPr>
          <w:rFonts w:ascii="Arial" w:cs="Arial" w:eastAsia="Arial" w:hAnsi="Arial"/>
          <w:sz w:val="22"/>
          <w:szCs w:val="22"/>
          <w:u w:val="single" w:color="auto"/>
          <w:color w:val="auto"/>
        </w:rPr>
        <w:t>Section 11.2.2</w:t>
      </w:r>
      <w:r>
        <w:rPr>
          <w:rFonts w:ascii="Arial" w:cs="Arial" w:eastAsia="Arial" w:hAnsi="Arial"/>
          <w:sz w:val="22"/>
          <w:szCs w:val="22"/>
          <w:color w:val="auto"/>
        </w:rPr>
        <w:t>);</w:t>
      </w:r>
    </w:p>
    <w:p>
      <w:pPr>
        <w:spacing w:after="0" w:line="190" w:lineRule="exact"/>
        <w:rPr>
          <w:rFonts w:ascii="Arial" w:cs="Arial" w:eastAsia="Arial" w:hAnsi="Arial"/>
          <w:sz w:val="22"/>
          <w:szCs w:val="22"/>
          <w:color w:val="auto"/>
        </w:rPr>
      </w:pPr>
    </w:p>
    <w:p>
      <w:pPr>
        <w:jc w:val="both"/>
        <w:ind w:firstLine="1952"/>
        <w:spacing w:after="0" w:line="236" w:lineRule="auto"/>
        <w:tabs>
          <w:tab w:leader="none" w:pos="259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cooperate with TG, cause its Affiliates to cooperate with TG, and use commercially reasonable efforts to require any Third Party with which Company has an agreement with respect to the conduct of Clinical Trials for the Product (including agreements with contract research organizations, clinical sites, and investigators), to cooperate with TG in order to accomplish the transfer to TG of similar rights as held by Company under its agreements with such Third Parties;</w:t>
      </w:r>
    </w:p>
    <w:p>
      <w:pPr>
        <w:spacing w:after="0" w:line="187" w:lineRule="exact"/>
        <w:rPr>
          <w:rFonts w:ascii="Arial" w:cs="Arial" w:eastAsia="Arial" w:hAnsi="Arial"/>
          <w:sz w:val="22"/>
          <w:szCs w:val="22"/>
          <w:color w:val="auto"/>
        </w:rPr>
      </w:pPr>
    </w:p>
    <w:p>
      <w:pPr>
        <w:jc w:val="both"/>
        <w:ind w:firstLine="1952"/>
        <w:spacing w:after="0" w:line="245" w:lineRule="auto"/>
        <w:tabs>
          <w:tab w:leader="none" w:pos="2592" w:val="left"/>
        </w:tabs>
        <w:numPr>
          <w:ilvl w:val="0"/>
          <w:numId w:val="104"/>
        </w:numPr>
        <w:rPr>
          <w:rFonts w:ascii="Arial" w:cs="Arial" w:eastAsia="Arial" w:hAnsi="Arial"/>
          <w:sz w:val="21"/>
          <w:szCs w:val="21"/>
          <w:color w:val="auto"/>
        </w:rPr>
      </w:pPr>
      <w:r>
        <w:rPr>
          <w:rFonts w:ascii="Arial" w:cs="Arial" w:eastAsia="Arial" w:hAnsi="Arial"/>
          <w:sz w:val="21"/>
          <w:szCs w:val="21"/>
          <w:color w:val="auto"/>
        </w:rPr>
        <w:t>provide TG with copies of all reports, Company Data, records, materials, and documentation generated or obtained by Company or its Affiliates, and all Promotional Materials used by Company, pursuant to this Agreement that relate to the Product in the Field in the Territory, and hereby assigns, transfers, and conveys, and shall assign, transfer, and convey, to TG all right, title, and interest in and to the Company Data, results, and any other information in any Drug Approval Applications, Marketing Authorizations, Regulatory Approvals, and/or other Regulatory Filings applicable to the Commercialization of the Product in the Field in the Territory and all material aspects of Confidential Information Controlled by it as of the date relating to such Drug Approval Applications, Marketing Authorizations, Regulatory Approvals, and/or other Regulatory Filings for TG to use to seek Regulatory Approvals for the Product (whether in or outside the Territory, and whether in or outside the Field);</w:t>
      </w:r>
    </w:p>
    <w:p>
      <w:pPr>
        <w:spacing w:after="0" w:line="180" w:lineRule="exact"/>
        <w:rPr>
          <w:rFonts w:ascii="Arial" w:cs="Arial" w:eastAsia="Arial" w:hAnsi="Arial"/>
          <w:sz w:val="21"/>
          <w:szCs w:val="21"/>
          <w:color w:val="auto"/>
        </w:rPr>
      </w:pPr>
    </w:p>
    <w:p>
      <w:pPr>
        <w:ind w:firstLine="1952"/>
        <w:spacing w:after="0" w:line="250" w:lineRule="auto"/>
        <w:tabs>
          <w:tab w:leader="none" w:pos="259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together with TG, handle inventory of Compound, Product, and Raw Materials, and binding portions of forecasts under the Supply Agreement,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8" w:name="page139"/>
    <w:bookmarkEnd w:id="138"/>
    <w:p>
      <w:pPr>
        <w:ind w:left="3240" w:hanging="640"/>
        <w:spacing w:after="0"/>
        <w:tabs>
          <w:tab w:leader="none" w:pos="3240" w:val="left"/>
        </w:tabs>
        <w:numPr>
          <w:ilvl w:val="0"/>
          <w:numId w:val="105"/>
        </w:numPr>
        <w:rPr>
          <w:rFonts w:ascii="Arial" w:cs="Arial" w:eastAsia="Arial" w:hAnsi="Arial"/>
          <w:sz w:val="22"/>
          <w:szCs w:val="22"/>
          <w:color w:val="auto"/>
        </w:rPr>
      </w:pPr>
      <w:r>
        <w:rPr>
          <w:rFonts w:ascii="Arial" w:cs="Arial" w:eastAsia="Arial" w:hAnsi="Arial"/>
          <w:sz w:val="18"/>
          <w:szCs w:val="18"/>
          <w:b w:val="1"/>
          <w:bCs w:val="1"/>
          <w:color w:val="auto"/>
        </w:rPr>
        <w:t>[***]</w:t>
      </w:r>
      <w:r>
        <w:rPr>
          <w:rFonts w:ascii="Arial" w:cs="Arial" w:eastAsia="Arial" w:hAnsi="Arial"/>
          <w:sz w:val="21"/>
          <w:szCs w:val="21"/>
          <w:color w:val="auto"/>
        </w:rPr>
        <w:t>; or</w:t>
      </w:r>
    </w:p>
    <w:p>
      <w:pPr>
        <w:spacing w:after="0" w:line="206" w:lineRule="exact"/>
        <w:rPr>
          <w:rFonts w:ascii="Arial" w:cs="Arial" w:eastAsia="Arial" w:hAnsi="Arial"/>
          <w:sz w:val="22"/>
          <w:szCs w:val="22"/>
          <w:color w:val="auto"/>
        </w:rPr>
      </w:pPr>
    </w:p>
    <w:p>
      <w:pPr>
        <w:ind w:left="3240" w:hanging="640"/>
        <w:spacing w:after="0"/>
        <w:tabs>
          <w:tab w:leader="none" w:pos="324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in the event of a termination of this Agreement for any reason other than 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accordance with </w:t>
      </w:r>
      <w:r>
        <w:rPr>
          <w:rFonts w:ascii="Arial" w:cs="Arial" w:eastAsia="Arial" w:hAnsi="Arial"/>
          <w:sz w:val="22"/>
          <w:szCs w:val="22"/>
          <w:u w:val="single" w:color="auto"/>
          <w:color w:val="auto"/>
        </w:rPr>
        <w:t>Section 11.2.5</w:t>
      </w:r>
      <w:r>
        <w:rPr>
          <w:rFonts w:ascii="Arial" w:cs="Arial" w:eastAsia="Arial" w:hAnsi="Arial"/>
          <w:sz w:val="22"/>
          <w:szCs w:val="22"/>
          <w:color w:val="auto"/>
        </w:rPr>
        <w:t>, then, in TG’s sole discretion, either:</w:t>
      </w:r>
    </w:p>
    <w:p>
      <w:pPr>
        <w:spacing w:after="0" w:line="188"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22"/>
          <w:szCs w:val="22"/>
          <w:color w:val="auto"/>
        </w:rPr>
      </w:pPr>
      <w:r>
        <w:rPr>
          <w:rFonts w:ascii="Arial" w:cs="Arial" w:eastAsia="Arial" w:hAnsi="Arial"/>
          <w:sz w:val="18"/>
          <w:szCs w:val="18"/>
          <w:b w:val="1"/>
          <w:bCs w:val="1"/>
          <w:color w:val="auto"/>
        </w:rPr>
        <w:t>[***]</w:t>
      </w:r>
      <w:r>
        <w:rPr>
          <w:rFonts w:ascii="Arial" w:cs="Arial" w:eastAsia="Arial" w:hAnsi="Arial"/>
          <w:sz w:val="21"/>
          <w:szCs w:val="21"/>
          <w:color w:val="auto"/>
        </w:rPr>
        <w:t>; or</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106"/>
        </w:numPr>
        <w:rPr>
          <w:rFonts w:ascii="Arial" w:cs="Arial" w:eastAsia="Arial" w:hAnsi="Arial"/>
          <w:sz w:val="22"/>
          <w:szCs w:val="22"/>
          <w:color w:val="auto"/>
        </w:rPr>
      </w:pPr>
      <w:r>
        <w:rPr>
          <w:rFonts w:ascii="Arial" w:cs="Arial" w:eastAsia="Arial" w:hAnsi="Arial"/>
          <w:sz w:val="18"/>
          <w:szCs w:val="18"/>
          <w:b w:val="1"/>
          <w:bCs w:val="1"/>
          <w:color w:val="auto"/>
        </w:rPr>
        <w:t>[***]</w:t>
      </w:r>
      <w:r>
        <w:rPr>
          <w:rFonts w:ascii="Arial" w:cs="Arial" w:eastAsia="Arial" w:hAnsi="Arial"/>
          <w:sz w:val="21"/>
          <w:szCs w:val="21"/>
          <w:color w:val="auto"/>
        </w:rPr>
        <w:t>; and,</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in addition, with respect to Drug Substance, in both scenarios of either (A) and (B), as regards (y) Drug Substance and/or Raw Materials already owned by Company, return to TG (at Company's election, by way of sale or against issuance of a credit note by TG) such portion of such Drug Substance and/or Raw Materials as TG can – for the avoidance of doubt and without limitation, taking into account its current stock levels, binding forecasts, and shelf life of such Drug Substance and/or Raw Materials – reasonably be expected to use to satisfy existing or future demand and (z) Drug Substance subject to binding forecasts in accordance with the Supply Agreement, TG shall take over such </w:t>
      </w:r>
      <w:r>
        <w:rPr>
          <w:rFonts w:ascii="Arial" w:cs="Arial" w:eastAsia="Arial" w:hAnsi="Arial"/>
          <w:sz w:val="16"/>
          <w:szCs w:val="16"/>
          <w:b w:val="1"/>
          <w:bCs w:val="1"/>
          <w:color w:val="auto"/>
        </w:rPr>
        <w:t>[***]</w:t>
      </w:r>
      <w:r>
        <w:rPr>
          <w:rFonts w:ascii="Arial" w:cs="Arial" w:eastAsia="Arial" w:hAnsi="Arial"/>
          <w:sz w:val="21"/>
          <w:szCs w:val="21"/>
          <w:color w:val="auto"/>
        </w:rPr>
        <w:t>;</w:t>
      </w:r>
    </w:p>
    <w:p>
      <w:pPr>
        <w:spacing w:after="0" w:line="184" w:lineRule="exact"/>
        <w:rPr>
          <w:sz w:val="20"/>
          <w:szCs w:val="20"/>
          <w:color w:val="auto"/>
        </w:rPr>
      </w:pPr>
    </w:p>
    <w:p>
      <w:pPr>
        <w:ind w:firstLine="1952"/>
        <w:spacing w:after="0" w:line="328" w:lineRule="auto"/>
        <w:tabs>
          <w:tab w:leader="none" w:pos="259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provide TG with copies of all reports and data generated or obtained by Company or its Affiliates pursuant to this Agreement that relate to the Product in the Field in the Territory; and</w:t>
      </w:r>
    </w:p>
    <w:p>
      <w:pPr>
        <w:spacing w:after="0" w:line="104" w:lineRule="exact"/>
        <w:rPr>
          <w:rFonts w:ascii="Arial" w:cs="Arial" w:eastAsia="Arial" w:hAnsi="Arial"/>
          <w:sz w:val="19"/>
          <w:szCs w:val="19"/>
          <w:color w:val="auto"/>
        </w:rPr>
      </w:pPr>
    </w:p>
    <w:p>
      <w:pPr>
        <w:jc w:val="both"/>
        <w:ind w:firstLine="1952"/>
        <w:spacing w:after="0" w:line="270" w:lineRule="auto"/>
        <w:tabs>
          <w:tab w:leader="none" w:pos="259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if by virtue of the Transfer Regulations and the termination of this Agreement (whether in whole or in part) for whatever reason, any employment or any liability regarding the employment of any Company Employee shall transfer to (or be alleged to transfer to) TG and/or any New Commercialization Provider (a “</w:t>
      </w:r>
      <w:r>
        <w:rPr>
          <w:rFonts w:ascii="Arial" w:cs="Arial" w:eastAsia="Arial" w:hAnsi="Arial"/>
          <w:sz w:val="19"/>
          <w:szCs w:val="19"/>
          <w:b w:val="1"/>
          <w:bCs w:val="1"/>
          <w:i w:val="1"/>
          <w:iCs w:val="1"/>
          <w:color w:val="auto"/>
        </w:rPr>
        <w:t>Transfer Claimant</w:t>
      </w:r>
      <w:r>
        <w:rPr>
          <w:rFonts w:ascii="Arial" w:cs="Arial" w:eastAsia="Arial" w:hAnsi="Arial"/>
          <w:sz w:val="19"/>
          <w:szCs w:val="19"/>
          <w:color w:val="auto"/>
        </w:rPr>
        <w:t>”), TG may terminate (or procure that any New Commercialization Provider may terminate) the employment of such Transfer Claimant and, provided that: (a) TG terminates the employment of a Transfer Claimant without undue delay following the later of the transfer date or the allegation of such transfer by a Transfer Claimant and (b) the transfer of employment of a Transfer Claimant is not caused by TG or the New Commercialization Provider making offers of employment to any Company Employees in the same jurisdiction, Company shall indemnify TG and the New Commercialization Partner in full for and against all reasonable Losses (including reasonable costs for severance pay, it being understood and agreed that any offering of severance to a Transfer Claimant requires the Company's consent which shall not be unreasonably withheld or delayed) incurred or suffered by TG or any New Commercialization Provider arising out of or in connection with the employment and/or termination of such Transfer Claimant (save that this indemnity shall not cover the costs of employing any Transferring Employee for any full days on which the Transferring Employee actively provides work or services to TG (as determined by TG acting reasonably)). For the avoidance of doubt: If TG does not terminate the employment of a Transfer Claimant without undue delay following the later of the transfer date or the allegation of such transfer by a Transfer Claimant, TG shall be solely liable for any Loss with regard the employment of the Transfer Claimant or its termination. This clause shall not apply to a termination of this Agreement pursuant to the Buy-Back Option.</w:t>
      </w:r>
    </w:p>
    <w:p>
      <w:pPr>
        <w:spacing w:after="0" w:line="200" w:lineRule="exact"/>
        <w:rPr>
          <w:sz w:val="20"/>
          <w:szCs w:val="20"/>
          <w:color w:val="auto"/>
        </w:rPr>
      </w:pPr>
    </w:p>
    <w:p>
      <w:pPr>
        <w:spacing w:after="0" w:line="20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Additionally, promptly following the termination of this Agreement, Company shall enter into good faith negotiations with TG and agree upon and implement a plan for the orderly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9" w:name="page140"/>
    <w:bookmarkEnd w:id="139"/>
    <w:p>
      <w:pPr>
        <w:jc w:val="both"/>
        <w:spacing w:after="0" w:line="246" w:lineRule="auto"/>
        <w:rPr>
          <w:sz w:val="20"/>
          <w:szCs w:val="20"/>
          <w:color w:val="auto"/>
        </w:rPr>
      </w:pPr>
      <w:r>
        <w:rPr>
          <w:rFonts w:ascii="Arial" w:cs="Arial" w:eastAsia="Arial" w:hAnsi="Arial"/>
          <w:sz w:val="21"/>
          <w:szCs w:val="21"/>
          <w:color w:val="auto"/>
        </w:rPr>
        <w:t>of Company Development Activities and Commercialization from Company to TG in a manner consistent with Applicable Laws and standards of ethical conduct of human Clinical Trials and will seek to replace all Company personnel engaged in any such Development or Commercialization activities, in each case, as promptly as practicable. In connection therewith, Company hereby assigns, transfers, and conveys, and shall assign, transfer, and convey, to TG all right, title, and interest in and to any intellectual property (including, without limitation, Company Data) Controlled by Company and/or its Affiliates that is necessary or useful for the Development and/or Commercialization of the Product in the Field in the Territory.</w:t>
      </w:r>
    </w:p>
    <w:p>
      <w:pPr>
        <w:spacing w:after="0" w:line="1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Notwithstanding any provision to the contrary of this Agreement, upon termination of this Agreement, any information, Technology, and/or Proprietary Materials that arose following the Effective Date and under the performance of this Agreement that would otherwise be the Confidential Information of Company, is and shall be the Confidential Information of TG as of the effective date of termination.</w:t>
      </w:r>
    </w:p>
    <w:p>
      <w:pPr>
        <w:spacing w:after="0" w:line="6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11.4.5 Each Party shall promptly return all Confidential Information and Proprietary Materials of the other Party that are not subject to a continuing license hereunder; provided, that, each Party may retain one copy of the Confidential Information of the other Party in its archives solely for the purpose of establishing the contents thereof and ensuring compliance with its obligations hereunder.</w:t>
      </w:r>
    </w:p>
    <w:p>
      <w:pPr>
        <w:spacing w:after="0" w:line="174"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11.4.6 Company shall promptly return to TG all raw data and results generated in each Clinical Trial conducted in connection with the Product in the Territory (whether provided by TG to Company as Licensed Technology or Company Data).</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u w:val="single" w:color="auto"/>
          <w:color w:val="auto"/>
        </w:rPr>
        <w:t>Surviving Provisions</w:t>
      </w:r>
      <w:r>
        <w:rPr>
          <w:rFonts w:ascii="Arial" w:cs="Arial" w:eastAsia="Arial" w:hAnsi="Arial"/>
          <w:sz w:val="19"/>
          <w:szCs w:val="19"/>
          <w:color w:val="auto"/>
        </w:rPr>
        <w:t>. Termination of this Agreement for any reason shall be without prejudice to:</w:t>
      </w:r>
    </w:p>
    <w:p>
      <w:pPr>
        <w:spacing w:after="0" w:line="206" w:lineRule="exact"/>
        <w:rPr>
          <w:sz w:val="20"/>
          <w:szCs w:val="20"/>
          <w:color w:val="auto"/>
        </w:rPr>
      </w:pPr>
    </w:p>
    <w:p>
      <w:pPr>
        <w:ind w:firstLine="1304"/>
        <w:spacing w:after="0" w:line="250" w:lineRule="auto"/>
        <w:tabs>
          <w:tab w:leader="none" w:pos="19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Survival of rights specifically stated in this Agreement to survive, including without limitation as set forth in </w:t>
      </w:r>
      <w:r>
        <w:rPr>
          <w:rFonts w:ascii="Arial" w:cs="Arial" w:eastAsia="Arial" w:hAnsi="Arial"/>
          <w:sz w:val="22"/>
          <w:szCs w:val="22"/>
          <w:u w:val="single" w:color="auto"/>
          <w:color w:val="auto"/>
        </w:rPr>
        <w:t>Section 11.4</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304"/>
        <w:spacing w:after="0" w:line="238" w:lineRule="auto"/>
        <w:tabs>
          <w:tab w:leader="none" w:pos="19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the rights and obligations of the Parties provided in </w:t>
      </w:r>
      <w:r>
        <w:rPr>
          <w:rFonts w:ascii="Arial" w:cs="Arial" w:eastAsia="Arial" w:hAnsi="Arial"/>
          <w:sz w:val="22"/>
          <w:szCs w:val="22"/>
          <w:u w:val="single" w:color="auto"/>
          <w:color w:val="auto"/>
        </w:rPr>
        <w:t>Sections 2.1.2</w:t>
      </w:r>
      <w:r>
        <w:rPr>
          <w:rFonts w:ascii="Arial" w:cs="Arial" w:eastAsia="Arial" w:hAnsi="Arial"/>
          <w:sz w:val="22"/>
          <w:szCs w:val="22"/>
          <w:color w:val="auto"/>
        </w:rPr>
        <w:t xml:space="preserve"> (with respect to the license grant referred to therein, if applicable), </w:t>
      </w:r>
      <w:r>
        <w:rPr>
          <w:rFonts w:ascii="Arial" w:cs="Arial" w:eastAsia="Arial" w:hAnsi="Arial"/>
          <w:sz w:val="22"/>
          <w:szCs w:val="22"/>
          <w:u w:val="single" w:color="auto"/>
          <w:color w:val="auto"/>
        </w:rPr>
        <w:t>3.7</w:t>
      </w:r>
      <w:r>
        <w:rPr>
          <w:rFonts w:ascii="Arial" w:cs="Arial" w:eastAsia="Arial" w:hAnsi="Arial"/>
          <w:sz w:val="22"/>
          <w:szCs w:val="22"/>
          <w:color w:val="auto"/>
        </w:rPr>
        <w:t xml:space="preserve">, </w:t>
      </w:r>
      <w:r>
        <w:rPr>
          <w:rFonts w:ascii="Arial" w:cs="Arial" w:eastAsia="Arial" w:hAnsi="Arial"/>
          <w:sz w:val="22"/>
          <w:szCs w:val="22"/>
          <w:u w:val="single" w:color="auto"/>
          <w:color w:val="auto"/>
        </w:rPr>
        <w:t>8.3.3</w:t>
      </w:r>
      <w:r>
        <w:rPr>
          <w:rFonts w:ascii="Arial" w:cs="Arial" w:eastAsia="Arial" w:hAnsi="Arial"/>
          <w:sz w:val="22"/>
          <w:szCs w:val="22"/>
          <w:color w:val="auto"/>
        </w:rPr>
        <w:t xml:space="preserve">, </w:t>
      </w:r>
      <w:r>
        <w:rPr>
          <w:rFonts w:ascii="Arial" w:cs="Arial" w:eastAsia="Arial" w:hAnsi="Arial"/>
          <w:sz w:val="22"/>
          <w:szCs w:val="22"/>
          <w:u w:val="single" w:color="auto"/>
          <w:color w:val="auto"/>
        </w:rPr>
        <w:t>8.3.6</w:t>
      </w:r>
      <w:r>
        <w:rPr>
          <w:rFonts w:ascii="Arial" w:cs="Arial" w:eastAsia="Arial" w:hAnsi="Arial"/>
          <w:sz w:val="22"/>
          <w:szCs w:val="22"/>
          <w:color w:val="auto"/>
        </w:rPr>
        <w:t xml:space="preserve">, </w:t>
      </w:r>
      <w:r>
        <w:rPr>
          <w:rFonts w:ascii="Arial" w:cs="Arial" w:eastAsia="Arial" w:hAnsi="Arial"/>
          <w:sz w:val="22"/>
          <w:szCs w:val="22"/>
          <w:u w:val="single" w:color="auto"/>
          <w:color w:val="auto"/>
        </w:rPr>
        <w:t>9</w:t>
      </w:r>
      <w:r>
        <w:rPr>
          <w:rFonts w:ascii="Arial" w:cs="Arial" w:eastAsia="Arial" w:hAnsi="Arial"/>
          <w:sz w:val="22"/>
          <w:szCs w:val="22"/>
          <w:color w:val="auto"/>
        </w:rPr>
        <w:t xml:space="preserve">, </w:t>
      </w:r>
      <w:r>
        <w:rPr>
          <w:rFonts w:ascii="Arial" w:cs="Arial" w:eastAsia="Arial" w:hAnsi="Arial"/>
          <w:sz w:val="22"/>
          <w:szCs w:val="22"/>
          <w:u w:val="single" w:color="auto"/>
          <w:color w:val="auto"/>
        </w:rPr>
        <w:t>10.1</w:t>
      </w:r>
      <w:r>
        <w:rPr>
          <w:rFonts w:ascii="Arial" w:cs="Arial" w:eastAsia="Arial" w:hAnsi="Arial"/>
          <w:sz w:val="22"/>
          <w:szCs w:val="22"/>
          <w:color w:val="auto"/>
        </w:rPr>
        <w:t xml:space="preserve">, </w:t>
      </w:r>
      <w:r>
        <w:rPr>
          <w:rFonts w:ascii="Arial" w:cs="Arial" w:eastAsia="Arial" w:hAnsi="Arial"/>
          <w:sz w:val="22"/>
          <w:szCs w:val="22"/>
          <w:u w:val="single" w:color="auto"/>
          <w:color w:val="auto"/>
        </w:rPr>
        <w:t>10.5</w:t>
      </w:r>
      <w:r>
        <w:rPr>
          <w:rFonts w:ascii="Arial" w:cs="Arial" w:eastAsia="Arial" w:hAnsi="Arial"/>
          <w:sz w:val="22"/>
          <w:szCs w:val="22"/>
          <w:color w:val="auto"/>
        </w:rPr>
        <w:t xml:space="preserve">, </w:t>
      </w:r>
      <w:r>
        <w:rPr>
          <w:rFonts w:ascii="Arial" w:cs="Arial" w:eastAsia="Arial" w:hAnsi="Arial"/>
          <w:sz w:val="22"/>
          <w:szCs w:val="22"/>
          <w:u w:val="single" w:color="auto"/>
          <w:color w:val="auto"/>
        </w:rPr>
        <w:t>11.2.5</w:t>
      </w:r>
      <w:r>
        <w:rPr>
          <w:rFonts w:ascii="Arial" w:cs="Arial" w:eastAsia="Arial" w:hAnsi="Arial"/>
          <w:sz w:val="22"/>
          <w:szCs w:val="22"/>
          <w:color w:val="auto"/>
        </w:rPr>
        <w:t xml:space="preserve">, </w:t>
      </w:r>
      <w:r>
        <w:rPr>
          <w:rFonts w:ascii="Arial" w:cs="Arial" w:eastAsia="Arial" w:hAnsi="Arial"/>
          <w:sz w:val="22"/>
          <w:szCs w:val="22"/>
          <w:u w:val="single" w:color="auto"/>
          <w:color w:val="auto"/>
        </w:rPr>
        <w:t>11.3.2</w:t>
      </w:r>
      <w:r>
        <w:rPr>
          <w:rFonts w:ascii="Arial" w:cs="Arial" w:eastAsia="Arial" w:hAnsi="Arial"/>
          <w:sz w:val="22"/>
          <w:szCs w:val="22"/>
          <w:color w:val="auto"/>
        </w:rPr>
        <w:t xml:space="preserve">, </w:t>
      </w:r>
      <w:r>
        <w:rPr>
          <w:rFonts w:ascii="Arial" w:cs="Arial" w:eastAsia="Arial" w:hAnsi="Arial"/>
          <w:sz w:val="22"/>
          <w:szCs w:val="22"/>
          <w:u w:val="single" w:color="auto"/>
          <w:color w:val="auto"/>
        </w:rPr>
        <w:t>11.4</w:t>
      </w:r>
      <w:r>
        <w:rPr>
          <w:rFonts w:ascii="Arial" w:cs="Arial" w:eastAsia="Arial" w:hAnsi="Arial"/>
          <w:sz w:val="22"/>
          <w:szCs w:val="22"/>
          <w:color w:val="auto"/>
        </w:rPr>
        <w:t xml:space="preserve">, </w:t>
      </w:r>
      <w:r>
        <w:rPr>
          <w:rFonts w:ascii="Arial" w:cs="Arial" w:eastAsia="Arial" w:hAnsi="Arial"/>
          <w:sz w:val="22"/>
          <w:szCs w:val="22"/>
          <w:u w:val="single" w:color="auto"/>
          <w:color w:val="auto"/>
        </w:rPr>
        <w:t>11.5</w:t>
      </w:r>
      <w:r>
        <w:rPr>
          <w:rFonts w:ascii="Arial" w:cs="Arial" w:eastAsia="Arial" w:hAnsi="Arial"/>
          <w:sz w:val="22"/>
          <w:szCs w:val="22"/>
          <w:color w:val="auto"/>
        </w:rPr>
        <w:t xml:space="preserve">, </w:t>
      </w:r>
      <w:r>
        <w:rPr>
          <w:rFonts w:ascii="Arial" w:cs="Arial" w:eastAsia="Arial" w:hAnsi="Arial"/>
          <w:sz w:val="22"/>
          <w:szCs w:val="22"/>
          <w:u w:val="single" w:color="auto"/>
          <w:color w:val="auto"/>
        </w:rPr>
        <w:t>13</w:t>
      </w:r>
      <w:r>
        <w:rPr>
          <w:rFonts w:ascii="Arial" w:cs="Arial" w:eastAsia="Arial" w:hAnsi="Arial"/>
          <w:sz w:val="22"/>
          <w:szCs w:val="22"/>
          <w:color w:val="auto"/>
        </w:rPr>
        <w:t xml:space="preserve">, </w:t>
      </w:r>
      <w:r>
        <w:rPr>
          <w:rFonts w:ascii="Arial" w:cs="Arial" w:eastAsia="Arial" w:hAnsi="Arial"/>
          <w:sz w:val="22"/>
          <w:szCs w:val="22"/>
          <w:u w:val="single" w:color="auto"/>
          <w:color w:val="auto"/>
        </w:rPr>
        <w:t>14.1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14.3</w:t>
      </w:r>
      <w:r>
        <w:rPr>
          <w:rFonts w:ascii="Arial" w:cs="Arial" w:eastAsia="Arial" w:hAnsi="Arial"/>
          <w:sz w:val="22"/>
          <w:szCs w:val="22"/>
          <w:color w:val="auto"/>
        </w:rPr>
        <w:t xml:space="preserve"> (including all other Sections or Articles referenced in any such Section or Article), all of which shall survive such termination except as provided in this </w:t>
      </w:r>
      <w:r>
        <w:rPr>
          <w:rFonts w:ascii="Arial" w:cs="Arial" w:eastAsia="Arial" w:hAnsi="Arial"/>
          <w:sz w:val="22"/>
          <w:szCs w:val="22"/>
          <w:u w:val="single" w:color="auto"/>
          <w:color w:val="auto"/>
        </w:rPr>
        <w:t>Article 11</w:t>
      </w:r>
      <w:r>
        <w:rPr>
          <w:rFonts w:ascii="Arial" w:cs="Arial" w:eastAsia="Arial" w:hAnsi="Arial"/>
          <w:sz w:val="22"/>
          <w:szCs w:val="22"/>
          <w:color w:val="auto"/>
        </w:rPr>
        <w:t>; and</w:t>
      </w:r>
    </w:p>
    <w:p>
      <w:pPr>
        <w:spacing w:after="0" w:line="184" w:lineRule="exact"/>
        <w:rPr>
          <w:rFonts w:ascii="Arial" w:cs="Arial" w:eastAsia="Arial" w:hAnsi="Arial"/>
          <w:sz w:val="22"/>
          <w:szCs w:val="22"/>
          <w:color w:val="auto"/>
        </w:rPr>
      </w:pPr>
    </w:p>
    <w:p>
      <w:pPr>
        <w:ind w:firstLine="1304"/>
        <w:spacing w:after="0" w:line="274" w:lineRule="auto"/>
        <w:tabs>
          <w:tab w:leader="none" w:pos="1944" w:val="left"/>
        </w:tabs>
        <w:numPr>
          <w:ilvl w:val="0"/>
          <w:numId w:val="108"/>
        </w:numPr>
        <w:rPr>
          <w:rFonts w:ascii="Arial" w:cs="Arial" w:eastAsia="Arial" w:hAnsi="Arial"/>
          <w:sz w:val="21"/>
          <w:szCs w:val="21"/>
          <w:color w:val="auto"/>
        </w:rPr>
      </w:pPr>
      <w:r>
        <w:rPr>
          <w:rFonts w:ascii="Arial" w:cs="Arial" w:eastAsia="Arial" w:hAnsi="Arial"/>
          <w:sz w:val="21"/>
          <w:szCs w:val="21"/>
          <w:color w:val="auto"/>
        </w:rPr>
        <w:t>any other rights or remedies provided at law or equity which either Party may otherwise have, including all payment obligations that have accrued as of the effective date of termination.</w:t>
      </w:r>
    </w:p>
    <w:p>
      <w:pPr>
        <w:spacing w:after="0" w:line="144" w:lineRule="exact"/>
        <w:rPr>
          <w:rFonts w:ascii="Arial" w:cs="Arial" w:eastAsia="Arial" w:hAnsi="Arial"/>
          <w:sz w:val="21"/>
          <w:szCs w:val="21"/>
          <w:color w:val="auto"/>
        </w:rPr>
      </w:pPr>
    </w:p>
    <w:p>
      <w:pPr>
        <w:ind w:left="3220" w:hanging="639"/>
        <w:spacing w:after="0"/>
        <w:tabs>
          <w:tab w:leader="none" w:pos="3220" w:val="left"/>
        </w:tabs>
        <w:numPr>
          <w:ilvl w:val="1"/>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w:t>
      </w:r>
    </w:p>
    <w:p>
      <w:pPr>
        <w:spacing w:after="0" w:line="21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Mutual Representations, Warranties, and Covenants</w:t>
      </w:r>
      <w:r>
        <w:rPr>
          <w:rFonts w:ascii="Arial" w:cs="Arial" w:eastAsia="Arial" w:hAnsi="Arial"/>
          <w:sz w:val="22"/>
          <w:szCs w:val="22"/>
          <w:color w:val="auto"/>
        </w:rPr>
        <w:t>. TG and Company each hereby represents, warrants, and covenants to the other, as of the Effective Date,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0" w:name="page141"/>
    <w:bookmarkEnd w:id="140"/>
    <w:p>
      <w:pPr>
        <w:jc w:val="both"/>
        <w:ind w:firstLine="1296"/>
        <w:spacing w:after="0"/>
        <w:rPr>
          <w:sz w:val="20"/>
          <w:szCs w:val="20"/>
          <w:color w:val="auto"/>
        </w:rPr>
      </w:pPr>
      <w:r>
        <w:rPr>
          <w:rFonts w:ascii="Arial" w:cs="Arial" w:eastAsia="Arial" w:hAnsi="Arial"/>
          <w:sz w:val="22"/>
          <w:szCs w:val="22"/>
          <w:color w:val="auto"/>
        </w:rPr>
        <w:t xml:space="preserve">12.1.1 </w:t>
      </w:r>
      <w:r>
        <w:rPr>
          <w:rFonts w:ascii="Arial" w:cs="Arial" w:eastAsia="Arial" w:hAnsi="Arial"/>
          <w:sz w:val="22"/>
          <w:szCs w:val="22"/>
          <w:u w:val="single" w:color="auto"/>
          <w:color w:val="auto"/>
        </w:rPr>
        <w:t>Organization</w:t>
      </w:r>
      <w:r>
        <w:rPr>
          <w:rFonts w:ascii="Arial" w:cs="Arial" w:eastAsia="Arial" w:hAnsi="Arial"/>
          <w:sz w:val="22"/>
          <w:szCs w:val="22"/>
          <w:color w:val="auto"/>
        </w:rPr>
        <w:t>. It is a corporation duly organized, validly existing, and in good standing under the laws of the jurisdiction of its organization, and has all requisite power and authority, corporate or otherwise, to execute, deliver, and perform this Agreement.</w:t>
      </w:r>
    </w:p>
    <w:p>
      <w:pPr>
        <w:spacing w:after="0" w:line="18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12.1.2 </w:t>
      </w:r>
      <w:r>
        <w:rPr>
          <w:rFonts w:ascii="Arial" w:cs="Arial" w:eastAsia="Arial" w:hAnsi="Arial"/>
          <w:sz w:val="19"/>
          <w:szCs w:val="19"/>
          <w:u w:val="single" w:color="auto"/>
          <w:color w:val="auto"/>
        </w:rPr>
        <w:t>Authorization</w:t>
      </w:r>
      <w:r>
        <w:rPr>
          <w:rFonts w:ascii="Arial" w:cs="Arial" w:eastAsia="Arial" w:hAnsi="Arial"/>
          <w:sz w:val="19"/>
          <w:szCs w:val="19"/>
          <w:color w:val="auto"/>
        </w:rPr>
        <w:t>. The execution and delivery of this Agreement and the performance by it of the transactions contemplated hereby have been duly authorized by all necessary corporate action and will not violate (a) such Party’s certificate of incorporation or bylaws (or equivalent charter or organizational documents),</w:t>
      </w:r>
    </w:p>
    <w:p>
      <w:pPr>
        <w:spacing w:after="0" w:line="1" w:lineRule="exact"/>
        <w:rPr>
          <w:sz w:val="20"/>
          <w:szCs w:val="20"/>
          <w:color w:val="auto"/>
        </w:rPr>
      </w:pPr>
    </w:p>
    <w:p>
      <w:pPr>
        <w:jc w:val="both"/>
        <w:ind w:firstLine="8"/>
        <w:spacing w:after="0" w:line="248" w:lineRule="auto"/>
        <w:tabs>
          <w:tab w:leader="none" w:pos="315" w:val="left"/>
        </w:tabs>
        <w:numPr>
          <w:ilvl w:val="0"/>
          <w:numId w:val="109"/>
        </w:numPr>
        <w:rPr>
          <w:rFonts w:ascii="Arial" w:cs="Arial" w:eastAsia="Arial" w:hAnsi="Arial"/>
          <w:sz w:val="21"/>
          <w:szCs w:val="21"/>
          <w:color w:val="auto"/>
        </w:rPr>
      </w:pPr>
      <w:r>
        <w:rPr>
          <w:rFonts w:ascii="Arial" w:cs="Arial" w:eastAsia="Arial" w:hAnsi="Arial"/>
          <w:sz w:val="21"/>
          <w:szCs w:val="21"/>
          <w:color w:val="auto"/>
        </w:rPr>
        <w:t>any agreement, instrument, or contractual obligation to which such Party is bound in any material respect, (c) any requirement of any Applicable Laws, or (d) any order, writ, judgment, injunction, decree, determination, or award of any court or governmental agency presently in effect applicable to such Party.</w:t>
      </w:r>
    </w:p>
    <w:p>
      <w:pPr>
        <w:spacing w:after="0" w:line="17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12.1.3 </w:t>
      </w:r>
      <w:r>
        <w:rPr>
          <w:rFonts w:ascii="Arial" w:cs="Arial" w:eastAsia="Arial" w:hAnsi="Arial"/>
          <w:sz w:val="22"/>
          <w:szCs w:val="22"/>
          <w:u w:val="single" w:color="auto"/>
          <w:color w:val="auto"/>
        </w:rPr>
        <w:t>Binding Agreement</w:t>
      </w:r>
      <w:r>
        <w:rPr>
          <w:rFonts w:ascii="Arial" w:cs="Arial" w:eastAsia="Arial" w:hAnsi="Arial"/>
          <w:sz w:val="22"/>
          <w:szCs w:val="22"/>
          <w:color w:val="auto"/>
        </w:rPr>
        <w:t>. This Agreement is a legal, valid, and binding obligation of such Party enforceable against it in accordance with its terms and conditions.</w:t>
      </w:r>
    </w:p>
    <w:p>
      <w:pPr>
        <w:spacing w:after="0" w:line="17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12.1.4 </w:t>
      </w:r>
      <w:r>
        <w:rPr>
          <w:rFonts w:ascii="Arial" w:cs="Arial" w:eastAsia="Arial" w:hAnsi="Arial"/>
          <w:sz w:val="21"/>
          <w:szCs w:val="21"/>
          <w:u w:val="single" w:color="auto"/>
          <w:color w:val="auto"/>
        </w:rPr>
        <w:t>No Inconsistent Obligation</w:t>
      </w:r>
      <w:r>
        <w:rPr>
          <w:rFonts w:ascii="Arial" w:cs="Arial" w:eastAsia="Arial" w:hAnsi="Arial"/>
          <w:sz w:val="21"/>
          <w:szCs w:val="21"/>
          <w:color w:val="auto"/>
        </w:rPr>
        <w:t>. Neither it nor its assets is under any obligation, contractual or otherwise, to any Person that conflicts with or is inconsistent in any respect with the terms of this Agreement or that would impede the diligent and complete fulfillment of its obligations hereunder.</w:t>
      </w:r>
    </w:p>
    <w:p>
      <w:pPr>
        <w:spacing w:after="0" w:line="16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12.1.5 </w:t>
      </w:r>
      <w:r>
        <w:rPr>
          <w:rFonts w:ascii="Arial" w:cs="Arial" w:eastAsia="Arial" w:hAnsi="Arial"/>
          <w:sz w:val="22"/>
          <w:szCs w:val="22"/>
          <w:u w:val="single" w:color="auto"/>
          <w:color w:val="auto"/>
        </w:rPr>
        <w:t>No Government Authorization Required</w:t>
      </w:r>
      <w:r>
        <w:rPr>
          <w:rFonts w:ascii="Arial" w:cs="Arial" w:eastAsia="Arial" w:hAnsi="Arial"/>
          <w:sz w:val="22"/>
          <w:szCs w:val="22"/>
          <w:color w:val="auto"/>
        </w:rPr>
        <w:t>. No government authorization, consent, approval, license, exemption of, or filing or registration with any court or governmental department, commission, board, bureau, agency, or instrumentality, domestic or foreign, under any Applicable Laws currently in effect, is or will be necessary for, or in connection with, the transactions contemplated by this Agreement, or for the performance by it of its obligations under this Agreement.</w:t>
      </w:r>
    </w:p>
    <w:p>
      <w:pPr>
        <w:spacing w:after="0" w:line="18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12.1.6 </w:t>
      </w:r>
      <w:r>
        <w:rPr>
          <w:rFonts w:ascii="Arial" w:cs="Arial" w:eastAsia="Arial" w:hAnsi="Arial"/>
          <w:sz w:val="22"/>
          <w:szCs w:val="22"/>
          <w:u w:val="single" w:color="auto"/>
          <w:color w:val="auto"/>
        </w:rPr>
        <w:t>Compliance</w:t>
      </w:r>
      <w:r>
        <w:rPr>
          <w:rFonts w:ascii="Arial" w:cs="Arial" w:eastAsia="Arial" w:hAnsi="Arial"/>
          <w:sz w:val="22"/>
          <w:szCs w:val="22"/>
          <w:color w:val="auto"/>
        </w:rPr>
        <w:t>. Each Party shall comply with all Applicable Laws in connection with its performance of the activities contemplated by this Agreement.</w:t>
      </w:r>
    </w:p>
    <w:p>
      <w:pPr>
        <w:spacing w:after="0" w:line="175" w:lineRule="exact"/>
        <w:rPr>
          <w:sz w:val="20"/>
          <w:szCs w:val="20"/>
          <w:color w:val="auto"/>
        </w:rPr>
      </w:pPr>
    </w:p>
    <w:p>
      <w:pPr>
        <w:ind w:left="660"/>
        <w:spacing w:after="0"/>
        <w:tabs>
          <w:tab w:leader="none" w:pos="1280" w:val="left"/>
          <w:tab w:leader="none" w:pos="626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22"/>
          <w:szCs w:val="22"/>
          <w:u w:val="single" w:color="auto"/>
          <w:color w:val="auto"/>
        </w:rPr>
        <w:t>Additional Representations and Warranties of TG</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TG further represents and warrants to</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Company, as of the Effective Date, as follows:</w:t>
      </w:r>
    </w:p>
    <w:p>
      <w:pPr>
        <w:spacing w:after="0" w:line="188"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12.2.1 </w:t>
      </w:r>
      <w:r>
        <w:rPr>
          <w:rFonts w:ascii="Arial" w:cs="Arial" w:eastAsia="Arial" w:hAnsi="Arial"/>
          <w:sz w:val="22"/>
          <w:szCs w:val="22"/>
          <w:u w:val="single" w:color="auto"/>
          <w:color w:val="auto"/>
        </w:rPr>
        <w:t>Right to Grant License</w:t>
      </w:r>
      <w:r>
        <w:rPr>
          <w:rFonts w:ascii="Arial" w:cs="Arial" w:eastAsia="Arial" w:hAnsi="Arial"/>
          <w:sz w:val="22"/>
          <w:szCs w:val="22"/>
          <w:color w:val="auto"/>
        </w:rPr>
        <w:t xml:space="preserve">. TG has the right to grant the license and rights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w:t>
      </w:r>
      <w:r>
        <w:rPr>
          <w:rFonts w:ascii="Arial" w:cs="Arial" w:eastAsia="Arial" w:hAnsi="Arial"/>
          <w:sz w:val="22"/>
          <w:szCs w:val="22"/>
          <w:color w:val="auto"/>
        </w:rPr>
        <w:t xml:space="preserve">; provided, however, and notwithstanding </w:t>
      </w:r>
      <w:r>
        <w:rPr>
          <w:rFonts w:ascii="Arial" w:cs="Arial" w:eastAsia="Arial" w:hAnsi="Arial"/>
          <w:sz w:val="22"/>
          <w:szCs w:val="22"/>
          <w:u w:val="single" w:color="auto"/>
          <w:color w:val="auto"/>
        </w:rPr>
        <w:t>Section 12.2.5</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12.2.1</w:t>
      </w:r>
      <w:r>
        <w:rPr>
          <w:rFonts w:ascii="Arial" w:cs="Arial" w:eastAsia="Arial" w:hAnsi="Arial"/>
          <w:sz w:val="22"/>
          <w:szCs w:val="22"/>
          <w:color w:val="auto"/>
        </w:rPr>
        <w:t xml:space="preserve"> shall not be construed or deemed to be a representation or warranty regarding the infringement or other violation of the intellectual property rights of any Third Party.</w:t>
      </w:r>
    </w:p>
    <w:p>
      <w:pPr>
        <w:spacing w:after="0" w:line="18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 xml:space="preserve">12.2.2 </w:t>
      </w:r>
      <w:r>
        <w:rPr>
          <w:rFonts w:ascii="Arial" w:cs="Arial" w:eastAsia="Arial" w:hAnsi="Arial"/>
          <w:sz w:val="19"/>
          <w:szCs w:val="19"/>
          <w:u w:val="single" w:color="auto"/>
          <w:color w:val="auto"/>
        </w:rPr>
        <w:t>Validity of IP Rights</w:t>
      </w:r>
      <w:r>
        <w:rPr>
          <w:rFonts w:ascii="Arial" w:cs="Arial" w:eastAsia="Arial" w:hAnsi="Arial"/>
          <w:sz w:val="19"/>
          <w:szCs w:val="19"/>
          <w:color w:val="auto"/>
        </w:rPr>
        <w:t xml:space="preserve">. All Licensed Patent Rights listed on </w:t>
      </w:r>
      <w:r>
        <w:rPr>
          <w:rFonts w:ascii="Arial" w:cs="Arial" w:eastAsia="Arial" w:hAnsi="Arial"/>
          <w:sz w:val="19"/>
          <w:szCs w:val="19"/>
          <w:u w:val="single" w:color="auto"/>
          <w:color w:val="auto"/>
        </w:rPr>
        <w:t>Schedule 12.2.2(b)</w:t>
      </w:r>
      <w:r>
        <w:rPr>
          <w:rFonts w:ascii="Arial" w:cs="Arial" w:eastAsia="Arial" w:hAnsi="Arial"/>
          <w:sz w:val="19"/>
          <w:szCs w:val="19"/>
          <w:color w:val="auto"/>
        </w:rPr>
        <w:t xml:space="preserve">, the Licensed Trademark listed on </w:t>
      </w:r>
      <w:r>
        <w:rPr>
          <w:rFonts w:ascii="Arial" w:cs="Arial" w:eastAsia="Arial" w:hAnsi="Arial"/>
          <w:sz w:val="19"/>
          <w:szCs w:val="19"/>
          <w:u w:val="single" w:color="auto"/>
          <w:color w:val="auto"/>
        </w:rPr>
        <w:t>Schedule 12.2.2(c)</w:t>
      </w:r>
      <w:r>
        <w:rPr>
          <w:rFonts w:ascii="Arial" w:cs="Arial" w:eastAsia="Arial" w:hAnsi="Arial"/>
          <w:sz w:val="19"/>
          <w:szCs w:val="19"/>
          <w:color w:val="auto"/>
        </w:rPr>
        <w:t xml:space="preserve">, and the LFB Background Patent Rights listed on </w:t>
      </w:r>
      <w:r>
        <w:rPr>
          <w:rFonts w:ascii="Arial" w:cs="Arial" w:eastAsia="Arial" w:hAnsi="Arial"/>
          <w:sz w:val="19"/>
          <w:szCs w:val="19"/>
          <w:u w:val="single" w:color="auto"/>
          <w:color w:val="auto"/>
        </w:rPr>
        <w:t>Schedule 12.2.2(a)</w:t>
      </w:r>
      <w:r>
        <w:rPr>
          <w:rFonts w:ascii="Arial" w:cs="Arial" w:eastAsia="Arial" w:hAnsi="Arial"/>
          <w:sz w:val="19"/>
          <w:szCs w:val="19"/>
          <w:color w:val="auto"/>
        </w:rPr>
        <w:t xml:space="preserve"> are existing and, to TG's Knowledge, no issued intellectual property rights which are part of the Licensed Patent Rights listed on </w:t>
      </w:r>
      <w:r>
        <w:rPr>
          <w:rFonts w:ascii="Arial" w:cs="Arial" w:eastAsia="Arial" w:hAnsi="Arial"/>
          <w:sz w:val="19"/>
          <w:szCs w:val="19"/>
          <w:u w:val="single" w:color="auto"/>
          <w:color w:val="auto"/>
        </w:rPr>
        <w:t>Schedule 12.2.2(b)</w:t>
      </w:r>
      <w:r>
        <w:rPr>
          <w:rFonts w:ascii="Arial" w:cs="Arial" w:eastAsia="Arial" w:hAnsi="Arial"/>
          <w:sz w:val="19"/>
          <w:szCs w:val="19"/>
          <w:color w:val="auto"/>
        </w:rPr>
        <w:t xml:space="preserve">, the Licensed Trademark listed on </w:t>
      </w:r>
      <w:r>
        <w:rPr>
          <w:rFonts w:ascii="Arial" w:cs="Arial" w:eastAsia="Arial" w:hAnsi="Arial"/>
          <w:sz w:val="19"/>
          <w:szCs w:val="19"/>
          <w:u w:val="single" w:color="auto"/>
          <w:color w:val="auto"/>
        </w:rPr>
        <w:t>Schedule 12.2.2(c)</w:t>
      </w:r>
      <w:r>
        <w:rPr>
          <w:rFonts w:ascii="Arial" w:cs="Arial" w:eastAsia="Arial" w:hAnsi="Arial"/>
          <w:sz w:val="19"/>
          <w:szCs w:val="19"/>
          <w:color w:val="auto"/>
        </w:rPr>
        <w:t xml:space="preserve">, and/or the LFB Background Patent Rights listed on </w:t>
      </w:r>
      <w:r>
        <w:rPr>
          <w:rFonts w:ascii="Arial" w:cs="Arial" w:eastAsia="Arial" w:hAnsi="Arial"/>
          <w:sz w:val="19"/>
          <w:szCs w:val="19"/>
          <w:u w:val="single" w:color="auto"/>
          <w:color w:val="auto"/>
        </w:rPr>
        <w:t>Schedule 12.2.2(a)</w:t>
      </w:r>
      <w:r>
        <w:rPr>
          <w:rFonts w:ascii="Arial" w:cs="Arial" w:eastAsia="Arial" w:hAnsi="Arial"/>
          <w:sz w:val="19"/>
          <w:szCs w:val="19"/>
          <w:color w:val="auto"/>
        </w:rPr>
        <w:t xml:space="preserve"> are invalid or unenforceable. To TG’s Knowledge, the Licensed Technology is in existence, and available to be validly and enforceably used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1" w:name="page142"/>
    <w:bookmarkEnd w:id="141"/>
    <w:p>
      <w:pPr>
        <w:jc w:val="both"/>
        <w:ind w:firstLine="1296"/>
        <w:spacing w:after="0" w:line="279" w:lineRule="auto"/>
        <w:rPr>
          <w:sz w:val="20"/>
          <w:szCs w:val="20"/>
          <w:color w:val="auto"/>
        </w:rPr>
      </w:pPr>
      <w:r>
        <w:rPr>
          <w:rFonts w:ascii="Arial" w:cs="Arial" w:eastAsia="Arial" w:hAnsi="Arial"/>
          <w:sz w:val="19"/>
          <w:szCs w:val="19"/>
          <w:color w:val="auto"/>
        </w:rPr>
        <w:t xml:space="preserve">12.2.3 </w:t>
      </w:r>
      <w:r>
        <w:rPr>
          <w:rFonts w:ascii="Arial" w:cs="Arial" w:eastAsia="Arial" w:hAnsi="Arial"/>
          <w:sz w:val="19"/>
          <w:szCs w:val="19"/>
          <w:u w:val="single" w:color="auto"/>
          <w:color w:val="auto"/>
        </w:rPr>
        <w:t>No Claims</w:t>
      </w:r>
      <w:r>
        <w:rPr>
          <w:rFonts w:ascii="Arial" w:cs="Arial" w:eastAsia="Arial" w:hAnsi="Arial"/>
          <w:sz w:val="19"/>
          <w:szCs w:val="19"/>
          <w:color w:val="auto"/>
        </w:rPr>
        <w:t xml:space="preserve">. There are no claims, judgments, or settlements against TG pending, or to TG’s Knowledge, threatened, that invalidate or seek to invalidate the Licensed Patent Rights listed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12.2.2(b)</w:t>
      </w:r>
      <w:r>
        <w:rPr>
          <w:rFonts w:ascii="Arial" w:cs="Arial" w:eastAsia="Arial" w:hAnsi="Arial"/>
          <w:sz w:val="19"/>
          <w:szCs w:val="19"/>
          <w:color w:val="auto"/>
        </w:rPr>
        <w:t xml:space="preserve">, the Licensed Trademark listed on </w:t>
      </w:r>
      <w:r>
        <w:rPr>
          <w:rFonts w:ascii="Arial" w:cs="Arial" w:eastAsia="Arial" w:hAnsi="Arial"/>
          <w:sz w:val="19"/>
          <w:szCs w:val="19"/>
          <w:u w:val="single" w:color="auto"/>
          <w:color w:val="auto"/>
        </w:rPr>
        <w:t>Schedule 12.2.2(c)</w:t>
      </w:r>
      <w:r>
        <w:rPr>
          <w:rFonts w:ascii="Arial" w:cs="Arial" w:eastAsia="Arial" w:hAnsi="Arial"/>
          <w:sz w:val="19"/>
          <w:szCs w:val="19"/>
          <w:color w:val="auto"/>
        </w:rPr>
        <w:t xml:space="preserve">, and/or the LFB Background Patent Rights listed on </w:t>
      </w:r>
      <w:r>
        <w:rPr>
          <w:rFonts w:ascii="Arial" w:cs="Arial" w:eastAsia="Arial" w:hAnsi="Arial"/>
          <w:sz w:val="19"/>
          <w:szCs w:val="19"/>
          <w:u w:val="single" w:color="auto"/>
          <w:color w:val="auto"/>
        </w:rPr>
        <w:t>Schedule 12.2.2(a)</w:t>
      </w:r>
      <w:r>
        <w:rPr>
          <w:rFonts w:ascii="Arial" w:cs="Arial" w:eastAsia="Arial" w:hAnsi="Arial"/>
          <w:sz w:val="19"/>
          <w:szCs w:val="19"/>
          <w:color w:val="auto"/>
        </w:rPr>
        <w:t>. There is no litigation pending against TG or any Affiliate of TG that alleges that any of TG’s activities relating to the Compound or the Product have violated any of the intellectual property rights of any Third Party (nor has it received any written communication threatening such litigation).</w:t>
      </w:r>
    </w:p>
    <w:p>
      <w:pPr>
        <w:spacing w:after="0" w:line="15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 xml:space="preserve">12.2.4 </w:t>
      </w:r>
      <w:r>
        <w:rPr>
          <w:rFonts w:ascii="Arial" w:cs="Arial" w:eastAsia="Arial" w:hAnsi="Arial"/>
          <w:sz w:val="19"/>
          <w:szCs w:val="19"/>
          <w:u w:val="single" w:color="auto"/>
          <w:color w:val="auto"/>
        </w:rPr>
        <w:t>No License</w:t>
      </w:r>
      <w:r>
        <w:rPr>
          <w:rFonts w:ascii="Arial" w:cs="Arial" w:eastAsia="Arial" w:hAnsi="Arial"/>
          <w:sz w:val="19"/>
          <w:szCs w:val="19"/>
          <w:color w:val="auto"/>
        </w:rPr>
        <w:t>. TG has not previously entered into any agreement pursuant to which it granted a license with respect to the Product in the Field in the Territory, or under the Licensed Patent Rights, Licensed Technology or Licensed Trademark in the Field in the Territory, to any Affiliate or Third Party, which license grant remains in effect or which agreement has surviving license rights, or other surviving terms, that are inconsistent with the rights and licenses granted to Company under this Agreement.</w:t>
      </w:r>
    </w:p>
    <w:p>
      <w:pPr>
        <w:spacing w:after="0" w:line="147"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12.2.5 </w:t>
      </w:r>
      <w:r>
        <w:rPr>
          <w:rFonts w:ascii="Arial" w:cs="Arial" w:eastAsia="Arial" w:hAnsi="Arial"/>
          <w:sz w:val="22"/>
          <w:szCs w:val="22"/>
          <w:u w:val="single" w:color="auto"/>
          <w:color w:val="auto"/>
        </w:rPr>
        <w:t>Third Party Rights</w:t>
      </w:r>
      <w:r>
        <w:rPr>
          <w:rFonts w:ascii="Arial" w:cs="Arial" w:eastAsia="Arial" w:hAnsi="Arial"/>
          <w:sz w:val="22"/>
          <w:szCs w:val="22"/>
          <w:color w:val="auto"/>
        </w:rPr>
        <w:t>. To TG’s Knowledge, no intellectual property rights owned or controlled by any Third Party will be infringed by the Development or Commercialization, by or on behalf of Company, of the Product in the Field in the Territory pursuant to this Agreement.</w:t>
      </w:r>
    </w:p>
    <w:p>
      <w:pPr>
        <w:spacing w:after="0" w:line="18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 xml:space="preserve">12.2.6 </w:t>
      </w:r>
      <w:r>
        <w:rPr>
          <w:rFonts w:ascii="Arial" w:cs="Arial" w:eastAsia="Arial" w:hAnsi="Arial"/>
          <w:sz w:val="21"/>
          <w:szCs w:val="21"/>
          <w:u w:val="single" w:color="auto"/>
          <w:color w:val="auto"/>
        </w:rPr>
        <w:t>No Interference</w:t>
      </w:r>
      <w:r>
        <w:rPr>
          <w:rFonts w:ascii="Arial" w:cs="Arial" w:eastAsia="Arial" w:hAnsi="Arial"/>
          <w:sz w:val="21"/>
          <w:szCs w:val="21"/>
          <w:color w:val="auto"/>
        </w:rPr>
        <w:t>. To TG’s Knowledge: (a) the Licensed Patent Rights and the LFB Background Patent Rights in the Territory are not the subject of any interference proceeding, and (b) there is no pending or threatened action, suit, proceeding, or claim by any Third Party challenging TG’s and/or LFB’s (as the case may be) ownership rights in, or the validity or scope of, the Licensed Patent Rights, Licensed Technology, Licensed Trademark, and/or the LFB Background Patent Rights in the Territory.</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12.2.7 </w:t>
      </w:r>
      <w:r>
        <w:rPr>
          <w:rFonts w:ascii="Arial" w:cs="Arial" w:eastAsia="Arial" w:hAnsi="Arial"/>
          <w:sz w:val="21"/>
          <w:szCs w:val="21"/>
          <w:u w:val="single" w:color="auto"/>
          <w:color w:val="auto"/>
        </w:rPr>
        <w:t>LFB License</w:t>
      </w:r>
      <w:r>
        <w:rPr>
          <w:rFonts w:ascii="Arial" w:cs="Arial" w:eastAsia="Arial" w:hAnsi="Arial"/>
          <w:sz w:val="21"/>
          <w:szCs w:val="21"/>
          <w:color w:val="auto"/>
        </w:rPr>
        <w:t>. TG has provided to Company, prior to the Effective Date, a complete and accurate copy of the LFB License. The LFB License is in full force and effect, and, to TG’s Knowledge, neither party thereto is in material breach of the LFB License as of the Effective Date.</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Additional Representations, Warranties, and Covenants of Company</w:t>
      </w:r>
      <w:r>
        <w:rPr>
          <w:rFonts w:ascii="Arial" w:cs="Arial" w:eastAsia="Arial" w:hAnsi="Arial"/>
          <w:sz w:val="22"/>
          <w:szCs w:val="22"/>
          <w:color w:val="auto"/>
        </w:rPr>
        <w:t xml:space="preserve">. Company further represents, warrants, and covenants to TG, as of the Effective Date (and, with respect to </w:t>
      </w:r>
      <w:r>
        <w:rPr>
          <w:rFonts w:ascii="Arial" w:cs="Arial" w:eastAsia="Arial" w:hAnsi="Arial"/>
          <w:sz w:val="22"/>
          <w:szCs w:val="22"/>
          <w:u w:val="single" w:color="auto"/>
          <w:color w:val="auto"/>
        </w:rPr>
        <w:t>Section 12.3.6</w:t>
      </w:r>
      <w:r>
        <w:rPr>
          <w:rFonts w:ascii="Arial" w:cs="Arial" w:eastAsia="Arial" w:hAnsi="Arial"/>
          <w:sz w:val="22"/>
          <w:szCs w:val="22"/>
          <w:color w:val="auto"/>
        </w:rPr>
        <w:t>, during the Term), as follows:</w:t>
      </w:r>
    </w:p>
    <w:p>
      <w:pPr>
        <w:spacing w:after="0" w:line="18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12.3.1 </w:t>
      </w:r>
      <w:r>
        <w:rPr>
          <w:rFonts w:ascii="Arial" w:cs="Arial" w:eastAsia="Arial" w:hAnsi="Arial"/>
          <w:sz w:val="22"/>
          <w:szCs w:val="22"/>
          <w:u w:val="single" w:color="auto"/>
          <w:color w:val="auto"/>
        </w:rPr>
        <w:t>No Claims</w:t>
      </w:r>
      <w:r>
        <w:rPr>
          <w:rFonts w:ascii="Arial" w:cs="Arial" w:eastAsia="Arial" w:hAnsi="Arial"/>
          <w:sz w:val="22"/>
          <w:szCs w:val="22"/>
          <w:color w:val="auto"/>
        </w:rPr>
        <w:t>. There is no litigation pending against Company or any Affiliate of Company that relates, directly or indirectly, to the subject matter of this Agreement and that alleges that any of Company’s activities to be conducted relating to the Development and Commercialization of the Product in the Field in the Territory would violate any of the intellectual property rights of any Third Party (nor has it received any written communication threatening such litigation).</w:t>
      </w:r>
    </w:p>
    <w:p>
      <w:pPr>
        <w:spacing w:after="0" w:line="187"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12.3.2 </w:t>
      </w:r>
      <w:r>
        <w:rPr>
          <w:rFonts w:ascii="Arial" w:cs="Arial" w:eastAsia="Arial" w:hAnsi="Arial"/>
          <w:sz w:val="19"/>
          <w:szCs w:val="19"/>
          <w:u w:val="single" w:color="auto"/>
          <w:color w:val="auto"/>
        </w:rPr>
        <w:t>Compliance with Applicable Laws</w:t>
      </w:r>
      <w:r>
        <w:rPr>
          <w:rFonts w:ascii="Arial" w:cs="Arial" w:eastAsia="Arial" w:hAnsi="Arial"/>
          <w:sz w:val="19"/>
          <w:szCs w:val="19"/>
          <w:color w:val="auto"/>
        </w:rPr>
        <w:t>. Company is in compliance with all Applicable Laws, and is not in default under or in violation of any Applicable Laws, that, in any case, would reasonably be expected to adversely affect the ability of Company to comply with and perform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2" w:name="page143"/>
    <w:bookmarkEnd w:id="142"/>
    <w:p>
      <w:pPr>
        <w:jc w:val="both"/>
        <w:ind w:firstLine="1296"/>
        <w:spacing w:after="0" w:line="274" w:lineRule="auto"/>
        <w:rPr>
          <w:sz w:val="20"/>
          <w:szCs w:val="20"/>
          <w:color w:val="auto"/>
        </w:rPr>
      </w:pPr>
      <w:r>
        <w:rPr>
          <w:rFonts w:ascii="Arial" w:cs="Arial" w:eastAsia="Arial" w:hAnsi="Arial"/>
          <w:sz w:val="21"/>
          <w:szCs w:val="21"/>
          <w:color w:val="auto"/>
        </w:rPr>
        <w:t xml:space="preserve">12.3.3 </w:t>
      </w:r>
      <w:r>
        <w:rPr>
          <w:rFonts w:ascii="Arial" w:cs="Arial" w:eastAsia="Arial" w:hAnsi="Arial"/>
          <w:sz w:val="21"/>
          <w:szCs w:val="21"/>
          <w:u w:val="single" w:color="auto"/>
          <w:color w:val="auto"/>
        </w:rPr>
        <w:t>Financial and Human Resources</w:t>
      </w:r>
      <w:r>
        <w:rPr>
          <w:rFonts w:ascii="Arial" w:cs="Arial" w:eastAsia="Arial" w:hAnsi="Arial"/>
          <w:sz w:val="21"/>
          <w:szCs w:val="21"/>
          <w:color w:val="auto"/>
        </w:rPr>
        <w:t>. Company has all necessary financial and human resources to enter and perform all its commitments and obligations contained in the Agreement.</w:t>
      </w:r>
    </w:p>
    <w:p>
      <w:pPr>
        <w:spacing w:after="0" w:line="15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 xml:space="preserve">12.3.4 </w:t>
      </w:r>
      <w:r>
        <w:rPr>
          <w:rFonts w:ascii="Arial" w:cs="Arial" w:eastAsia="Arial" w:hAnsi="Arial"/>
          <w:sz w:val="19"/>
          <w:szCs w:val="19"/>
          <w:u w:val="single" w:color="auto"/>
          <w:color w:val="auto"/>
        </w:rPr>
        <w:t>Competing Products</w:t>
      </w:r>
      <w:r>
        <w:rPr>
          <w:rFonts w:ascii="Arial" w:cs="Arial" w:eastAsia="Arial" w:hAnsi="Arial"/>
          <w:sz w:val="19"/>
          <w:szCs w:val="19"/>
          <w:color w:val="auto"/>
        </w:rPr>
        <w:t>. Neither Company nor any of its Affiliates nor any of the Other Permira Companies (a) conducts any activity, either on its own or with, for the benefit of, or sponsored by, any Third Party, that, in any case, involves the research, development or commercialization of any other anti CD 20 monoclonal antibody, or any compound that embodies or is derived from any anti CD 20 monoclonal antibody, whether in or outside the Field, or (b) otherwise conducts or is engaged in the research, development, and/or commercialization of any transgenically-derived chimeric monoclonal antibody for use in or outside the Field.</w:t>
      </w:r>
    </w:p>
    <w:p>
      <w:pPr>
        <w:spacing w:after="0" w:line="150"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12.3.5 </w:t>
      </w:r>
      <w:r>
        <w:rPr>
          <w:rFonts w:ascii="Arial" w:cs="Arial" w:eastAsia="Arial" w:hAnsi="Arial"/>
          <w:sz w:val="22"/>
          <w:szCs w:val="22"/>
          <w:u w:val="single" w:color="auto"/>
          <w:color w:val="auto"/>
        </w:rPr>
        <w:t>Other Permira Companies</w:t>
      </w:r>
      <w:r>
        <w:rPr>
          <w:rFonts w:ascii="Arial" w:cs="Arial" w:eastAsia="Arial" w:hAnsi="Arial"/>
          <w:sz w:val="22"/>
          <w:szCs w:val="22"/>
          <w:color w:val="auto"/>
        </w:rPr>
        <w:t>. Company shall not use any Other Permira Company to perform any activities, or have any role, with respect to Company’s obligations under this Agreement or Company’s Commercialization of the Product.</w:t>
      </w:r>
    </w:p>
    <w:p>
      <w:pPr>
        <w:spacing w:after="0" w:line="18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12.3.6 </w:t>
      </w:r>
      <w:r>
        <w:rPr>
          <w:rFonts w:ascii="Arial" w:cs="Arial" w:eastAsia="Arial" w:hAnsi="Arial"/>
          <w:sz w:val="19"/>
          <w:szCs w:val="19"/>
          <w:u w:val="single" w:color="auto"/>
          <w:color w:val="auto"/>
        </w:rPr>
        <w:t>Debarment</w:t>
      </w:r>
      <w:r>
        <w:rPr>
          <w:rFonts w:ascii="Arial" w:cs="Arial" w:eastAsia="Arial" w:hAnsi="Arial"/>
          <w:sz w:val="19"/>
          <w:szCs w:val="19"/>
          <w:color w:val="auto"/>
        </w:rPr>
        <w:t>. Neither Company nor any of its Affiliates has been debarred or is subject to debarment, and neither Company nor any of its Affiliates will use in any capacity, in connection with its activities under this Agreement, any Person who has been debarred pursuant to Section 306 of the United States Federal Food, Drug, and Cosmetic Act, as amended from time to time, and any rules or regulations promulgated thereunder, or who is the subject of a conviction described in such Section 306, or who is subject to any similar sanction of any Regulatory Authority or other governmental authority in the Territory. During the Term, Company will promptly inform TG in writing if it or any such Person who is performing services hereunder is debarred or is the subject of a conviction described in such Section 306 or who is subject to any similar sanction, or if any action, suit, claim, investigation, or legal or administrative proceeding is pending, or is threatened, relating to the debarment, conviction, or sanctions of it or any such Person performing hereunder.</w:t>
      </w:r>
    </w:p>
    <w:p>
      <w:pPr>
        <w:spacing w:after="0" w:line="16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12.3.7 </w:t>
      </w:r>
      <w:r>
        <w:rPr>
          <w:rFonts w:ascii="Arial" w:cs="Arial" w:eastAsia="Arial" w:hAnsi="Arial"/>
          <w:sz w:val="19"/>
          <w:szCs w:val="19"/>
          <w:u w:val="single" w:color="auto"/>
          <w:color w:val="auto"/>
        </w:rPr>
        <w:t>Compliance with Applicable ABC Laws</w:t>
      </w:r>
      <w:r>
        <w:rPr>
          <w:rFonts w:ascii="Arial" w:cs="Arial" w:eastAsia="Arial" w:hAnsi="Arial"/>
          <w:sz w:val="19"/>
          <w:szCs w:val="19"/>
          <w:color w:val="auto"/>
        </w:rPr>
        <w:t xml:space="preserve">. Without limiting the generality of </w:t>
      </w:r>
      <w:r>
        <w:rPr>
          <w:rFonts w:ascii="Arial" w:cs="Arial" w:eastAsia="Arial" w:hAnsi="Arial"/>
          <w:sz w:val="19"/>
          <w:szCs w:val="19"/>
          <w:u w:val="single" w:color="auto"/>
          <w:color w:val="auto"/>
        </w:rPr>
        <w:t>Section 12.1.6</w:t>
      </w:r>
      <w:r>
        <w:rPr>
          <w:rFonts w:ascii="Arial" w:cs="Arial" w:eastAsia="Arial" w:hAnsi="Arial"/>
          <w:sz w:val="19"/>
          <w:szCs w:val="19"/>
          <w:color w:val="auto"/>
        </w:rPr>
        <w:t>, as of the Effective Date and throughout the Term: (a) none of its owners, directors, employees, contractors, representatives, agents, officers, or other members of its management (collectively, “</w:t>
      </w:r>
      <w:r>
        <w:rPr>
          <w:rFonts w:ascii="Arial" w:cs="Arial" w:eastAsia="Arial" w:hAnsi="Arial"/>
          <w:sz w:val="19"/>
          <w:szCs w:val="19"/>
          <w:b w:val="1"/>
          <w:bCs w:val="1"/>
          <w:i w:val="1"/>
          <w:iCs w:val="1"/>
          <w:color w:val="auto"/>
        </w:rPr>
        <w:t>Company Persons</w:t>
      </w:r>
      <w:r>
        <w:rPr>
          <w:rFonts w:ascii="Arial" w:cs="Arial" w:eastAsia="Arial" w:hAnsi="Arial"/>
          <w:sz w:val="19"/>
          <w:szCs w:val="19"/>
          <w:color w:val="auto"/>
        </w:rPr>
        <w:t xml:space="preserve"> ”) are officials, officers, employees, agents, owners, directors, or representatives of any government, political party, state-owned entity, or public international organization, or instrumentality thereof, or candidate for public office (collectively, “</w:t>
      </w:r>
      <w:r>
        <w:rPr>
          <w:rFonts w:ascii="Arial" w:cs="Arial" w:eastAsia="Arial" w:hAnsi="Arial"/>
          <w:sz w:val="19"/>
          <w:szCs w:val="19"/>
          <w:b w:val="1"/>
          <w:bCs w:val="1"/>
          <w:i w:val="1"/>
          <w:iCs w:val="1"/>
          <w:color w:val="auto"/>
        </w:rPr>
        <w:t>Officials</w:t>
      </w:r>
      <w:r>
        <w:rPr>
          <w:rFonts w:ascii="Arial" w:cs="Arial" w:eastAsia="Arial" w:hAnsi="Arial"/>
          <w:sz w:val="19"/>
          <w:szCs w:val="19"/>
          <w:color w:val="auto"/>
        </w:rPr>
        <w:t>”); (b) Company shall immediately notify TG in writing if any Company Person becomes an Official; (c) Company and Company Persons have not caused and shall not cause TG or its Affiliates to be in violation of any applicable anti-corruption, anti-bribery, anti-kickback, anti-money laundering, anti-terrorist financing, anti-fraud, sanctions, embargo, export control, or other law, regulation, order, ordinance, mandatory rule, or other government or judicial decision (collectively, “</w:t>
      </w:r>
      <w:r>
        <w:rPr>
          <w:rFonts w:ascii="Arial" w:cs="Arial" w:eastAsia="Arial" w:hAnsi="Arial"/>
          <w:sz w:val="19"/>
          <w:szCs w:val="19"/>
          <w:b w:val="1"/>
          <w:bCs w:val="1"/>
          <w:i w:val="1"/>
          <w:iCs w:val="1"/>
          <w:color w:val="auto"/>
        </w:rPr>
        <w:t>Applicable ABC Laws</w:t>
      </w:r>
      <w:r>
        <w:rPr>
          <w:rFonts w:ascii="Arial" w:cs="Arial" w:eastAsia="Arial" w:hAnsi="Arial"/>
          <w:sz w:val="19"/>
          <w:szCs w:val="19"/>
          <w:color w:val="auto"/>
        </w:rPr>
        <w:t>”), including but not limited to the U.K. Bribery Act and the U.S. Foreign Corrupt Practices Act of 1977, as amended (the “</w:t>
      </w:r>
      <w:r>
        <w:rPr>
          <w:rFonts w:ascii="Arial" w:cs="Arial" w:eastAsia="Arial" w:hAnsi="Arial"/>
          <w:sz w:val="19"/>
          <w:szCs w:val="19"/>
          <w:b w:val="1"/>
          <w:bCs w:val="1"/>
          <w:i w:val="1"/>
          <w:iCs w:val="1"/>
          <w:color w:val="auto"/>
        </w:rPr>
        <w:t>FCPA</w:t>
      </w:r>
      <w:r>
        <w:rPr>
          <w:rFonts w:ascii="Arial" w:cs="Arial" w:eastAsia="Arial" w:hAnsi="Arial"/>
          <w:sz w:val="19"/>
          <w:szCs w:val="19"/>
          <w:color w:val="auto"/>
        </w:rPr>
        <w:t>”); (d) Company and Company Persons have not promised, offered, authorized, provided, or accepted, and shall not promise, offer, authorize, provide, or accept, either directly or indirectly, money (including a bribe or kickback), gifts, entertainment, hospitalities, favors, or other things of value (collectively, a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to or from any Officials or any other person whether in the public or private sector, where such Payment would constitute a violation of any Applicable ABC Laws,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3" w:name="page144"/>
    <w:bookmarkEnd w:id="143"/>
    <w:p>
      <w:pPr>
        <w:jc w:val="both"/>
        <w:spacing w:after="0" w:line="271" w:lineRule="auto"/>
        <w:rPr>
          <w:sz w:val="20"/>
          <w:szCs w:val="20"/>
          <w:color w:val="auto"/>
        </w:rPr>
      </w:pPr>
      <w:r>
        <w:rPr>
          <w:rFonts w:ascii="Arial" w:cs="Arial" w:eastAsia="Arial" w:hAnsi="Arial"/>
          <w:sz w:val="19"/>
          <w:szCs w:val="19"/>
          <w:color w:val="auto"/>
        </w:rPr>
        <w:t>limitation, the FCPA; (e) Company maintains and implements, and shall continue to maintain and implement, an effective compliance program, consisting of policies, procedures, training, and other measures and internal controls to cause Company and Company Persons to comply with all applicable anti-bribery/anti-corruption laws and other Applicable ABC Laws and will provide copies of these policies and procedures upon request;</w:t>
      </w:r>
    </w:p>
    <w:p>
      <w:pPr>
        <w:spacing w:after="0" w:line="3" w:lineRule="exact"/>
        <w:rPr>
          <w:sz w:val="20"/>
          <w:szCs w:val="20"/>
          <w:color w:val="auto"/>
        </w:rPr>
      </w:pPr>
    </w:p>
    <w:p>
      <w:pPr>
        <w:jc w:val="both"/>
        <w:ind w:firstLine="8"/>
        <w:spacing w:after="0" w:line="243" w:lineRule="auto"/>
        <w:tabs>
          <w:tab w:leader="none" w:pos="318"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xml:space="preserve">Company shall report any suspected or actual violation of any anti-bribery/anti-corruption laws or other Applicable ABC Laws in relation to this Agreement to TG immediately; (g) Company has provided and will continue to provide in good faith to TG and/or its representatives and advisors all due diligence documents and information of the character and type requested by TG; and (h) Company has not retained and shall not retain any third-party broker, agent, sub-representative, or other contractor to interact with Officials in the performance of this Agreement, unless such third party is vetted in advance to the satisfaction of TG. Company acknowledges and agrees that a violation of this </w:t>
      </w:r>
      <w:r>
        <w:rPr>
          <w:rFonts w:ascii="Arial" w:cs="Arial" w:eastAsia="Arial" w:hAnsi="Arial"/>
          <w:sz w:val="21"/>
          <w:szCs w:val="21"/>
          <w:u w:val="single" w:color="auto"/>
          <w:color w:val="auto"/>
        </w:rPr>
        <w:t>Section 12.3.6</w:t>
      </w:r>
      <w:r>
        <w:rPr>
          <w:rFonts w:ascii="Arial" w:cs="Arial" w:eastAsia="Arial" w:hAnsi="Arial"/>
          <w:sz w:val="21"/>
          <w:szCs w:val="21"/>
          <w:color w:val="auto"/>
        </w:rPr>
        <w:t xml:space="preserve"> by Company or any Company Person constitutes a material breach of this Agreement, and, notwithstanding the provisions of </w:t>
      </w:r>
      <w:r>
        <w:rPr>
          <w:rFonts w:ascii="Arial" w:cs="Arial" w:eastAsia="Arial" w:hAnsi="Arial"/>
          <w:sz w:val="21"/>
          <w:szCs w:val="21"/>
          <w:u w:val="single" w:color="auto"/>
          <w:color w:val="auto"/>
        </w:rPr>
        <w:t>Section 11.2.2</w:t>
      </w:r>
      <w:r>
        <w:rPr>
          <w:rFonts w:ascii="Arial" w:cs="Arial" w:eastAsia="Arial" w:hAnsi="Arial"/>
          <w:sz w:val="21"/>
          <w:szCs w:val="21"/>
          <w:color w:val="auto"/>
        </w:rPr>
        <w:t>, TG shall have the right to terminate this Agreement without any notice or cure period.</w:t>
      </w:r>
    </w:p>
    <w:p>
      <w:pPr>
        <w:spacing w:after="0" w:line="18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 xml:space="preserve">12.3.8 </w:t>
      </w:r>
      <w:r>
        <w:rPr>
          <w:rFonts w:ascii="Arial" w:cs="Arial" w:eastAsia="Arial" w:hAnsi="Arial"/>
          <w:sz w:val="19"/>
          <w:szCs w:val="19"/>
          <w:u w:val="single" w:color="auto"/>
          <w:color w:val="auto"/>
        </w:rPr>
        <w:t>Compliance with Applicable Trade Laws</w:t>
      </w:r>
      <w:r>
        <w:rPr>
          <w:rFonts w:ascii="Arial" w:cs="Arial" w:eastAsia="Arial" w:hAnsi="Arial"/>
          <w:sz w:val="19"/>
          <w:szCs w:val="19"/>
          <w:color w:val="auto"/>
        </w:rPr>
        <w:t xml:space="preserve">. Without limiting the generality of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12.3.6</w:t>
      </w:r>
      <w:r>
        <w:rPr>
          <w:rFonts w:ascii="Arial" w:cs="Arial" w:eastAsia="Arial" w:hAnsi="Arial"/>
          <w:sz w:val="19"/>
          <w:szCs w:val="19"/>
          <w:color w:val="auto"/>
        </w:rPr>
        <w:t>, Company shall comply with all Applicable Laws controlling the export of certain commodities, technology, and technical data, including the Export Administration Regulations administered by the United States Department of Commerce and the International Traffic in Arms Regulations administered by the United States Department of State. Among other things, these laws and regulations prohibit or require a license for the export of certain types of commodities, technology, and technical data to specified countries. Company hereby gives written assurance that it will comply with all United States export control laws and regulations, that it bears sole responsibility for any violation of such laws and regulations, and that it will indemnify and hold TG harmless for the consequences of any such violation. Additionally, Company agrees to comply with U.S. Sanctions administered by the Department of Treasury’s Office of Foreign Assets Control and will ensure all of its Sublicensees and/or Distributors are appropriately screened against relevant global watchlists. Any positive screening results demonstrating a party’s presence on a watchlist will be immediately reported to TG and no Product may be exported, re-exported, transferred, or transshipped to or through, sanctioned entities.</w:t>
      </w:r>
    </w:p>
    <w:p>
      <w:pPr>
        <w:spacing w:after="0" w:line="15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 xml:space="preserve">12.3.9 </w:t>
      </w:r>
      <w:r>
        <w:rPr>
          <w:rFonts w:ascii="Arial" w:cs="Arial" w:eastAsia="Arial" w:hAnsi="Arial"/>
          <w:sz w:val="19"/>
          <w:szCs w:val="19"/>
          <w:u w:val="single" w:color="auto"/>
          <w:color w:val="auto"/>
        </w:rPr>
        <w:t>Company’s Investigation and Non-Reliance</w:t>
      </w:r>
      <w:r>
        <w:rPr>
          <w:rFonts w:ascii="Arial" w:cs="Arial" w:eastAsia="Arial" w:hAnsi="Arial"/>
          <w:sz w:val="19"/>
          <w:szCs w:val="19"/>
          <w:color w:val="auto"/>
        </w:rPr>
        <w:t xml:space="preserve">. Company has been provided with access to the representatives and books and records of TG, including through an electronic data room, and other information (including the information necessary to determine whether to enter into this Agreement) that it has requested in connection with its investigation of the Compound, Product, and the transactions contemplated by this Agreement. Company is not relying, has not relied, and disclaims all reliance upon any statement, representation, or warranty (whether oral, written, express, or implied) made by TG or any of its Affiliates or representatives of any kind whatsoever, except as expressly set forth in </w:t>
      </w:r>
      <w:r>
        <w:rPr>
          <w:rFonts w:ascii="Arial" w:cs="Arial" w:eastAsia="Arial" w:hAnsi="Arial"/>
          <w:sz w:val="19"/>
          <w:szCs w:val="19"/>
          <w:u w:val="single" w:color="auto"/>
          <w:color w:val="auto"/>
        </w:rPr>
        <w:t>Article 12</w:t>
      </w:r>
      <w:r>
        <w:rPr>
          <w:rFonts w:ascii="Arial" w:cs="Arial" w:eastAsia="Arial" w:hAnsi="Arial"/>
          <w:sz w:val="19"/>
          <w:szCs w:val="19"/>
          <w:color w:val="auto"/>
        </w:rPr>
        <w:t>. Except in the case of fraud, willful misconduct, or intentional misrepresentation, neither TG nor any of its Affiliates or representatives shall have any liability to Company or any of its Affiliates or representatives resulting from the use of any information, documents, or materials made available to Company (or its representatives), whether orally or in writing, in any confidential information memoranda, “data rooms,” “virtual data rooms,” management presentations, due diligence (whether or not received from TG or any of its Affiliates or representatives) in any form (including via discussion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4" w:name="page145"/>
    <w:bookmarkEnd w:id="144"/>
    <w:p>
      <w:pPr>
        <w:jc w:val="both"/>
        <w:spacing w:after="0" w:line="246" w:lineRule="auto"/>
        <w:rPr>
          <w:sz w:val="20"/>
          <w:szCs w:val="20"/>
          <w:color w:val="auto"/>
        </w:rPr>
      </w:pPr>
      <w:r>
        <w:rPr>
          <w:rFonts w:ascii="Arial" w:cs="Arial" w:eastAsia="Arial" w:hAnsi="Arial"/>
          <w:sz w:val="21"/>
          <w:szCs w:val="21"/>
          <w:color w:val="auto"/>
        </w:rPr>
        <w:t>presentation) in expectation of the transactions contemplated by this Agreement. TG (and its Affiliates and representatives) is not making, directly or indirectly, any representation or warranty with respect to any estimates, projections, or forecasts involving the Product, including the likelihood of approval of any Drug Approval Application and/or the timing of any decision by the EMA or any other Regulatory Authority. Company acknowledges and agrees that there are inherent uncertainties in attempting to make such estimates, projections, and forecasts and that Company takes full responsibility for making its own evaluation of the adequacy and accuracy of any such estimates, projections, or forecasts (including the reasonableness of the assumptions underlying any such estimates, projections, or forecasts).</w:t>
      </w:r>
    </w:p>
    <w:p>
      <w:pPr>
        <w:spacing w:after="0" w:line="180"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Warranty Disclaimer</w:t>
      </w:r>
      <w:r>
        <w:rPr>
          <w:rFonts w:ascii="Arial" w:cs="Arial" w:eastAsia="Arial" w:hAnsi="Arial"/>
          <w:sz w:val="22"/>
          <w:szCs w:val="22"/>
          <w:color w:val="auto"/>
        </w:rPr>
        <w:t>. EXCEPT AS OTHERWISE EXPRESSLY PROVIDED IN THIS AGREEMENT: THE LICENSED TECHNOLOGY, LICENSED PATENT RIGHTS, LFB BACKGROUND PATENT RIGHTS, AND LICENSED TRADEMARK, AS WELL AS THE COMPOUND AND PRODUCT, ARE BEING PROVIDED ON AN “AS IS, WHERE IS” BASIS; AND TG MAKES NO WARRANTY WITH RESPECT TO ANY COMPOUND, PRODUCT, TECHNOLOGY, PATENT RIGHTS, REGULATORY FILES, GOODS, SERVICES, RIGHTS, OR OTHER SUBJECT MATTER OF THIS AGREEMENT, AND TG HEREBY DISCLAIMS ALL WARRANTIES, EXPRESS OR IMPLIED, INCLUDING, WITHOUT LIMITATION, WARRANTIES OF MERCHANTABILITY, FITNESS FOR A PARTICULAR PURPOSE, AND NONINFRINGEMENT.</w:t>
      </w:r>
    </w:p>
    <w:p>
      <w:pPr>
        <w:spacing w:after="0" w:line="187" w:lineRule="exact"/>
        <w:rPr>
          <w:sz w:val="20"/>
          <w:szCs w:val="20"/>
          <w:color w:val="auto"/>
        </w:rPr>
      </w:pPr>
    </w:p>
    <w:p>
      <w:pPr>
        <w:ind w:left="3560" w:hanging="649"/>
        <w:spacing w:after="0"/>
        <w:tabs>
          <w:tab w:leader="none" w:pos="356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INDEMNIFICATION; INSURANCE</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Indemnification of TG by Company</w:t>
      </w:r>
      <w:r>
        <w:rPr>
          <w:rFonts w:ascii="Arial" w:cs="Arial" w:eastAsia="Arial" w:hAnsi="Arial"/>
          <w:sz w:val="19"/>
          <w:szCs w:val="19"/>
          <w:color w:val="auto"/>
        </w:rPr>
        <w:t>. Company shall indemnify, defend, and hold harmless TG, its Affiliates, their respective directors, officers, employees, and agents, and their respective successors, heirs, and assigns (collectively, the “</w:t>
      </w:r>
      <w:r>
        <w:rPr>
          <w:rFonts w:ascii="Arial" w:cs="Arial" w:eastAsia="Arial" w:hAnsi="Arial"/>
          <w:sz w:val="19"/>
          <w:szCs w:val="19"/>
          <w:b w:val="1"/>
          <w:bCs w:val="1"/>
          <w:i w:val="1"/>
          <w:iCs w:val="1"/>
          <w:color w:val="auto"/>
        </w:rPr>
        <w:t>TG Indemnities</w:t>
      </w:r>
      <w:r>
        <w:rPr>
          <w:rFonts w:ascii="Arial" w:cs="Arial" w:eastAsia="Arial" w:hAnsi="Arial"/>
          <w:sz w:val="19"/>
          <w:szCs w:val="19"/>
          <w:color w:val="auto"/>
        </w:rPr>
        <w:t>”), against all liabilities, damages, losses, and expenses (including, without limitation, reasonable attorneys’ fees and expenses of litigation) (collectively,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incurred by or imposed upon TG Indemnities, or any of them, as a result of claims, suits, actions, demands, or judgments of Third Parties, including, without limitation, personal injury and product liability claims (collectively,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xml:space="preserve">”), arising out of (a) the use of the Licensed Patents, Licensed Technology, LFB Background Patents, and/or Licensed Trademark by or on behalf of Company or any of its Affiliates, Sublicensees, or Distributors; (b) the Development and/or Commercialization of the Product by or on behalf of Company or any of its Affiliates, Sublicensees, or Distributors; (c) any breach of this Agreement by Company or any of its Affiliates, Sublicensees, Distributors, or agents; (d) without limiting the generality of </w:t>
      </w:r>
      <w:r>
        <w:rPr>
          <w:rFonts w:ascii="Arial" w:cs="Arial" w:eastAsia="Arial" w:hAnsi="Arial"/>
          <w:sz w:val="19"/>
          <w:szCs w:val="19"/>
          <w:u w:val="single" w:color="auto"/>
          <w:color w:val="auto"/>
        </w:rPr>
        <w:t>Section 13.1(c)</w:t>
      </w:r>
      <w:r>
        <w:rPr>
          <w:rFonts w:ascii="Arial" w:cs="Arial" w:eastAsia="Arial" w:hAnsi="Arial"/>
          <w:sz w:val="19"/>
          <w:szCs w:val="19"/>
          <w:color w:val="auto"/>
        </w:rPr>
        <w:t xml:space="preserve">, any breach of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of this Agreement, including, without limitation, indemnifying TG Indemnities for all Losses incurred by TG in connection with payment of penalties to LFB under Section 5.4 of the LFB License; and (e) the gross negligence or willful misconduct of any Company Indemnity or Sublicensee of Company; excluding, in each of (a) – (e) above, any Claim or Loss with respect to which TG has an obligation to indemnify Company Indemnities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13.2</w:t>
      </w:r>
      <w:r>
        <w:rPr>
          <w:rFonts w:ascii="Arial" w:cs="Arial" w:eastAsia="Arial" w:hAnsi="Arial"/>
          <w:sz w:val="19"/>
          <w:szCs w:val="19"/>
          <w:color w:val="auto"/>
        </w:rPr>
        <w:t>, as to which Claim or Loss each Party will indemnify the other to the extent of their respective liability for such Loss (unless such Claim or Loss is otherwise expressly excluded from a Party’s indemnification obligations under this Agreement).</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Indemnification of Company by TG</w:t>
      </w:r>
      <w:r>
        <w:rPr>
          <w:rFonts w:ascii="Arial" w:cs="Arial" w:eastAsia="Arial" w:hAnsi="Arial"/>
          <w:sz w:val="22"/>
          <w:szCs w:val="22"/>
          <w:color w:val="auto"/>
        </w:rPr>
        <w:t>. TG shall indemnify, defend, and hold harmless Company, its Affiliates, their respective directors, officers, employees, and agents, and their respective successors, heirs, and assigns (collectively, the “</w:t>
      </w:r>
      <w:r>
        <w:rPr>
          <w:rFonts w:ascii="Arial" w:cs="Arial" w:eastAsia="Arial" w:hAnsi="Arial"/>
          <w:sz w:val="22"/>
          <w:szCs w:val="22"/>
          <w:b w:val="1"/>
          <w:bCs w:val="1"/>
          <w:i w:val="1"/>
          <w:iCs w:val="1"/>
          <w:color w:val="auto"/>
        </w:rPr>
        <w:t>Company Indemnities</w:t>
      </w:r>
      <w:r>
        <w:rPr>
          <w:rFonts w:ascii="Arial" w:cs="Arial" w:eastAsia="Arial" w:hAnsi="Arial"/>
          <w:sz w:val="22"/>
          <w:szCs w:val="22"/>
          <w:color w:val="auto"/>
        </w:rPr>
        <w:t>”),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5" w:name="page146"/>
    <w:bookmarkEnd w:id="145"/>
    <w:p>
      <w:pPr>
        <w:jc w:val="both"/>
        <w:spacing w:after="0" w:line="277" w:lineRule="auto"/>
        <w:rPr>
          <w:sz w:val="20"/>
          <w:szCs w:val="20"/>
          <w:color w:val="auto"/>
        </w:rPr>
      </w:pPr>
      <w:r>
        <w:rPr>
          <w:rFonts w:ascii="Arial" w:cs="Arial" w:eastAsia="Arial" w:hAnsi="Arial"/>
          <w:sz w:val="19"/>
          <w:szCs w:val="19"/>
          <w:color w:val="auto"/>
        </w:rPr>
        <w:t xml:space="preserve">all Losses incurred by or imposed upon the Company Indemnities, or any of them, as a result of Claims arising out of (a) the Global Development Activities or Commercialization by or on behalf of TG of the Product (i) outside of the Field in the Territory, or (ii) in the Excluded Territory; (b) any breach of this Agreement by TG or any of its Affiliates, (sub)licensees, distributors, or agents; or (c) the gross negligence or willful misconduct of any TG Indemnity or (sub)licensee of TG; excluding, in each of (a) – (c) above, any Claim or Loss with respect to which Company or any of its Affiliates has an obligation to indemnify TG pursuant to </w:t>
      </w:r>
      <w:r>
        <w:rPr>
          <w:rFonts w:ascii="Arial" w:cs="Arial" w:eastAsia="Arial" w:hAnsi="Arial"/>
          <w:sz w:val="19"/>
          <w:szCs w:val="19"/>
          <w:u w:val="single" w:color="auto"/>
          <w:color w:val="auto"/>
        </w:rPr>
        <w:t>Section 13.1</w:t>
      </w:r>
      <w:r>
        <w:rPr>
          <w:rFonts w:ascii="Arial" w:cs="Arial" w:eastAsia="Arial" w:hAnsi="Arial"/>
          <w:sz w:val="19"/>
          <w:szCs w:val="19"/>
          <w:color w:val="auto"/>
        </w:rPr>
        <w:t>, as to which Claim or Loss each Party will indemnify the other to the extent of their respective liability for such Loss.</w:t>
      </w:r>
    </w:p>
    <w:p>
      <w:pPr>
        <w:spacing w:after="0" w:line="1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Conditions to Indemnification</w:t>
      </w:r>
      <w:r>
        <w:rPr>
          <w:rFonts w:ascii="Arial" w:cs="Arial" w:eastAsia="Arial" w:hAnsi="Arial"/>
          <w:sz w:val="19"/>
          <w:szCs w:val="19"/>
          <w:color w:val="auto"/>
        </w:rPr>
        <w:t xml:space="preserve">. A Person seeking indemnification under this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Indemnified Party</w:t>
      </w:r>
      <w:r>
        <w:rPr>
          <w:rFonts w:ascii="Arial" w:cs="Arial" w:eastAsia="Arial" w:hAnsi="Arial"/>
          <w:sz w:val="19"/>
          <w:szCs w:val="19"/>
          <w:color w:val="auto"/>
        </w:rPr>
        <w:t>”) in respect of a Claim shall give prompt notice of such Claim to the Party from which indemnification is sought (the “</w:t>
      </w:r>
      <w:r>
        <w:rPr>
          <w:rFonts w:ascii="Arial" w:cs="Arial" w:eastAsia="Arial" w:hAnsi="Arial"/>
          <w:sz w:val="19"/>
          <w:szCs w:val="19"/>
          <w:b w:val="1"/>
          <w:bCs w:val="1"/>
          <w:i w:val="1"/>
          <w:iCs w:val="1"/>
          <w:color w:val="auto"/>
        </w:rPr>
        <w:t>Indemnifying Party</w:t>
      </w:r>
      <w:r>
        <w:rPr>
          <w:rFonts w:ascii="Arial" w:cs="Arial" w:eastAsia="Arial" w:hAnsi="Arial"/>
          <w:sz w:val="19"/>
          <w:szCs w:val="19"/>
          <w:color w:val="auto"/>
        </w:rPr>
        <w:t>”). The Indemnified Party shall permit the Indemnifying Party to control any litigation relating to such Claim and the disposition of such Claim; provided, that, the Indemnifying Party shall (a) act reasonably and in good faith with respect to all matters relating to the settlement or disposition of such Claim as the settlement or disposition relates to such Indemnified Party and (b) not settle or otherwise resolve such claim without the prior written consent of such Indemnified Party (which consent shall not be unreasonably withheld, conditioned or delayed). Each Indemnified Party shall cooperate with the Indemnifying Party in its defense of any such Claim in all reasonable respects and shall have the right to be present in person or through counsel at all legal proceedings with respect to such Claim.</w:t>
      </w:r>
    </w:p>
    <w:p>
      <w:pPr>
        <w:spacing w:after="0" w:line="16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13.4 </w:t>
      </w:r>
      <w:r>
        <w:rPr>
          <w:rFonts w:ascii="Arial" w:cs="Arial" w:eastAsia="Arial" w:hAnsi="Arial"/>
          <w:sz w:val="22"/>
          <w:szCs w:val="22"/>
          <w:u w:val="single" w:color="auto"/>
          <w:color w:val="auto"/>
        </w:rPr>
        <w:t>Insurance</w:t>
      </w:r>
      <w:r>
        <w:rPr>
          <w:rFonts w:ascii="Arial" w:cs="Arial" w:eastAsia="Arial" w:hAnsi="Arial"/>
          <w:sz w:val="22"/>
          <w:szCs w:val="22"/>
          <w:color w:val="auto"/>
        </w:rPr>
        <w:t>. Not later than fifteen (15) days before the date on which Company or any Affiliate or Sublicensee of Company shall, on a commercial basis, make, use, or sell the Product in the Field in the Territory, and at all times thereafter until the expiration of all applicable statutes of limitation pertaining to any such manufacture, marketing, possession, use, sale, or other disposition of the Product, Company will, at its own expense, with respect to the Product in the Field in the Territory, obtain and maintain in full force and effect, comprehensive general liability insurance, in such amounts as is customary in the industry with respect to the development, manufacture, and sale of pharmaceutical products in the Territory. For the avoidance of doubt, all insurance obligations and associated costs for any Company Development Activities and/or Commercialization of the Product in the Field in the Territory and over which TG has little or no control, shall be borne solely by Company.</w:t>
      </w:r>
    </w:p>
    <w:p>
      <w:pPr>
        <w:spacing w:after="0" w:line="18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13.5 </w:t>
      </w:r>
      <w:r>
        <w:rPr>
          <w:rFonts w:ascii="Arial" w:cs="Arial" w:eastAsia="Arial" w:hAnsi="Arial"/>
          <w:sz w:val="22"/>
          <w:szCs w:val="22"/>
          <w:b w:val="1"/>
          <w:bCs w:val="1"/>
          <w:u w:val="single" w:color="auto"/>
          <w:color w:val="auto"/>
        </w:rPr>
        <w:t>Limitation of Liability</w:t>
      </w:r>
      <w:r>
        <w:rPr>
          <w:rFonts w:ascii="Arial" w:cs="Arial" w:eastAsia="Arial" w:hAnsi="Arial"/>
          <w:sz w:val="22"/>
          <w:szCs w:val="22"/>
          <w:color w:val="auto"/>
        </w:rPr>
        <w:t xml:space="preserve">. EXCEPT AS SET FORTH UNDER </w:t>
      </w:r>
      <w:r>
        <w:rPr>
          <w:rFonts w:ascii="Arial" w:cs="Arial" w:eastAsia="Arial" w:hAnsi="Arial"/>
          <w:sz w:val="22"/>
          <w:szCs w:val="22"/>
          <w:u w:val="single" w:color="auto"/>
          <w:color w:val="auto"/>
        </w:rPr>
        <w:t>SECTIONS 13.1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13.2</w:t>
      </w:r>
      <w:r>
        <w:rPr>
          <w:rFonts w:ascii="Arial" w:cs="Arial" w:eastAsia="Arial" w:hAnsi="Arial"/>
          <w:sz w:val="22"/>
          <w:szCs w:val="22"/>
          <w:color w:val="auto"/>
        </w:rPr>
        <w:t xml:space="preserve"> OR IN CONNECTION WITH GROSS NEGLIGENCE OR WILLFUL MISCONDUCT, OR BREACH OF THE PROVISIONS OF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 OR OTHERWISE AS SET FORTH IN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 NEITHER PARTY SHALL BE LIABLE TO THE OTHER PARTY OR ANY OF ITS AFFILIATES FOR (A) ANY SPECIAL, PUNITIVE, INDIRECT, INCIDENTAL, OR CONSEQUENTIAL DAMAGES, INCLUDING, WITHOUT LIMITATION, LOST PROFITS, OR LOST REVENUES, OR (B) COST OF PROCUREMENT OF SUBSTITUTE GOODS, KNOW-HOW, OR SERVICES, WHETHER UNDER ANY CONTRACT, WARRANTY, NEGLIGENCE, STRICT LIABILITY, OR OTHER LEGAL OR EQUITABLE THEORY. ADDITIONALLY, NOTHING IN THIS AGREEMENT SHALL REMOVE OR LIMIT EITHER PARTY’S LIABILITY FOR DEATH, PERSONAL INJURY, FRAUD, OR ANY OTHER MATTER OR LIABILITY FOR WHICH, BY LAW, MAY NOT BE REMOVED OR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6" w:name="page147"/>
    <w:bookmarkEnd w:id="146"/>
    <w:p>
      <w:pPr>
        <w:ind w:left="4340" w:hanging="648"/>
        <w:spacing w:after="0"/>
        <w:tabs>
          <w:tab w:leader="none" w:pos="434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Disputes; Consent to Jurisdiction</w:t>
      </w:r>
      <w:r>
        <w:rPr>
          <w:rFonts w:ascii="Arial" w:cs="Arial" w:eastAsia="Arial" w:hAnsi="Arial"/>
          <w:sz w:val="19"/>
          <w:szCs w:val="19"/>
          <w:color w:val="auto"/>
        </w:rPr>
        <w:t>. The Parties shall use reasonable efforts to settle any disputed matter arising from or related to this Agreement or the breach thereof (each, a “</w:t>
      </w:r>
      <w:r>
        <w:rPr>
          <w:rFonts w:ascii="Arial" w:cs="Arial" w:eastAsia="Arial" w:hAnsi="Arial"/>
          <w:sz w:val="19"/>
          <w:szCs w:val="19"/>
          <w:b w:val="1"/>
          <w:bCs w:val="1"/>
          <w:i w:val="1"/>
          <w:iCs w:val="1"/>
          <w:color w:val="auto"/>
        </w:rPr>
        <w:t>Dispute</w:t>
      </w:r>
      <w:r>
        <w:rPr>
          <w:rFonts w:ascii="Arial" w:cs="Arial" w:eastAsia="Arial" w:hAnsi="Arial"/>
          <w:sz w:val="19"/>
          <w:szCs w:val="19"/>
          <w:color w:val="auto"/>
        </w:rPr>
        <w:t>”) by promptly referring any such Dispute to the Chief Executive Officer of each Party. If the Chief Executive Officers are unable to resolve any Dispute within [***] ([***]) [***] of the date on which the Dispute was referred to them for resolution, the Dispute shall be subject to the sole jurisdiction of, and venue in, the U.S. federal court of competent jurisdiction located within Wilmington, Delaware, USA (if available), and otherwise the state courts of competent jurisdiction located within Wilmington, Delaware, USA. Company and TG each irrevocably consent to the jurisdiction of such courts, irrevocably waive any objection based on lack of personal jurisdiction or inconvenience of forum, and agree that process may be served in the manner provided herein for giving notices or otherwise as allowed by Delaware or applicable federal law. 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communications shall be in writing and delivered personally or by internationally-recognized overnight express courier providing evidence of delivery or mailed via certified mail, return receipt requested, addressed as follows, or to such other address as may be designated from time to time:</w:t>
      </w:r>
    </w:p>
    <w:p>
      <w:pPr>
        <w:sectPr>
          <w:pgSz w:w="11900" w:h="16838" w:orient="portrait"/>
          <w:cols w:equalWidth="0" w:num="1">
            <w:col w:w="9920"/>
          </w:cols>
          <w:pgMar w:left="980" w:top="355" w:right="999" w:bottom="1440" w:gutter="0" w:footer="0" w:header="0"/>
        </w:sect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If to TG:</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TG Therapeutics, Inc.</w:t>
      </w:r>
    </w:p>
    <w:p>
      <w:pPr>
        <w:spacing w:after="0" w:line="238" w:lineRule="auto"/>
        <w:rPr>
          <w:sz w:val="20"/>
          <w:szCs w:val="20"/>
          <w:color w:val="auto"/>
        </w:rPr>
      </w:pPr>
      <w:r>
        <w:rPr>
          <w:rFonts w:ascii="Arial" w:cs="Arial" w:eastAsia="Arial" w:hAnsi="Arial"/>
          <w:sz w:val="22"/>
          <w:szCs w:val="22"/>
          <w:color w:val="auto"/>
        </w:rPr>
        <w:t>3020 Carrington Mill Blvd., Suite 475</w:t>
      </w:r>
    </w:p>
    <w:p>
      <w:pPr>
        <w:spacing w:after="0" w:line="230" w:lineRule="auto"/>
        <w:rPr>
          <w:sz w:val="20"/>
          <w:szCs w:val="20"/>
          <w:color w:val="auto"/>
        </w:rPr>
      </w:pPr>
      <w:r>
        <w:rPr>
          <w:rFonts w:ascii="Arial" w:cs="Arial" w:eastAsia="Arial" w:hAnsi="Arial"/>
          <w:sz w:val="22"/>
          <w:szCs w:val="22"/>
          <w:color w:val="auto"/>
        </w:rPr>
        <w:t>Morrisville, NC 27560</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Michael S. Weiss, Executive Chairman and Chief Executive Officer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b w:val="1"/>
          <w:bCs w:val="1"/>
          <w:color w:val="auto"/>
        </w:rPr>
        <w:t>[***]</w:t>
      </w:r>
    </w:p>
    <w:p>
      <w:pPr>
        <w:spacing w:after="0" w:line="200" w:lineRule="exact"/>
        <w:rPr>
          <w:sz w:val="20"/>
          <w:szCs w:val="20"/>
          <w:color w:val="auto"/>
        </w:rPr>
      </w:pPr>
    </w:p>
    <w:p>
      <w:pPr>
        <w:sectPr>
          <w:pgSz w:w="11900" w:h="16838" w:orient="portrait"/>
          <w:cols w:equalWidth="0" w:num="2">
            <w:col w:w="1620" w:space="720"/>
            <w:col w:w="7580"/>
          </w:cols>
          <w:pgMar w:left="980" w:top="355" w:right="999" w:bottom="1440" w:gutter="0" w:footer="0" w:header="0"/>
          <w:type w:val="continuous"/>
        </w:sectPr>
      </w:pPr>
    </w:p>
    <w:p>
      <w:pPr>
        <w:spacing w:after="0" w:line="15"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DLA Piper LLP (US)</w:t>
      </w:r>
    </w:p>
    <w:p>
      <w:pPr>
        <w:spacing w:after="0" w:line="8" w:lineRule="exact"/>
        <w:rPr>
          <w:sz w:val="20"/>
          <w:szCs w:val="20"/>
          <w:color w:val="auto"/>
        </w:rPr>
      </w:pPr>
    </w:p>
    <w:p>
      <w:pPr>
        <w:ind w:left="2340"/>
        <w:spacing w:after="0"/>
        <w:rPr>
          <w:sz w:val="20"/>
          <w:szCs w:val="20"/>
          <w:color w:val="auto"/>
        </w:rPr>
      </w:pPr>
      <w:r>
        <w:rPr>
          <w:rFonts w:ascii="Arial" w:cs="Arial" w:eastAsia="Arial" w:hAnsi="Arial"/>
          <w:sz w:val="19"/>
          <w:szCs w:val="19"/>
          <w:color w:val="auto"/>
        </w:rPr>
        <w:t>650 South Exeter Street</w:t>
      </w:r>
    </w:p>
    <w:p>
      <w:pPr>
        <w:spacing w:after="0" w:line="15"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Suite 1100</w:t>
      </w:r>
    </w:p>
    <w:p>
      <w:pPr>
        <w:ind w:left="2340"/>
        <w:spacing w:after="0"/>
        <w:rPr>
          <w:sz w:val="20"/>
          <w:szCs w:val="20"/>
          <w:color w:val="auto"/>
        </w:rPr>
      </w:pPr>
      <w:r>
        <w:rPr>
          <w:rFonts w:ascii="Arial" w:cs="Arial" w:eastAsia="Arial" w:hAnsi="Arial"/>
          <w:sz w:val="21"/>
          <w:szCs w:val="21"/>
          <w:color w:val="auto"/>
        </w:rPr>
        <w:t>Baltimore, MD 21202</w:t>
      </w:r>
    </w:p>
    <w:p>
      <w:pPr>
        <w:ind w:left="2340"/>
        <w:spacing w:after="0" w:line="231" w:lineRule="auto"/>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b w:val="1"/>
          <w:bCs w:val="1"/>
          <w:color w:val="auto"/>
        </w:rPr>
        <w:t>[***]</w:t>
      </w:r>
    </w:p>
    <w:p>
      <w:pPr>
        <w:ind w:left="2340"/>
        <w:spacing w:after="0" w:line="231" w:lineRule="auto"/>
        <w:rPr>
          <w:sz w:val="20"/>
          <w:szCs w:val="20"/>
          <w:color w:val="auto"/>
        </w:rPr>
      </w:pPr>
      <w:r>
        <w:rPr>
          <w:rFonts w:ascii="Arial" w:cs="Arial" w:eastAsia="Arial" w:hAnsi="Arial"/>
          <w:sz w:val="22"/>
          <w:szCs w:val="22"/>
          <w:color w:val="auto"/>
        </w:rPr>
        <w:t xml:space="preserve">Tel.: </w:t>
      </w:r>
      <w:r>
        <w:rPr>
          <w:rFonts w:ascii="Arial" w:cs="Arial" w:eastAsia="Arial" w:hAnsi="Arial"/>
          <w:sz w:val="22"/>
          <w:szCs w:val="22"/>
          <w:b w:val="1"/>
          <w:bCs w:val="1"/>
          <w:color w:val="auto"/>
        </w:rPr>
        <w:t>[***]</w:t>
      </w:r>
    </w:p>
    <w:p>
      <w:pPr>
        <w:spacing w:after="0" w:line="1"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 xml:space="preserve">Fax: </w:t>
      </w:r>
      <w:r>
        <w:rPr>
          <w:rFonts w:ascii="Arial" w:cs="Arial" w:eastAsia="Arial" w:hAnsi="Arial"/>
          <w:sz w:val="22"/>
          <w:szCs w:val="22"/>
          <w:b w:val="1"/>
          <w:bCs w:val="1"/>
          <w:color w:val="auto"/>
        </w:rPr>
        <w:t>[***]</w:t>
      </w:r>
    </w:p>
    <w:p>
      <w:pPr>
        <w:sectPr>
          <w:pgSz w:w="11900" w:h="16838" w:orient="portrait"/>
          <w:cols w:equalWidth="0" w:num="1">
            <w:col w:w="9920"/>
          </w:cols>
          <w:pgMar w:left="980" w:top="355" w:right="999" w:bottom="1440" w:gutter="0" w:footer="0" w:header="0"/>
          <w:type w:val="continuous"/>
        </w:sect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to Company:</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Neuraxpharm Pharmaceuticals S.L.</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Avinguda de Barcelona, 69</w:t>
      </w:r>
    </w:p>
    <w:p>
      <w:pPr>
        <w:spacing w:after="0" w:line="230" w:lineRule="auto"/>
        <w:rPr>
          <w:sz w:val="20"/>
          <w:szCs w:val="20"/>
          <w:color w:val="auto"/>
        </w:rPr>
      </w:pPr>
      <w:r>
        <w:rPr>
          <w:rFonts w:ascii="Arial" w:cs="Arial" w:eastAsia="Arial" w:hAnsi="Arial"/>
          <w:sz w:val="22"/>
          <w:szCs w:val="22"/>
          <w:color w:val="auto"/>
        </w:rPr>
        <w:t>08970 Sant Joan Despí</w:t>
      </w:r>
    </w:p>
    <w:p>
      <w:pPr>
        <w:spacing w:after="0" w:line="231" w:lineRule="auto"/>
        <w:rPr>
          <w:sz w:val="20"/>
          <w:szCs w:val="20"/>
          <w:color w:val="auto"/>
        </w:rPr>
      </w:pPr>
      <w:r>
        <w:rPr>
          <w:rFonts w:ascii="Arial" w:cs="Arial" w:eastAsia="Arial" w:hAnsi="Arial"/>
          <w:sz w:val="22"/>
          <w:szCs w:val="22"/>
          <w:color w:val="auto"/>
        </w:rPr>
        <w:t>Barcelona, Spain</w:t>
      </w:r>
    </w:p>
    <w:p>
      <w:pPr>
        <w:spacing w:after="0"/>
        <w:rPr>
          <w:sz w:val="20"/>
          <w:szCs w:val="20"/>
          <w:color w:val="auto"/>
        </w:rPr>
      </w:pPr>
      <w:r>
        <w:rPr>
          <w:rFonts w:ascii="Arial" w:cs="Arial" w:eastAsia="Arial" w:hAnsi="Arial"/>
          <w:sz w:val="22"/>
          <w:szCs w:val="22"/>
          <w:color w:val="auto"/>
        </w:rPr>
        <w:t xml:space="preserve">Attn: </w:t>
      </w:r>
      <w:r>
        <w:rPr>
          <w:rFonts w:ascii="Arial" w:cs="Arial" w:eastAsia="Arial" w:hAnsi="Arial"/>
          <w:sz w:val="22"/>
          <w:szCs w:val="22"/>
          <w:b w:val="1"/>
          <w:bCs w:val="1"/>
          <w:color w:val="auto"/>
        </w:rPr>
        <w:t>[***]</w:t>
      </w:r>
    </w:p>
    <w:p>
      <w:pPr>
        <w:spacing w:after="0" w:line="200" w:lineRule="exact"/>
        <w:rPr>
          <w:sz w:val="20"/>
          <w:szCs w:val="20"/>
          <w:color w:val="auto"/>
        </w:rPr>
      </w:pPr>
    </w:p>
    <w:p>
      <w:pPr>
        <w:sectPr>
          <w:pgSz w:w="11900" w:h="16838" w:orient="portrait"/>
          <w:cols w:equalWidth="0" w:num="2">
            <w:col w:w="1980" w:space="360"/>
            <w:col w:w="7580"/>
          </w:cols>
          <w:pgMar w:left="980" w:top="355"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type w:val="continuous"/>
        </w:sectPr>
      </w:pPr>
    </w:p>
    <w:bookmarkStart w:id="147" w:name="page148"/>
    <w:bookmarkEnd w:id="147"/>
    <w:p>
      <w:pPr>
        <w:ind w:left="2340"/>
        <w:spacing w:after="0"/>
        <w:rPr>
          <w:sz w:val="20"/>
          <w:szCs w:val="20"/>
          <w:color w:val="auto"/>
        </w:rPr>
      </w:pPr>
      <w:r>
        <w:rPr>
          <w:rFonts w:ascii="Arial" w:cs="Arial" w:eastAsia="Arial" w:hAnsi="Arial"/>
          <w:sz w:val="22"/>
          <w:szCs w:val="22"/>
          <w:color w:val="auto"/>
        </w:rPr>
        <w:t xml:space="preserve">Tel: </w:t>
      </w:r>
      <w:r>
        <w:rPr>
          <w:rFonts w:ascii="Arial" w:cs="Arial" w:eastAsia="Arial" w:hAnsi="Arial"/>
          <w:sz w:val="22"/>
          <w:szCs w:val="22"/>
          <w:b w:val="1"/>
          <w:bCs w:val="1"/>
          <w:color w:val="auto"/>
        </w:rPr>
        <w:t>[***]</w:t>
      </w:r>
    </w:p>
    <w:p>
      <w:pPr>
        <w:spacing w:after="0" w:line="239"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Clifford Chance PartmbB</w:t>
      </w:r>
    </w:p>
    <w:p>
      <w:pPr>
        <w:ind w:left="2340"/>
        <w:spacing w:after="0" w:line="238" w:lineRule="auto"/>
        <w:rPr>
          <w:sz w:val="20"/>
          <w:szCs w:val="20"/>
          <w:color w:val="auto"/>
        </w:rPr>
      </w:pPr>
      <w:r>
        <w:rPr>
          <w:rFonts w:ascii="Arial" w:cs="Arial" w:eastAsia="Arial" w:hAnsi="Arial"/>
          <w:sz w:val="22"/>
          <w:szCs w:val="22"/>
          <w:color w:val="auto"/>
        </w:rPr>
        <w:t>Junghofstraße 14</w:t>
      </w:r>
    </w:p>
    <w:p>
      <w:pPr>
        <w:ind w:left="2340"/>
        <w:spacing w:after="0" w:line="230" w:lineRule="auto"/>
        <w:rPr>
          <w:sz w:val="20"/>
          <w:szCs w:val="20"/>
          <w:color w:val="auto"/>
        </w:rPr>
      </w:pPr>
      <w:r>
        <w:rPr>
          <w:rFonts w:ascii="Arial" w:cs="Arial" w:eastAsia="Arial" w:hAnsi="Arial"/>
          <w:sz w:val="22"/>
          <w:szCs w:val="22"/>
          <w:color w:val="auto"/>
        </w:rPr>
        <w:t>60311 Frankfurt am Main</w:t>
      </w:r>
    </w:p>
    <w:p>
      <w:pPr>
        <w:ind w:left="2340"/>
        <w:spacing w:after="0" w:line="231" w:lineRule="auto"/>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b w:val="1"/>
          <w:bCs w:val="1"/>
          <w:color w:val="auto"/>
        </w:rPr>
        <w:t>[***]</w:t>
      </w:r>
    </w:p>
    <w:p>
      <w:pPr>
        <w:ind w:left="2340"/>
        <w:spacing w:after="0" w:line="230" w:lineRule="auto"/>
        <w:rPr>
          <w:sz w:val="20"/>
          <w:szCs w:val="20"/>
          <w:color w:val="auto"/>
        </w:rPr>
      </w:pPr>
      <w:r>
        <w:rPr>
          <w:rFonts w:ascii="Arial" w:cs="Arial" w:eastAsia="Arial" w:hAnsi="Arial"/>
          <w:sz w:val="22"/>
          <w:szCs w:val="22"/>
          <w:color w:val="auto"/>
        </w:rPr>
        <w:t xml:space="preserve">Tel.: </w:t>
      </w:r>
      <w:r>
        <w:rPr>
          <w:rFonts w:ascii="Arial" w:cs="Arial" w:eastAsia="Arial" w:hAnsi="Arial"/>
          <w:sz w:val="22"/>
          <w:szCs w:val="22"/>
          <w:b w:val="1"/>
          <w:bCs w:val="1"/>
          <w:color w:val="auto"/>
        </w:rPr>
        <w:t>[***]</w:t>
      </w:r>
    </w:p>
    <w:p>
      <w:pPr>
        <w:spacing w:after="0" w:line="1"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 xml:space="preserve">Fax: </w:t>
      </w:r>
      <w:r>
        <w:rPr>
          <w:rFonts w:ascii="Arial" w:cs="Arial" w:eastAsia="Arial" w:hAnsi="Arial"/>
          <w:sz w:val="22"/>
          <w:szCs w:val="22"/>
          <w:b w:val="1"/>
          <w:bCs w:val="1"/>
          <w:color w:val="auto"/>
        </w:rPr>
        <w: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Except as otherwise expressly provided in this Agreement or mutually agreed in writing, any notice, communication or document (excluding payment) required to be given or made shall be deemed given or made and effective upon actual receipt or, if earlier, (a) three (3) Business Days after deposit with an internationally-recognized overnight express courier with charges prepaid, or (b) five (5) Business Days after mailed by certified, registered, or regular mail, postage prepaid, in each case addressed to a Parties at its address stated above or to such other address as such Party may designate by written notice given in accordance with this </w:t>
      </w:r>
      <w:r>
        <w:rPr>
          <w:rFonts w:ascii="Arial" w:cs="Arial" w:eastAsia="Arial" w:hAnsi="Arial"/>
          <w:sz w:val="19"/>
          <w:szCs w:val="19"/>
          <w:u w:val="single" w:color="auto"/>
          <w:color w:val="auto"/>
        </w:rPr>
        <w:t>Section 14.2</w:t>
      </w:r>
      <w:r>
        <w:rPr>
          <w:rFonts w:ascii="Arial" w:cs="Arial" w:eastAsia="Arial" w:hAnsi="Arial"/>
          <w:sz w:val="19"/>
          <w:szCs w:val="19"/>
          <w:color w:val="auto"/>
        </w:rPr>
        <w:t>.</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Delaware, without regard to the application of principles of conflicts of law.</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14.4 </w:t>
      </w:r>
      <w:r>
        <w:rPr>
          <w:rFonts w:ascii="Arial" w:cs="Arial" w:eastAsia="Arial" w:hAnsi="Arial"/>
          <w:sz w:val="22"/>
          <w:szCs w:val="22"/>
          <w:u w:val="single" w:color="auto"/>
          <w:color w:val="auto"/>
        </w:rPr>
        <w:t>Competition Law</w:t>
      </w:r>
      <w:r>
        <w:rPr>
          <w:rFonts w:ascii="Arial" w:cs="Arial" w:eastAsia="Arial" w:hAnsi="Arial"/>
          <w:sz w:val="22"/>
          <w:szCs w:val="22"/>
          <w:color w:val="auto"/>
        </w:rPr>
        <w:t>. TG and Company agree that nothing in this Agreement shall be interpreted in a way that conflicts with EC Regulation 1217/2010 on research and development agreements, or EC Regulation 316/2014 on technology transfer agreements, as issued by the European Commission, or Competition Act 1998 (Research and Development Agreements Block Exemption) Order 2022, in each case, as may be amended or replaced from time to time.</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14.5 </w:t>
      </w: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be binding upon and inure to the benefit of the Parties and their respective legal representatives, successors, and permitted assigns.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14.6 </w:t>
      </w:r>
      <w:r>
        <w:rPr>
          <w:rFonts w:ascii="Arial" w:cs="Arial" w:eastAsia="Arial" w:hAnsi="Arial"/>
          <w:sz w:val="22"/>
          <w:szCs w:val="22"/>
          <w:u w:val="single" w:color="auto"/>
          <w:color w:val="auto"/>
        </w:rPr>
        <w:t>Headings</w:t>
      </w:r>
      <w:r>
        <w:rPr>
          <w:rFonts w:ascii="Arial" w:cs="Arial" w:eastAsia="Arial" w:hAnsi="Arial"/>
          <w:sz w:val="22"/>
          <w:szCs w:val="22"/>
          <w:color w:val="auto"/>
        </w:rPr>
        <w:t>. Section and subsection headings are inserted for convenience of reference only and do not form a part of this Agreement.</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14.7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simultaneously in two or more counterparts, each of which shall be deemed an original and both of which, together, shall constitute a single agreement.</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14.8 </w:t>
      </w:r>
      <w:r>
        <w:rPr>
          <w:rFonts w:ascii="Arial" w:cs="Arial" w:eastAsia="Arial" w:hAnsi="Arial"/>
          <w:sz w:val="19"/>
          <w:szCs w:val="19"/>
          <w:u w:val="single" w:color="auto"/>
          <w:color w:val="auto"/>
        </w:rPr>
        <w:t>Amendment; Waiver</w:t>
      </w:r>
      <w:r>
        <w:rPr>
          <w:rFonts w:ascii="Arial" w:cs="Arial" w:eastAsia="Arial" w:hAnsi="Arial"/>
          <w:sz w:val="19"/>
          <w:szCs w:val="19"/>
          <w:color w:val="auto"/>
        </w:rPr>
        <w:t>. This Agreement may be amended, modified, superseded, or canceled, and any of the terms of this Agreement may be waived, only by a written instrument executed by each Party or, in the case of waiver, by the Party or Parties waiving compliance. The delay or failure of either Party at any time or times to require performance of any provisions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148" w:name="page149"/>
    <w:bookmarkEnd w:id="148"/>
    <w:p>
      <w:pPr>
        <w:jc w:val="both"/>
        <w:ind w:firstLine="648"/>
        <w:spacing w:after="0"/>
        <w:rPr>
          <w:sz w:val="20"/>
          <w:szCs w:val="20"/>
          <w:color w:val="auto"/>
        </w:rPr>
      </w:pPr>
      <w:r>
        <w:rPr>
          <w:rFonts w:ascii="Arial" w:cs="Arial" w:eastAsia="Arial" w:hAnsi="Arial"/>
          <w:sz w:val="22"/>
          <w:szCs w:val="22"/>
          <w:color w:val="auto"/>
        </w:rPr>
        <w:t xml:space="preserve">14.9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Sections 13.1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13.2</w:t>
      </w:r>
      <w:r>
        <w:rPr>
          <w:rFonts w:ascii="Arial" w:cs="Arial" w:eastAsia="Arial" w:hAnsi="Arial"/>
          <w:sz w:val="22"/>
          <w:szCs w:val="22"/>
          <w:color w:val="auto"/>
        </w:rPr>
        <w:t>, no Third Party (including, without limitation, employees of either Party) shall have or acquire any rights by reason of this Agreement.</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14.10 </w:t>
      </w:r>
      <w:r>
        <w:rPr>
          <w:rFonts w:ascii="Arial" w:cs="Arial" w:eastAsia="Arial" w:hAnsi="Arial"/>
          <w:sz w:val="19"/>
          <w:szCs w:val="19"/>
          <w:u w:val="single" w:color="auto"/>
          <w:color w:val="auto"/>
        </w:rPr>
        <w:t>Purposes and Scope</w:t>
      </w:r>
      <w:r>
        <w:rPr>
          <w:rFonts w:ascii="Arial" w:cs="Arial" w:eastAsia="Arial" w:hAnsi="Arial"/>
          <w:sz w:val="19"/>
          <w:szCs w:val="19"/>
          <w:color w:val="auto"/>
        </w:rPr>
        <w:t>. The Parties hereto understand and agree that this relationship is limited to the activities, rights, and obligations as set forth in this Agreement and the Supply Agreement. Nothing in this Agreement shall be construed (a) to create or imply a general partnership between the Parties, (b) to make either Party the agent of the other for any purpose, (c) to alter, amend, supersede, or vitiate any other arrangements between the Parties with respect to any subject matters not covered hereunder, (d) to give either Party the right to bind the other, (e) to create any duties or obligations between the Parties except as expressly set forth herein, or (f) to grant any direct or implied licenses or any other right other than as expressly set forth herein.</w:t>
      </w:r>
    </w:p>
    <w:p>
      <w:pPr>
        <w:spacing w:after="0" w:line="1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14.11 </w:t>
      </w:r>
      <w:r>
        <w:rPr>
          <w:rFonts w:ascii="Arial" w:cs="Arial" w:eastAsia="Arial" w:hAnsi="Arial"/>
          <w:sz w:val="19"/>
          <w:szCs w:val="19"/>
          <w:u w:val="single" w:color="auto"/>
          <w:color w:val="auto"/>
        </w:rPr>
        <w:t>Assignment and Successors</w:t>
      </w:r>
      <w:r>
        <w:rPr>
          <w:rFonts w:ascii="Arial" w:cs="Arial" w:eastAsia="Arial" w:hAnsi="Arial"/>
          <w:sz w:val="19"/>
          <w:szCs w:val="19"/>
          <w:color w:val="auto"/>
        </w:rPr>
        <w:t xml:space="preserve">. Neither this Agreement nor any obligation of a Party hereunder may be assigned by either Party without the consent of the other, except that each Party may assign this Agreement and the rights, obligations and interests of such Party, (a) in whole or in part, to any of its Affiliates, provided, however, that the assigning Party shall continue to remain responsible for the exercise of the rights and the performance of the obligations under this Agreement of any such Affiliates and provided further that, if such assignee ceases to be an Affiliate, such assignment shall be automatically reversed and such assigned rights, obligations and interests shall be deemed automatically by that fact re-assigned to the assigning Party immediately before such cessation, and (b) in whole, but not in part, to any purchaser of all of its assets or all of its assets to which this Agreement relates; provided, however, that any such purchaser shall, for the avoidance of doubt, acknowledge and agree in writing to be bound by the provisions of this Agreement, including, without limitation and for the avoidance of doubt, the provisions set forth in </w:t>
      </w:r>
      <w:r>
        <w:rPr>
          <w:rFonts w:ascii="Arial" w:cs="Arial" w:eastAsia="Arial" w:hAnsi="Arial"/>
          <w:sz w:val="19"/>
          <w:szCs w:val="19"/>
          <w:u w:val="single" w:color="auto"/>
          <w:color w:val="auto"/>
        </w:rPr>
        <w:t>Sections 2.2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2.4</w:t>
      </w:r>
      <w:r>
        <w:rPr>
          <w:rFonts w:ascii="Arial" w:cs="Arial" w:eastAsia="Arial" w:hAnsi="Arial"/>
          <w:sz w:val="19"/>
          <w:szCs w:val="19"/>
          <w:color w:val="auto"/>
        </w:rPr>
        <w:t>. Notwithstanding any provision to the contrary, Company acknowledges and agrees that TG shall have the right to assign, make collateral assignments of, and/or otherwise encumber, in whole or in part, this Agreement in connection with Third Party financing transactions of TG and/or its Affiliates either on a generally secured basis or, if pertaining exclusively or primarily to this Agreement then only if such collateral assignment or other encumbrance does not and may not, in the ordinary course (which shall, for the avoidance of doubt, include enforcement of such assignment or other encumbrance) , lead to (i) TG no longer being a party to this Agreement and/or (ii) the performance of obligations by TG hereunder being impaired. Additionally, notwithstanding any provision to the contrary, Company shall, and shall request the applicable Permira branded funds managed or advised by Permira Beteiligungsberatungs GmbH (or one of its Affiliates) to in good faith consider inviting TG to participate in a structured auction process regarding the sale of Company or Neuraxpharm group. Should strategic bidders also be invited to participate in such process, Company shall notify TG that a structured sales process has been initiated at the point in time at which an information memorandum or similar marketing material typically used to obtain non-binding offers are sent out to interested parties.</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14.12 </w:t>
      </w:r>
      <w:r>
        <w:rPr>
          <w:rFonts w:ascii="Arial" w:cs="Arial" w:eastAsia="Arial" w:hAnsi="Arial"/>
          <w:sz w:val="22"/>
          <w:szCs w:val="22"/>
          <w:u w:val="single" w:color="auto"/>
          <w:color w:val="auto"/>
        </w:rPr>
        <w:t>Force Majeure</w:t>
      </w:r>
      <w:r>
        <w:rPr>
          <w:rFonts w:ascii="Arial" w:cs="Arial" w:eastAsia="Arial" w:hAnsi="Arial"/>
          <w:sz w:val="22"/>
          <w:szCs w:val="22"/>
          <w:color w:val="auto"/>
        </w:rPr>
        <w:t>. Except with respect to breaches of any payment obligations set forth herein: neither Company nor TG shall be liable for failure of or delay in performing obligations set forth in this Agreement, and neither shall be deemed in breach of its obligations, if such failure or delay is due to a Force Majeure. In event of such Force Majeure, the Party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49" w:name="page150"/>
    <w:bookmarkEnd w:id="149"/>
    <w:p>
      <w:pPr>
        <w:spacing w:after="0"/>
        <w:rPr>
          <w:sz w:val="20"/>
          <w:szCs w:val="20"/>
          <w:color w:val="auto"/>
        </w:rPr>
      </w:pPr>
      <w:r>
        <w:rPr>
          <w:rFonts w:ascii="Arial" w:cs="Arial" w:eastAsia="Arial" w:hAnsi="Arial"/>
          <w:sz w:val="19"/>
          <w:szCs w:val="19"/>
          <w:color w:val="auto"/>
        </w:rPr>
        <w:t>shall use reasonable efforts to cure or overcome the same and resume performance of its obligations hereunder.</w:t>
      </w:r>
    </w:p>
    <w:p>
      <w:pPr>
        <w:spacing w:after="0" w:line="24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14.13 </w:t>
      </w:r>
      <w:r>
        <w:rPr>
          <w:rFonts w:ascii="Arial" w:cs="Arial" w:eastAsia="Arial" w:hAnsi="Arial"/>
          <w:sz w:val="21"/>
          <w:szCs w:val="21"/>
          <w:u w:val="single" w:color="auto"/>
          <w:color w:val="auto"/>
        </w:rPr>
        <w:t>Interpretation</w:t>
      </w:r>
      <w:r>
        <w:rPr>
          <w:rFonts w:ascii="Arial" w:cs="Arial" w:eastAsia="Arial" w:hAnsi="Arial"/>
          <w:sz w:val="21"/>
          <w:szCs w:val="21"/>
          <w:color w:val="auto"/>
        </w:rPr>
        <w:t>. The Parties hereto acknowledge and agree that: (a) each Party and its counsel reviewed and 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each Party and not in a favor of or against either Party, regardless of which Party was generally responsible for the preparation of this Agreement. In addition, unless a context otherwise requires, wherever used, the singular shall include the plural, the plural the singular, the use of any gender shall be applicable to all genders, the word “or” is used in the inclusive sense (and/or), and the word “including” is used without limitation and means “including without limitation”.</w:t>
      </w:r>
    </w:p>
    <w:p>
      <w:pPr>
        <w:spacing w:after="0" w:line="18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14.14 </w:t>
      </w:r>
      <w:r>
        <w:rPr>
          <w:rFonts w:ascii="Arial" w:cs="Arial" w:eastAsia="Arial" w:hAnsi="Arial"/>
          <w:sz w:val="21"/>
          <w:szCs w:val="21"/>
          <w:u w:val="single" w:color="auto"/>
          <w:color w:val="auto"/>
        </w:rPr>
        <w:t>Integration; Severability</w:t>
      </w:r>
      <w:r>
        <w:rPr>
          <w:rFonts w:ascii="Arial" w:cs="Arial" w:eastAsia="Arial" w:hAnsi="Arial"/>
          <w:sz w:val="21"/>
          <w:szCs w:val="21"/>
          <w:color w:val="auto"/>
        </w:rPr>
        <w:t>. This Agreement, together with the Supply Agreement, sets forth the entire agreement with respect to the subject matter hereof and supersedes all other agreements and understandings between the Parties with respect to such subject matter. If any provision of this Agreement is or becomes invalid or is ruled invalid by any court of competent jurisdiction or is deemed unenforceable, it is the intention of the Parties that the remainder of this Agreement shall not be affected.</w:t>
      </w:r>
    </w:p>
    <w:p>
      <w:pPr>
        <w:spacing w:after="0" w:line="17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14.15 </w:t>
      </w:r>
      <w:r>
        <w:rPr>
          <w:rFonts w:ascii="Arial" w:cs="Arial" w:eastAsia="Arial" w:hAnsi="Arial"/>
          <w:sz w:val="21"/>
          <w:szCs w:val="21"/>
          <w:u w:val="single" w:color="auto"/>
          <w:color w:val="auto"/>
        </w:rPr>
        <w:t>Further Assurances</w:t>
      </w:r>
      <w:r>
        <w:rPr>
          <w:rFonts w:ascii="Arial" w:cs="Arial" w:eastAsia="Arial" w:hAnsi="Arial"/>
          <w:sz w:val="21"/>
          <w:szCs w:val="21"/>
          <w:color w:val="auto"/>
        </w:rPr>
        <w:t>. Each of TG and Company agrees to duly execute and deliver, or cause to be duly executed and delivered, such further instruments and do and cause to be done such further acts and things, including, without limitation, the filing of such additional assignments, agreements, documents, and instruments, as the other Party may at any time and from time to time reasonably request in connection with this Agreement or to carry out more effectively the provisions and purposes of, or to better assure and confirm unto such other Party its rights and remedies under, this Agreement. Without limiting the generality of the foregoing, Company agrees, from time to time and upon TG’s reasonable request, to enter into such further agreements as necessary under Applicable Laws, including, without limitation, data protection agreements, quality agreements, and others, as needed.</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14.16 </w:t>
      </w:r>
      <w:r>
        <w:rPr>
          <w:rFonts w:ascii="Arial" w:cs="Arial" w:eastAsia="Arial" w:hAnsi="Arial"/>
          <w:sz w:val="22"/>
          <w:szCs w:val="22"/>
          <w:u w:val="single" w:color="auto"/>
          <w:color w:val="auto"/>
        </w:rPr>
        <w:t>Joint and several liability</w:t>
      </w:r>
      <w:r>
        <w:rPr>
          <w:rFonts w:ascii="Arial" w:cs="Arial" w:eastAsia="Arial" w:hAnsi="Arial"/>
          <w:sz w:val="22"/>
          <w:szCs w:val="22"/>
          <w:color w:val="auto"/>
        </w:rPr>
        <w:t>. TG Therapeutics, Inc. and TG Biologics, Inc. shall be jointly and severally liable for the obligations of TG under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50" w:name="page151"/>
    <w:bookmarkEnd w:id="150"/>
    <w:p>
      <w:pPr>
        <w:ind w:firstLine="648"/>
        <w:spacing w:after="0" w:line="250" w:lineRule="auto"/>
        <w:rPr>
          <w:sz w:val="20"/>
          <w:szCs w:val="20"/>
          <w:color w:val="auto"/>
        </w:rPr>
      </w:pPr>
      <w:r>
        <w:rPr>
          <w:rFonts w:ascii="Arial" w:cs="Arial" w:eastAsia="Arial" w:hAnsi="Arial"/>
          <w:sz w:val="22"/>
          <w:szCs w:val="22"/>
          <w:color w:val="auto"/>
        </w:rPr>
        <w:t>IN WITNESS WHEREOF, the Parties have caused this Agreement to be executed by their duly authorized representatives.</w:t>
      </w:r>
    </w:p>
    <w:p>
      <w:pPr>
        <w:spacing w:after="0" w:line="182"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NEURAXPHARM PHARMACEUTICALS S.L.</w:t>
      </w:r>
    </w:p>
    <w:p>
      <w:pPr>
        <w:spacing w:after="0" w:line="200" w:lineRule="exact"/>
        <w:rPr>
          <w:sz w:val="20"/>
          <w:szCs w:val="20"/>
          <w:color w:val="auto"/>
        </w:rPr>
      </w:pPr>
    </w:p>
    <w:p>
      <w:pPr>
        <w:spacing w:after="0" w:line="29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-635</wp:posOffset>
            </wp:positionV>
            <wp:extent cx="27349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34945" cy="8890"/>
                    </a:xfrm>
                    <a:prstGeom prst="rect">
                      <a:avLst/>
                    </a:prstGeom>
                    <a:noFill/>
                  </pic:spPr>
                </pic:pic>
              </a:graphicData>
            </a:graphic>
          </wp:anchor>
        </w:drawing>
      </w:r>
    </w:p>
    <w:p>
      <w:pPr>
        <w:ind w:left="4960"/>
        <w:spacing w:after="0" w:line="238" w:lineRule="auto"/>
        <w:rPr>
          <w:sz w:val="20"/>
          <w:szCs w:val="20"/>
          <w:color w:val="auto"/>
        </w:rPr>
      </w:pPr>
      <w:r>
        <w:rPr>
          <w:rFonts w:ascii="Arial" w:cs="Arial" w:eastAsia="Arial" w:hAnsi="Arial"/>
          <w:sz w:val="22"/>
          <w:szCs w:val="22"/>
          <w:color w:val="auto"/>
        </w:rPr>
        <w:t>Name: Burghard Burczyk-Adelsberger</w:t>
      </w:r>
    </w:p>
    <w:p>
      <w:pPr>
        <w:ind w:left="4960"/>
        <w:spacing w:after="0"/>
        <w:tabs>
          <w:tab w:leader="none" w:pos="5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in his capacity as the legal representative of</w:t>
      </w:r>
    </w:p>
    <w:p>
      <w:pPr>
        <w:spacing w:after="0" w:line="1" w:lineRule="exact"/>
        <w:rPr>
          <w:sz w:val="20"/>
          <w:szCs w:val="20"/>
          <w:color w:val="auto"/>
        </w:rPr>
      </w:pPr>
    </w:p>
    <w:p>
      <w:pPr>
        <w:ind w:left="5600"/>
        <w:spacing w:after="0"/>
        <w:rPr>
          <w:sz w:val="20"/>
          <w:szCs w:val="20"/>
          <w:color w:val="auto"/>
        </w:rPr>
      </w:pPr>
      <w:r>
        <w:rPr>
          <w:rFonts w:ascii="Arial" w:cs="Arial" w:eastAsia="Arial" w:hAnsi="Arial"/>
          <w:sz w:val="21"/>
          <w:szCs w:val="21"/>
          <w:color w:val="auto"/>
        </w:rPr>
        <w:t>Neuraxpharm HoldCo Iberia S.L.U., being the</w:t>
      </w:r>
    </w:p>
    <w:p>
      <w:pPr>
        <w:spacing w:after="0" w:line="2" w:lineRule="exact"/>
        <w:rPr>
          <w:sz w:val="20"/>
          <w:szCs w:val="20"/>
          <w:color w:val="auto"/>
        </w:rPr>
      </w:pPr>
    </w:p>
    <w:p>
      <w:pPr>
        <w:ind w:left="5600"/>
        <w:spacing w:after="0"/>
        <w:rPr>
          <w:sz w:val="20"/>
          <w:szCs w:val="20"/>
          <w:color w:val="auto"/>
        </w:rPr>
      </w:pPr>
      <w:r>
        <w:rPr>
          <w:rFonts w:ascii="Arial" w:cs="Arial" w:eastAsia="Arial" w:hAnsi="Arial"/>
          <w:sz w:val="21"/>
          <w:szCs w:val="21"/>
          <w:color w:val="auto"/>
        </w:rPr>
        <w:t>sole director of Neuraxpharm Pharmaceuticals</w:t>
      </w:r>
    </w:p>
    <w:p>
      <w:pPr>
        <w:spacing w:after="0" w:line="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S.L.</w:t>
      </w:r>
    </w:p>
    <w:p>
      <w:pPr>
        <w:spacing w:after="0" w:line="200" w:lineRule="exact"/>
        <w:rPr>
          <w:sz w:val="20"/>
          <w:szCs w:val="20"/>
          <w:color w:val="auto"/>
        </w:rPr>
      </w:pPr>
    </w:p>
    <w:p>
      <w:pPr>
        <w:spacing w:after="0" w:line="252"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CEO of NEURAXPHARM GROUP</w:t>
      </w:r>
    </w:p>
    <w:p>
      <w:pPr>
        <w:spacing w:after="0" w:line="200" w:lineRule="exact"/>
        <w:rPr>
          <w:sz w:val="20"/>
          <w:szCs w:val="20"/>
          <w:color w:val="auto"/>
        </w:rPr>
      </w:pPr>
    </w:p>
    <w:p>
      <w:pPr>
        <w:spacing w:after="0" w:line="29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-635</wp:posOffset>
            </wp:positionV>
            <wp:extent cx="27349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34945" cy="8255"/>
                    </a:xfrm>
                    <a:prstGeom prst="rect">
                      <a:avLst/>
                    </a:prstGeom>
                    <a:noFill/>
                  </pic:spPr>
                </pic:pic>
              </a:graphicData>
            </a:graphic>
          </wp:anchor>
        </w:drawing>
      </w:r>
    </w:p>
    <w:p>
      <w:pPr>
        <w:ind w:left="4960"/>
        <w:spacing w:after="0" w:line="238" w:lineRule="auto"/>
        <w:rPr>
          <w:sz w:val="20"/>
          <w:szCs w:val="20"/>
          <w:color w:val="auto"/>
        </w:rPr>
      </w:pPr>
      <w:r>
        <w:rPr>
          <w:rFonts w:ascii="Arial" w:cs="Arial" w:eastAsia="Arial" w:hAnsi="Arial"/>
          <w:sz w:val="22"/>
          <w:szCs w:val="22"/>
          <w:color w:val="auto"/>
        </w:rPr>
        <w:t>Name: Dr. Jörg Thomas Dierks</w:t>
      </w:r>
    </w:p>
    <w:p>
      <w:pPr>
        <w:ind w:left="4960"/>
        <w:spacing w:after="0"/>
        <w:tabs>
          <w:tab w:leader="none" w:pos="5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52"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TG THERAPEUTICS, INC.</w:t>
      </w:r>
    </w:p>
    <w:p>
      <w:pPr>
        <w:spacing w:after="0" w:line="200" w:lineRule="exact"/>
        <w:rPr>
          <w:sz w:val="20"/>
          <w:szCs w:val="20"/>
          <w:color w:val="auto"/>
        </w:rPr>
      </w:pPr>
    </w:p>
    <w:p>
      <w:pPr>
        <w:spacing w:after="0" w:line="29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-635</wp:posOffset>
            </wp:positionV>
            <wp:extent cx="27349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734945" cy="8255"/>
                    </a:xfrm>
                    <a:prstGeom prst="rect">
                      <a:avLst/>
                    </a:prstGeom>
                    <a:noFill/>
                  </pic:spPr>
                </pic:pic>
              </a:graphicData>
            </a:graphic>
          </wp:anchor>
        </w:drawing>
      </w:r>
    </w:p>
    <w:p>
      <w:pPr>
        <w:ind w:left="4960"/>
        <w:spacing w:after="0" w:line="238" w:lineRule="auto"/>
        <w:rPr>
          <w:sz w:val="20"/>
          <w:szCs w:val="20"/>
          <w:color w:val="auto"/>
        </w:rPr>
      </w:pPr>
      <w:r>
        <w:rPr>
          <w:rFonts w:ascii="Arial" w:cs="Arial" w:eastAsia="Arial" w:hAnsi="Arial"/>
          <w:sz w:val="22"/>
          <w:szCs w:val="22"/>
          <w:color w:val="auto"/>
        </w:rPr>
        <w:t>Name: Michael S. Weiss</w:t>
      </w:r>
    </w:p>
    <w:p>
      <w:pPr>
        <w:ind w:left="4960"/>
        <w:spacing w:after="0"/>
        <w:tabs>
          <w:tab w:leader="none" w:pos="5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52"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TG BIOLOGICS, INC.</w:t>
      </w:r>
    </w:p>
    <w:p>
      <w:pPr>
        <w:spacing w:after="0" w:line="200" w:lineRule="exact"/>
        <w:rPr>
          <w:sz w:val="20"/>
          <w:szCs w:val="20"/>
          <w:color w:val="auto"/>
        </w:rPr>
      </w:pPr>
    </w:p>
    <w:p>
      <w:pPr>
        <w:spacing w:after="0" w:line="29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-635</wp:posOffset>
            </wp:positionV>
            <wp:extent cx="27349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34945" cy="8255"/>
                    </a:xfrm>
                    <a:prstGeom prst="rect">
                      <a:avLst/>
                    </a:prstGeom>
                    <a:noFill/>
                  </pic:spPr>
                </pic:pic>
              </a:graphicData>
            </a:graphic>
          </wp:anchor>
        </w:drawing>
      </w:r>
    </w:p>
    <w:p>
      <w:pPr>
        <w:ind w:left="4960"/>
        <w:spacing w:after="0" w:line="238" w:lineRule="auto"/>
        <w:rPr>
          <w:sz w:val="20"/>
          <w:szCs w:val="20"/>
          <w:color w:val="auto"/>
        </w:rPr>
      </w:pPr>
      <w:r>
        <w:rPr>
          <w:rFonts w:ascii="Arial" w:cs="Arial" w:eastAsia="Arial" w:hAnsi="Arial"/>
          <w:sz w:val="22"/>
          <w:szCs w:val="22"/>
          <w:color w:val="auto"/>
        </w:rPr>
        <w:t>Name: Michael S. Weiss</w:t>
      </w:r>
    </w:p>
    <w:p>
      <w:pPr>
        <w:ind w:left="4960"/>
        <w:spacing w:after="0"/>
        <w:tabs>
          <w:tab w:leader="none" w:pos="5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51" w:name="page152"/>
    <w:bookmarkEnd w:id="151"/>
    <w:p>
      <w:pPr>
        <w:jc w:val="right"/>
        <w:ind w:right="3679"/>
        <w:spacing w:after="0"/>
        <w:rPr>
          <w:sz w:val="20"/>
          <w:szCs w:val="20"/>
          <w:color w:val="auto"/>
        </w:rPr>
      </w:pPr>
      <w:r>
        <w:rPr>
          <w:rFonts w:ascii="Arial" w:cs="Arial" w:eastAsia="Arial" w:hAnsi="Arial"/>
          <w:sz w:val="22"/>
          <w:szCs w:val="22"/>
          <w:b w:val="1"/>
          <w:bCs w:val="1"/>
          <w:u w:val="single" w:color="auto"/>
          <w:color w:val="auto"/>
        </w:rPr>
        <w:t>SCHEDULE 3.1.2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98" w:right="1440" w:bottom="1440" w:gutter="0" w:footer="0" w:header="0"/>
        </w:sectPr>
      </w:pPr>
    </w:p>
    <w:bookmarkStart w:id="152" w:name="page153"/>
    <w:bookmarkEnd w:id="152"/>
    <w:p>
      <w:pPr>
        <w:jc w:val="center"/>
        <w:spacing w:after="0"/>
        <w:rPr>
          <w:sz w:val="20"/>
          <w:szCs w:val="20"/>
          <w:color w:val="auto"/>
        </w:rPr>
      </w:pPr>
      <w:r>
        <w:rPr>
          <w:rFonts w:ascii="Arial" w:cs="Arial" w:eastAsia="Arial" w:hAnsi="Arial"/>
          <w:sz w:val="19"/>
          <w:szCs w:val="19"/>
          <w:b w:val="1"/>
          <w:bCs w:val="1"/>
          <w:u w:val="single" w:color="auto"/>
          <w:color w:val="auto"/>
        </w:rPr>
        <w:t>SCHEDULE 3.2.1(b)</w:t>
      </w:r>
    </w:p>
    <w:p>
      <w:pPr>
        <w:sectPr>
          <w:pgSz w:w="11900" w:h="16838" w:orient="portrait"/>
          <w:cols w:equalWidth="0" w:num="1">
            <w:col w:w="9019"/>
          </w:cols>
          <w:pgMar w:left="1440" w:top="3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386715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type w:val="continuous"/>
        </w:sectPr>
      </w:pPr>
    </w:p>
    <w:bookmarkStart w:id="153" w:name="page154"/>
    <w:bookmarkEnd w:id="153"/>
    <w:p>
      <w:pPr>
        <w:jc w:val="right"/>
        <w:ind w:right="3559"/>
        <w:spacing w:after="0"/>
        <w:rPr>
          <w:sz w:val="20"/>
          <w:szCs w:val="20"/>
          <w:color w:val="auto"/>
        </w:rPr>
      </w:pPr>
      <w:r>
        <w:rPr>
          <w:rFonts w:ascii="Arial" w:cs="Arial" w:eastAsia="Arial" w:hAnsi="Arial"/>
          <w:sz w:val="22"/>
          <w:szCs w:val="22"/>
          <w:b w:val="1"/>
          <w:bCs w:val="1"/>
          <w:u w:val="single" w:color="auto"/>
          <w:color w:val="auto"/>
        </w:rPr>
        <w:t>SCHEDULE 4.2.2(c)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55" w:right="1440" w:bottom="1440" w:gutter="0" w:footer="0" w:header="0"/>
        </w:sectPr>
      </w:pPr>
    </w:p>
    <w:bookmarkStart w:id="154" w:name="page155"/>
    <w:bookmarkEnd w:id="154"/>
    <w:p>
      <w:pPr>
        <w:jc w:val="right"/>
        <w:ind w:right="3619"/>
        <w:spacing w:after="0"/>
        <w:rPr>
          <w:sz w:val="20"/>
          <w:szCs w:val="20"/>
          <w:color w:val="auto"/>
        </w:rPr>
      </w:pPr>
      <w:r>
        <w:rPr>
          <w:rFonts w:ascii="Arial" w:cs="Arial" w:eastAsia="Arial" w:hAnsi="Arial"/>
          <w:sz w:val="22"/>
          <w:szCs w:val="22"/>
          <w:b w:val="1"/>
          <w:bCs w:val="1"/>
          <w:u w:val="single" w:color="auto"/>
          <w:color w:val="auto"/>
        </w:rPr>
        <w:t>SCHEDULE 7.3(A)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55" w:right="1440" w:bottom="1440" w:gutter="0" w:footer="0" w:header="0"/>
        </w:sectPr>
      </w:pPr>
    </w:p>
    <w:bookmarkStart w:id="155" w:name="page156"/>
    <w:bookmarkEnd w:id="155"/>
    <w:p>
      <w:pPr>
        <w:jc w:val="right"/>
        <w:ind w:right="3619"/>
        <w:spacing w:after="0"/>
        <w:rPr>
          <w:sz w:val="20"/>
          <w:szCs w:val="20"/>
          <w:color w:val="auto"/>
        </w:rPr>
      </w:pPr>
      <w:r>
        <w:rPr>
          <w:rFonts w:ascii="Arial" w:cs="Arial" w:eastAsia="Arial" w:hAnsi="Arial"/>
          <w:sz w:val="22"/>
          <w:szCs w:val="22"/>
          <w:b w:val="1"/>
          <w:bCs w:val="1"/>
          <w:u w:val="single" w:color="auto"/>
          <w:color w:val="auto"/>
        </w:rPr>
        <w:t>SCHEDULE 7.3(B)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98" w:right="1440" w:bottom="1440" w:gutter="0" w:footer="0" w:header="0"/>
        </w:sectPr>
      </w:pPr>
    </w:p>
    <w:bookmarkStart w:id="156" w:name="page157"/>
    <w:bookmarkEnd w:id="156"/>
    <w:p>
      <w:pPr>
        <w:jc w:val="right"/>
        <w:ind w:right="3679"/>
        <w:spacing w:after="0"/>
        <w:rPr>
          <w:sz w:val="20"/>
          <w:szCs w:val="20"/>
          <w:color w:val="auto"/>
        </w:rPr>
      </w:pPr>
      <w:r>
        <w:rPr>
          <w:rFonts w:ascii="Arial" w:cs="Arial" w:eastAsia="Arial" w:hAnsi="Arial"/>
          <w:sz w:val="22"/>
          <w:szCs w:val="22"/>
          <w:b w:val="1"/>
          <w:bCs w:val="1"/>
          <w:u w:val="single" w:color="auto"/>
          <w:color w:val="auto"/>
        </w:rPr>
        <w:t>SCHEDULE 8.3.5</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55" w:right="1440" w:bottom="1440" w:gutter="0" w:footer="0" w:header="0"/>
        </w:sectPr>
      </w:pPr>
    </w:p>
    <w:bookmarkStart w:id="157" w:name="page158"/>
    <w:bookmarkEnd w:id="157"/>
    <w:p>
      <w:pPr>
        <w:jc w:val="right"/>
        <w:ind w:right="3679"/>
        <w:spacing w:after="0"/>
        <w:rPr>
          <w:sz w:val="20"/>
          <w:szCs w:val="20"/>
          <w:color w:val="auto"/>
        </w:rPr>
      </w:pPr>
      <w:r>
        <w:rPr>
          <w:rFonts w:ascii="Arial" w:cs="Arial" w:eastAsia="Arial" w:hAnsi="Arial"/>
          <w:sz w:val="22"/>
          <w:szCs w:val="22"/>
          <w:b w:val="1"/>
          <w:bCs w:val="1"/>
          <w:u w:val="single" w:color="auto"/>
          <w:color w:val="auto"/>
        </w:rPr>
        <w:t>SCHEDULE 8.3.6</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55" w:right="1440" w:bottom="1440" w:gutter="0" w:footer="0" w:header="0"/>
        </w:sectPr>
      </w:pPr>
    </w:p>
    <w:bookmarkStart w:id="158" w:name="page159"/>
    <w:bookmarkEnd w:id="158"/>
    <w:p>
      <w:pPr>
        <w:jc w:val="right"/>
        <w:ind w:right="3379"/>
        <w:spacing w:after="0"/>
        <w:rPr>
          <w:sz w:val="20"/>
          <w:szCs w:val="20"/>
          <w:color w:val="auto"/>
        </w:rPr>
      </w:pPr>
      <w:r>
        <w:rPr>
          <w:rFonts w:ascii="Arial" w:cs="Arial" w:eastAsia="Arial" w:hAnsi="Arial"/>
          <w:sz w:val="22"/>
          <w:szCs w:val="22"/>
          <w:b w:val="1"/>
          <w:bCs w:val="1"/>
          <w:u w:val="single" w:color="auto"/>
          <w:color w:val="auto"/>
        </w:rPr>
        <w:t>SCHEDULE 11.2.5(a)(v)</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55" w:right="1440" w:bottom="1440" w:gutter="0" w:footer="0" w:header="0"/>
        </w:sectPr>
      </w:pPr>
    </w:p>
    <w:bookmarkStart w:id="159" w:name="page160"/>
    <w:bookmarkEnd w:id="159"/>
    <w:p>
      <w:pPr>
        <w:jc w:val="right"/>
        <w:ind w:right="3499"/>
        <w:spacing w:after="0"/>
        <w:rPr>
          <w:sz w:val="20"/>
          <w:szCs w:val="20"/>
          <w:color w:val="auto"/>
        </w:rPr>
      </w:pPr>
      <w:r>
        <w:rPr>
          <w:rFonts w:ascii="Arial" w:cs="Arial" w:eastAsia="Arial" w:hAnsi="Arial"/>
          <w:sz w:val="22"/>
          <w:szCs w:val="22"/>
          <w:b w:val="1"/>
          <w:bCs w:val="1"/>
          <w:u w:val="single" w:color="auto"/>
          <w:color w:val="auto"/>
        </w:rPr>
        <w:t>SCHEDULE 12.2.2(a)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55" w:right="1440" w:bottom="1440" w:gutter="0" w:footer="0" w:header="0"/>
        </w:sectPr>
      </w:pPr>
    </w:p>
    <w:bookmarkStart w:id="160" w:name="page161"/>
    <w:bookmarkEnd w:id="160"/>
    <w:p>
      <w:pPr>
        <w:jc w:val="right"/>
        <w:ind w:right="3499"/>
        <w:spacing w:after="0"/>
        <w:rPr>
          <w:sz w:val="20"/>
          <w:szCs w:val="20"/>
          <w:color w:val="auto"/>
        </w:rPr>
      </w:pPr>
      <w:r>
        <w:rPr>
          <w:rFonts w:ascii="Arial" w:cs="Arial" w:eastAsia="Arial" w:hAnsi="Arial"/>
          <w:sz w:val="22"/>
          <w:szCs w:val="22"/>
          <w:b w:val="1"/>
          <w:bCs w:val="1"/>
          <w:u w:val="single" w:color="auto"/>
          <w:color w:val="auto"/>
        </w:rPr>
        <w:t>SCHEDULE 12.2.2(b)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55" w:right="1440" w:bottom="1440" w:gutter="0" w:footer="0" w:header="0"/>
        </w:sectPr>
      </w:pPr>
    </w:p>
    <w:bookmarkStart w:id="161" w:name="page162"/>
    <w:bookmarkEnd w:id="161"/>
    <w:p>
      <w:pPr>
        <w:jc w:val="right"/>
        <w:ind w:right="3499"/>
        <w:spacing w:after="0"/>
        <w:rPr>
          <w:sz w:val="20"/>
          <w:szCs w:val="20"/>
          <w:color w:val="auto"/>
        </w:rPr>
      </w:pPr>
      <w:r>
        <w:rPr>
          <w:rFonts w:ascii="Arial" w:cs="Arial" w:eastAsia="Arial" w:hAnsi="Arial"/>
          <w:sz w:val="22"/>
          <w:szCs w:val="22"/>
          <w:b w:val="1"/>
          <w:bCs w:val="1"/>
          <w:u w:val="single" w:color="auto"/>
          <w:color w:val="auto"/>
        </w:rPr>
        <w:t>SCHEDULE 12.2.2(c)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55" w:right="1440" w:bottom="1440" w:gutter="0" w:footer="0" w:header="0"/>
        </w:sectPr>
      </w:pPr>
    </w:p>
    <w:bookmarkStart w:id="162" w:name="page163"/>
    <w:bookmarkEnd w:id="162"/>
    <w:p>
      <w:pPr>
        <w:jc w:val="right"/>
        <w:ind w:right="3959"/>
        <w:spacing w:after="0"/>
        <w:rPr>
          <w:sz w:val="20"/>
          <w:szCs w:val="20"/>
          <w:color w:val="auto"/>
        </w:rPr>
      </w:pPr>
      <w:r>
        <w:rPr>
          <w:rFonts w:ascii="Arial" w:cs="Arial" w:eastAsia="Arial" w:hAnsi="Arial"/>
          <w:sz w:val="22"/>
          <w:szCs w:val="22"/>
          <w:b w:val="1"/>
          <w:bCs w:val="1"/>
          <w:u w:val="single" w:color="auto"/>
          <w:color w:val="auto"/>
        </w:rPr>
        <w:t>EXHIBIT 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55" w:right="1440" w:bottom="1440" w:gutter="0" w:footer="0" w:header="0"/>
        </w:sectPr>
      </w:pPr>
    </w:p>
    <w:bookmarkStart w:id="163" w:name="page164"/>
    <w:bookmarkEnd w:id="163"/>
    <w:p>
      <w:pPr>
        <w:jc w:val="right"/>
        <w:ind w:right="3959"/>
        <w:spacing w:after="0"/>
        <w:rPr>
          <w:sz w:val="20"/>
          <w:szCs w:val="20"/>
          <w:color w:val="auto"/>
        </w:rPr>
      </w:pPr>
      <w:r>
        <w:rPr>
          <w:rFonts w:ascii="Arial" w:cs="Arial" w:eastAsia="Arial" w:hAnsi="Arial"/>
          <w:sz w:val="22"/>
          <w:szCs w:val="22"/>
          <w:b w:val="1"/>
          <w:bCs w:val="1"/>
          <w:u w:val="single" w:color="auto"/>
          <w:color w:val="auto"/>
        </w:rPr>
        <w:t>EXHIBIT B</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1080135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98" w:right="1440" w:bottom="1440" w:gutter="0" w:footer="0" w:header="0"/>
        </w:sectPr>
      </w:pPr>
    </w:p>
    <w:bookmarkStart w:id="164" w:name="page165"/>
    <w:bookmarkEnd w:id="164"/>
    <w:p>
      <w:pPr>
        <w:jc w:val="center"/>
        <w:ind w:right="-460"/>
        <w:spacing w:after="0"/>
        <w:rPr>
          <w:sz w:val="20"/>
          <w:szCs w:val="20"/>
          <w:color w:val="auto"/>
        </w:rPr>
      </w:pPr>
      <w:r>
        <w:rPr>
          <w:rFonts w:ascii="Arial" w:cs="Arial" w:eastAsia="Arial" w:hAnsi="Arial"/>
          <w:sz w:val="22"/>
          <w:szCs w:val="22"/>
          <w:b w:val="1"/>
          <w:bCs w:val="1"/>
          <w:u w:val="single" w:color="auto"/>
          <w:color w:val="auto"/>
        </w:rPr>
        <w:t>EXHIBIT C</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u w:val="single" w:color="auto"/>
          <w:color w:val="auto"/>
        </w:rPr>
        <w:t>PRESS RELEASE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To be attached.</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1361440</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98" w:right="1440" w:bottom="1440" w:gutter="0" w:footer="0" w:header="0"/>
        </w:sectPr>
      </w:pPr>
    </w:p>
    <w:bookmarkStart w:id="165" w:name="page166"/>
    <w:bookmarkEnd w:id="165"/>
    <w:p>
      <w:pPr>
        <w:jc w:val="right"/>
        <w:ind w:right="3959"/>
        <w:spacing w:after="0"/>
        <w:rPr>
          <w:sz w:val="20"/>
          <w:szCs w:val="20"/>
          <w:color w:val="auto"/>
        </w:rPr>
      </w:pPr>
      <w:r>
        <w:rPr>
          <w:rFonts w:ascii="Arial" w:cs="Arial" w:eastAsia="Arial" w:hAnsi="Arial"/>
          <w:sz w:val="22"/>
          <w:szCs w:val="22"/>
          <w:b w:val="1"/>
          <w:bCs w:val="1"/>
          <w:u w:val="single" w:color="auto"/>
          <w:color w:val="auto"/>
        </w:rPr>
        <w:t>EXHIBIT 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1097280</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55" w:right="1440" w:bottom="1440" w:gutter="0" w:footer="0" w:header="0"/>
        </w:sectPr>
      </w:pPr>
    </w:p>
    <w:bookmarkStart w:id="166" w:name="page167"/>
    <w:bookmarkEnd w:id="166"/>
    <w:p>
      <w:pPr>
        <w:jc w:val="center"/>
        <w:ind w:right="-440"/>
        <w:spacing w:after="0"/>
        <w:rPr>
          <w:sz w:val="20"/>
          <w:szCs w:val="20"/>
          <w:color w:val="auto"/>
        </w:rPr>
      </w:pPr>
      <w:r>
        <w:rPr>
          <w:rFonts w:ascii="Arial" w:cs="Arial" w:eastAsia="Arial" w:hAnsi="Arial"/>
          <w:sz w:val="19"/>
          <w:szCs w:val="19"/>
          <w:b w:val="1"/>
          <w:bCs w:val="1"/>
          <w:u w:val="single" w:color="auto"/>
          <w:color w:val="auto"/>
        </w:rPr>
        <w:t>Exhibit 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1080135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55" w:right="1440" w:bottom="1440" w:gutter="0" w:footer="0" w:header="0"/>
        </w:sectPr>
      </w:pPr>
    </w:p>
    <w:bookmarkStart w:id="167" w:name="page168"/>
    <w:bookmarkEnd w:id="167"/>
    <w:p>
      <w:pPr>
        <w:jc w:val="center"/>
        <w:ind w:right="-440"/>
        <w:spacing w:after="0"/>
        <w:rPr>
          <w:sz w:val="20"/>
          <w:szCs w:val="20"/>
          <w:color w:val="auto"/>
        </w:rPr>
      </w:pPr>
      <w:r>
        <w:rPr>
          <w:rFonts w:ascii="Arial" w:cs="Arial" w:eastAsia="Arial" w:hAnsi="Arial"/>
          <w:sz w:val="19"/>
          <w:szCs w:val="19"/>
          <w:b w:val="1"/>
          <w:bCs w:val="1"/>
          <w:u w:val="single" w:color="auto"/>
          <w:color w:val="auto"/>
        </w:rPr>
        <w:t>Exhibit F</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1217295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55" w:right="1440" w:bottom="1440" w:gutter="0" w:footer="0" w:header="0"/>
        </w:sectPr>
      </w:pPr>
    </w:p>
    <w:bookmarkStart w:id="168" w:name="page169"/>
    <w:bookmarkEnd w:id="168"/>
    <w:p>
      <w:pPr>
        <w:jc w:val="right"/>
        <w:ind w:right="3759"/>
        <w:spacing w:after="0"/>
        <w:rPr>
          <w:sz w:val="20"/>
          <w:szCs w:val="20"/>
          <w:color w:val="auto"/>
        </w:rPr>
      </w:pPr>
      <w:r>
        <w:rPr>
          <w:rFonts w:ascii="Arial" w:cs="Arial" w:eastAsia="Arial" w:hAnsi="Arial"/>
          <w:sz w:val="22"/>
          <w:szCs w:val="22"/>
          <w:b w:val="1"/>
          <w:bCs w:val="1"/>
          <w:u w:val="single" w:color="auto"/>
          <w:color w:val="auto"/>
        </w:rPr>
        <w:t>SCHEDULE 5.1</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788670</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355" w:right="1440" w:bottom="1440" w:gutter="0" w:footer="0" w:header="0"/>
        </w:sectPr>
      </w:pPr>
    </w:p>
    <w:bookmarkStart w:id="169" w:name="page170"/>
    <w:bookmarkEnd w:id="169"/>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80" w:hanging="330"/>
        <w:spacing w:after="0"/>
        <w:tabs>
          <w:tab w:leader="none" w:pos="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59" w:hanging="326"/>
        <w:spacing w:after="0" w:line="259" w:lineRule="auto"/>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Date: August 4, 2023</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r>
      <w:tr>
        <w:trPr>
          <w:trHeight w:val="993"/>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sectPr>
      </w:pPr>
    </w:p>
    <w:bookmarkStart w:id="170" w:name="page171"/>
    <w:bookmarkEnd w:id="170"/>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80" w:hanging="330"/>
        <w:spacing w:after="0"/>
        <w:tabs>
          <w:tab w:leader="none" w:pos="3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59" w:hanging="326"/>
        <w:spacing w:after="0" w:line="259" w:lineRule="auto"/>
        <w:tabs>
          <w:tab w:leader="none" w:pos="7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Date: August 4, 2023</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sectPr>
      </w:pPr>
    </w:p>
    <w:bookmarkStart w:id="171" w:name="page172"/>
    <w:bookmarkEnd w:id="171"/>
    <w:p>
      <w:pPr>
        <w:ind w:left="80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2023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spacing w:after="0" w:line="187" w:lineRule="exact"/>
        <w:rPr>
          <w:sz w:val="20"/>
          <w:szCs w:val="20"/>
          <w:color w:val="auto"/>
        </w:rPr>
      </w:pPr>
    </w:p>
    <w:p>
      <w:pPr>
        <w:ind w:left="700" w:right="79" w:hanging="326"/>
        <w:spacing w:after="0" w:line="277" w:lineRule="auto"/>
        <w:tabs>
          <w:tab w:leader="none" w:pos="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Date: August 4, 2023</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r>
      <w:tr>
        <w:trPr>
          <w:trHeight w:val="993"/>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sectPr>
      </w:pPr>
    </w:p>
    <w:bookmarkStart w:id="172" w:name="page173"/>
    <w:bookmarkEnd w:id="172"/>
    <w:p>
      <w:pPr>
        <w:ind w:left="80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2023 as filed with the Securities and Exchange Commission (the “Report”), I, Sean A. Power, Chief Financial Officer of the Company, certify, pursuant to 18 U.S.C. §1350, as adopted pursuant to §906 of the Sarbanes-Oxley Act of 2002, that, based on my knowledge:</w:t>
      </w:r>
    </w:p>
    <w:p>
      <w:pPr>
        <w:spacing w:after="0" w:line="187" w:lineRule="exact"/>
        <w:rPr>
          <w:sz w:val="20"/>
          <w:szCs w:val="20"/>
          <w:color w:val="auto"/>
        </w:rPr>
      </w:pPr>
    </w:p>
    <w:p>
      <w:pPr>
        <w:ind w:left="700" w:right="79" w:hanging="326"/>
        <w:spacing w:after="0" w:line="277" w:lineRule="auto"/>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Date: August 4, 2023</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1)"/>
      <w:numFmt w:val="lowerRoman"/>
      <w:start w:val="2"/>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lvl w:ilvl="1">
      <w:lvlJc w:val="left"/>
      <w:lvlText w:val="●"/>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1."/>
      <w:numFmt w:val="decimal"/>
      <w:start w:val="1"/>
    </w:lvl>
  </w:abstractNum>
  <w:abstractNum w:abstractNumId="46">
    <w:nsid w:val="6A5EE64"/>
    <w:multiLevelType w:val="hybridMultilevel"/>
    <w:lvl w:ilvl="0">
      <w:lvlJc w:val="left"/>
      <w:lvlText w:val="(%1)"/>
      <w:numFmt w:val="lowerLetter"/>
      <w:start w:val="1"/>
    </w:lvl>
  </w:abstractNum>
  <w:abstractNum w:abstractNumId="47">
    <w:nsid w:val="14330624"/>
    <w:multiLevelType w:val="hybridMultilevel"/>
    <w:lvl w:ilvl="0">
      <w:lvlJc w:val="left"/>
      <w:lvlText w:val="(%1)"/>
      <w:numFmt w:val="lowerLetter"/>
      <w:start w:val="2"/>
    </w:lvl>
  </w:abstractNum>
  <w:abstractNum w:abstractNumId="48">
    <w:nsid w:val="7FFFCA11"/>
    <w:multiLevelType w:val="hybridMultilevel"/>
    <w:lvl w:ilvl="0">
      <w:lvlJc w:val="left"/>
      <w:lvlText w:val="(%1)"/>
      <w:numFmt w:val="lowerLetter"/>
      <w:start w:val="25"/>
    </w:lvl>
  </w:abstractNum>
  <w:abstractNum w:abstractNumId="49">
    <w:nsid w:val="1A27709E"/>
    <w:multiLevelType w:val="hybridMultilevel"/>
    <w:lvl w:ilvl="0">
      <w:lvlJc w:val="left"/>
      <w:lvlText w:val="(%1)"/>
      <w:numFmt w:val="lowerLetter"/>
      <w:start w:val="25"/>
    </w:lvl>
  </w:abstractNum>
  <w:abstractNum w:abstractNumId="50">
    <w:nsid w:val="71EA1109"/>
    <w:multiLevelType w:val="hybridMultilevel"/>
    <w:lvl w:ilvl="0">
      <w:lvlJc w:val="left"/>
      <w:lvlText w:val="(%1)"/>
      <w:numFmt w:val="lowerRoman"/>
      <w:start w:val="2"/>
    </w:lvl>
  </w:abstractNum>
  <w:abstractNum w:abstractNumId="51">
    <w:nsid w:val="100F59DC"/>
    <w:multiLevelType w:val="hybridMultilevel"/>
    <w:lvl w:ilvl="0">
      <w:lvlJc w:val="left"/>
      <w:lvlText w:val="(%1)"/>
      <w:numFmt w:val="lowerRoman"/>
      <w:start w:val="1"/>
    </w:lvl>
  </w:abstractNum>
  <w:abstractNum w:abstractNumId="52">
    <w:nsid w:val="7FB7E0AA"/>
    <w:multiLevelType w:val="hybridMultilevel"/>
    <w:lvl w:ilvl="0">
      <w:lvlJc w:val="left"/>
      <w:lvlText w:val="(%1)"/>
      <w:numFmt w:val="lowerLetter"/>
      <w:start w:val="3"/>
    </w:lvl>
  </w:abstractNum>
  <w:abstractNum w:abstractNumId="53">
    <w:nsid w:val="6EB5BD4"/>
    <w:multiLevelType w:val="hybridMultilevel"/>
    <w:lvl w:ilvl="0">
      <w:lvlJc w:val="left"/>
      <w:lvlText w:val="(%1)"/>
      <w:numFmt w:val="lowerRoman"/>
      <w:start w:val="2"/>
    </w:lvl>
    <w:lvl w:ilvl="1">
      <w:lvlJc w:val="left"/>
      <w:lvlText w:val="%2."/>
      <w:numFmt w:val="decimal"/>
      <w:start w:val="2"/>
    </w:lvl>
  </w:abstractNum>
  <w:abstractNum w:abstractNumId="54">
    <w:nsid w:val="6F6DD9AC"/>
    <w:multiLevelType w:val="hybridMultilevel"/>
    <w:lvl w:ilvl="0">
      <w:lvlJc w:val="left"/>
      <w:lvlText w:val="(%1)"/>
      <w:numFmt w:val="lowerLetter"/>
      <w:start w:val="1"/>
    </w:lvl>
  </w:abstractNum>
  <w:abstractNum w:abstractNumId="55">
    <w:nsid w:val="94211F2"/>
    <w:multiLevelType w:val="hybridMultilevel"/>
    <w:lvl w:ilvl="0">
      <w:lvlJc w:val="left"/>
      <w:lvlText w:val="·"/>
      <w:numFmt w:val="bullet"/>
      <w:start w:val="1"/>
    </w:lvl>
  </w:abstractNum>
  <w:abstractNum w:abstractNumId="56">
    <w:nsid w:val="885E1B"/>
    <w:multiLevelType w:val="hybridMultilevel"/>
    <w:lvl w:ilvl="0">
      <w:lvlJc w:val="left"/>
      <w:lvlText w:val="(%1)"/>
      <w:numFmt w:val="lowerLetter"/>
      <w:start w:val="1"/>
    </w:lvl>
  </w:abstractNum>
  <w:abstractNum w:abstractNumId="57">
    <w:nsid w:val="76272110"/>
    <w:multiLevelType w:val="hybridMultilevel"/>
    <w:lvl w:ilvl="0">
      <w:lvlJc w:val="left"/>
      <w:lvlText w:val="(%1)"/>
      <w:numFmt w:val="lowerLetter"/>
      <w:start w:val="61"/>
    </w:lvl>
    <w:lvl w:ilvl="1">
      <w:lvlJc w:val="left"/>
      <w:lvlText w:val="(%2)"/>
      <w:numFmt w:val="lowerLetter"/>
      <w:start w:val="3"/>
    </w:lvl>
  </w:abstractNum>
  <w:abstractNum w:abstractNumId="58">
    <w:nsid w:val="4C04A8AF"/>
    <w:multiLevelType w:val="hybridMultilevel"/>
    <w:lvl w:ilvl="0">
      <w:lvlJc w:val="left"/>
      <w:lvlText w:val="(%1)"/>
      <w:numFmt w:val="lowerLetter"/>
      <w:start w:val="5"/>
    </w:lvl>
  </w:abstractNum>
  <w:abstractNum w:abstractNumId="59">
    <w:nsid w:val="1716703B"/>
    <w:multiLevelType w:val="hybridMultilevel"/>
    <w:lvl w:ilvl="0">
      <w:lvlJc w:val="left"/>
      <w:lvlText w:val="(%1)"/>
      <w:numFmt w:val="lowerLetter"/>
      <w:start w:val="4"/>
    </w:lvl>
  </w:abstractNum>
  <w:abstractNum w:abstractNumId="60">
    <w:nsid w:val="14E17E33"/>
    <w:multiLevelType w:val="hybridMultilevel"/>
    <w:lvl w:ilvl="0">
      <w:lvlJc w:val="left"/>
      <w:lvlText w:val="(%1)"/>
      <w:numFmt w:val="lowerLetter"/>
      <w:start w:val="25"/>
    </w:lvl>
    <w:lvl w:ilvl="1">
      <w:lvlJc w:val="left"/>
      <w:lvlText w:val="%2."/>
      <w:numFmt w:val="decimal"/>
      <w:start w:val="3"/>
    </w:lvl>
  </w:abstractNum>
  <w:abstractNum w:abstractNumId="61">
    <w:nsid w:val="3222E7CD"/>
    <w:multiLevelType w:val="hybridMultilevel"/>
    <w:lvl w:ilvl="0">
      <w:lvlJc w:val="left"/>
      <w:lvlText w:val="(%1)"/>
      <w:numFmt w:val="lowerLetter"/>
      <w:start w:val="1"/>
    </w:lvl>
  </w:abstractNum>
  <w:abstractNum w:abstractNumId="62">
    <w:nsid w:val="74DE0EE3"/>
    <w:multiLevelType w:val="hybridMultilevel"/>
    <w:lvl w:ilvl="0">
      <w:lvlJc w:val="left"/>
      <w:lvlText w:val="%1"/>
      <w:numFmt w:val="lowerLetter"/>
      <w:start w:val="1"/>
    </w:lvl>
    <w:lvl w:ilvl="1">
      <w:lvlJc w:val="left"/>
      <w:lvlText w:val="(%2)"/>
      <w:numFmt w:val="lowerLetter"/>
      <w:start w:val="1"/>
    </w:lvl>
  </w:abstractNum>
  <w:abstractNum w:abstractNumId="63">
    <w:nsid w:val="68EBC550"/>
    <w:multiLevelType w:val="hybridMultilevel"/>
    <w:lvl w:ilvl="0">
      <w:lvlJc w:val="left"/>
      <w:lvlText w:val="(%1)"/>
      <w:numFmt w:val="lowerLetter"/>
      <w:start w:val="9"/>
    </w:lvl>
    <w:lvl w:ilvl="1">
      <w:lvlJc w:val="left"/>
      <w:lvlText w:val="(%2)"/>
      <w:numFmt w:val="lowerLetter"/>
      <w:start w:val="3"/>
    </w:lvl>
  </w:abstractNum>
  <w:abstractNum w:abstractNumId="64">
    <w:nsid w:val="2DF6D648"/>
    <w:multiLevelType w:val="hybridMultilevel"/>
    <w:lvl w:ilvl="0">
      <w:lvlJc w:val="left"/>
      <w:lvlText w:val="(%1)"/>
      <w:numFmt w:val="lowerRoman"/>
      <w:start w:val="2"/>
    </w:lvl>
    <w:lvl w:ilvl="1">
      <w:lvlJc w:val="left"/>
      <w:lvlText w:val="(%2)"/>
      <w:numFmt w:val="lowerLetter"/>
      <w:start w:val="3"/>
    </w:lvl>
    <w:lvl w:ilvl="2">
      <w:lvlJc w:val="left"/>
      <w:lvlText w:val="(%3)"/>
      <w:numFmt w:val="lowerRoman"/>
      <w:start w:val="1"/>
    </w:lvl>
  </w:abstractNum>
  <w:abstractNum w:abstractNumId="65">
    <w:nsid w:val="46B7D447"/>
    <w:multiLevelType w:val="hybridMultilevel"/>
    <w:lvl w:ilvl="0">
      <w:lvlJc w:val="left"/>
      <w:lvlText w:val="(%1)"/>
      <w:numFmt w:val="lowerLetter"/>
      <w:start w:val="1"/>
    </w:lvl>
  </w:abstractNum>
  <w:abstractNum w:abstractNumId="66">
    <w:nsid w:val="4A2AC315"/>
    <w:multiLevelType w:val="hybridMultilevel"/>
    <w:lvl w:ilvl="0">
      <w:lvlJc w:val="left"/>
      <w:lvlText w:val="(%1)"/>
      <w:numFmt w:val="lowerLetter"/>
      <w:start w:val="22"/>
    </w:lvl>
  </w:abstractNum>
  <w:abstractNum w:abstractNumId="67">
    <w:nsid w:val="39EE015C"/>
    <w:multiLevelType w:val="hybridMultilevel"/>
    <w:lvl w:ilvl="0">
      <w:lvlJc w:val="left"/>
      <w:lvlText w:val="%1."/>
      <w:numFmt w:val="decimal"/>
      <w:start w:val="4"/>
    </w:lvl>
  </w:abstractNum>
  <w:abstractNum w:abstractNumId="68">
    <w:nsid w:val="57FC4FBB"/>
    <w:multiLevelType w:val="hybridMultilevel"/>
    <w:lvl w:ilvl="0">
      <w:lvlJc w:val="left"/>
      <w:lvlText w:val="%1."/>
      <w:numFmt w:val="decimal"/>
      <w:start w:val="5"/>
    </w:lvl>
  </w:abstractNum>
  <w:abstractNum w:abstractNumId="69">
    <w:nsid w:val="CC1016F"/>
    <w:multiLevelType w:val="hybridMultilevel"/>
    <w:lvl w:ilvl="0">
      <w:lvlJc w:val="left"/>
      <w:lvlText w:val="(%1)"/>
      <w:numFmt w:val="lowerLetter"/>
      <w:start w:val="1"/>
    </w:lvl>
  </w:abstractNum>
  <w:abstractNum w:abstractNumId="70">
    <w:nsid w:val="43F18422"/>
    <w:multiLevelType w:val="hybridMultilevel"/>
    <w:lvl w:ilvl="0">
      <w:lvlJc w:val="left"/>
      <w:lvlText w:val="(%1)"/>
      <w:numFmt w:val="lowerLetter"/>
      <w:start w:val="1"/>
    </w:lvl>
  </w:abstractNum>
  <w:abstractNum w:abstractNumId="71">
    <w:nsid w:val="60EF0119"/>
    <w:multiLevelType w:val="hybridMultilevel"/>
    <w:lvl w:ilvl="0">
      <w:lvlJc w:val="left"/>
      <w:lvlText w:val="(%1)"/>
      <w:numFmt w:val="lowerLetter"/>
      <w:start w:val="35"/>
    </w:lvl>
    <w:lvl w:ilvl="1">
      <w:lvlJc w:val="left"/>
      <w:lvlText w:val="(%2)"/>
      <w:numFmt w:val="lowerLetter"/>
      <w:start w:val="2"/>
    </w:lvl>
  </w:abstractNum>
  <w:abstractNum w:abstractNumId="72">
    <w:nsid w:val="26F324BA"/>
    <w:multiLevelType w:val="hybridMultilevel"/>
    <w:lvl w:ilvl="0">
      <w:lvlJc w:val="left"/>
      <w:lvlText w:val="(%1)"/>
      <w:numFmt w:val="lowerLetter"/>
      <w:start w:val="3"/>
    </w:lvl>
  </w:abstractNum>
  <w:abstractNum w:abstractNumId="73">
    <w:nsid w:val="7F01579B"/>
    <w:multiLevelType w:val="hybridMultilevel"/>
    <w:lvl w:ilvl="0">
      <w:lvlJc w:val="left"/>
      <w:lvlText w:val="[***]"/>
      <w:numFmt w:val="bullet"/>
      <w:start w:val="1"/>
    </w:lvl>
  </w:abstractNum>
  <w:abstractNum w:abstractNumId="74">
    <w:nsid w:val="49DA307D"/>
    <w:multiLevelType w:val="hybridMultilevel"/>
    <w:lvl w:ilvl="0">
      <w:lvlJc w:val="left"/>
      <w:lvlText w:val="%1."/>
      <w:numFmt w:val="decimal"/>
      <w:start w:val="6"/>
    </w:lvl>
  </w:abstractNum>
  <w:abstractNum w:abstractNumId="75">
    <w:nsid w:val="7055A5F5"/>
    <w:multiLevelType w:val="hybridMultilevel"/>
    <w:lvl w:ilvl="0">
      <w:lvlJc w:val="left"/>
      <w:lvlText w:val="%1."/>
      <w:numFmt w:val="decimal"/>
      <w:start w:val="7"/>
    </w:lvl>
  </w:abstractNum>
  <w:abstractNum w:abstractNumId="76">
    <w:nsid w:val="5FB8370B"/>
    <w:multiLevelType w:val="hybridMultilevel"/>
    <w:lvl w:ilvl="0">
      <w:lvlJc w:val="left"/>
      <w:lvlText w:val="%1."/>
      <w:numFmt w:val="decimal"/>
      <w:start w:val="8"/>
    </w:lvl>
  </w:abstractNum>
  <w:abstractNum w:abstractNumId="77">
    <w:nsid w:val="50801EE1"/>
    <w:multiLevelType w:val="hybridMultilevel"/>
    <w:lvl w:ilvl="0">
      <w:lvlJc w:val="left"/>
      <w:lvlText w:val="(%1)"/>
      <w:numFmt w:val="lowerLetter"/>
      <w:start w:val="1"/>
    </w:lvl>
  </w:abstractNum>
  <w:abstractNum w:abstractNumId="78">
    <w:nsid w:val="488AC1A"/>
    <w:multiLevelType w:val="hybridMultilevel"/>
    <w:lvl w:ilvl="0">
      <w:lvlJc w:val="left"/>
      <w:lvlText w:val="(%1)"/>
      <w:numFmt w:val="lowerLetter"/>
      <w:start w:val="1"/>
    </w:lvl>
  </w:abstractNum>
  <w:abstractNum w:abstractNumId="79">
    <w:nsid w:val="5FB8011C"/>
    <w:multiLevelType w:val="hybridMultilevel"/>
    <w:lvl w:ilvl="0">
      <w:lvlJc w:val="left"/>
      <w:lvlText w:val="(%1)"/>
      <w:numFmt w:val="lowerLetter"/>
      <w:start w:val="3"/>
    </w:lvl>
  </w:abstractNum>
  <w:abstractNum w:abstractNumId="80">
    <w:nsid w:val="6AA78F7F"/>
    <w:multiLevelType w:val="hybridMultilevel"/>
    <w:lvl w:ilvl="0">
      <w:lvlJc w:val="left"/>
      <w:lvlText w:val="(%1)"/>
      <w:numFmt w:val="lowerLetter"/>
      <w:start w:val="4"/>
    </w:lvl>
  </w:abstractNum>
  <w:abstractNum w:abstractNumId="81">
    <w:nsid w:val="7672BD23"/>
    <w:multiLevelType w:val="hybridMultilevel"/>
    <w:lvl w:ilvl="0">
      <w:lvlJc w:val="left"/>
      <w:lvlText w:val="[***]"/>
      <w:numFmt w:val="bullet"/>
      <w:start w:val="1"/>
    </w:lvl>
  </w:abstractNum>
  <w:abstractNum w:abstractNumId="82">
    <w:nsid w:val="6FC75AF8"/>
    <w:multiLevelType w:val="hybridMultilevel"/>
    <w:lvl w:ilvl="0">
      <w:lvlJc w:val="left"/>
      <w:lvlText w:val="[***]"/>
      <w:numFmt w:val="bullet"/>
      <w:start w:val="1"/>
    </w:lvl>
  </w:abstractNum>
  <w:abstractNum w:abstractNumId="83">
    <w:nsid w:val="6A5F7029"/>
    <w:multiLevelType w:val="hybridMultilevel"/>
    <w:lvl w:ilvl="0">
      <w:lvlJc w:val="left"/>
      <w:lvlText w:val="(%1)"/>
      <w:numFmt w:val="lowerLetter"/>
      <w:start w:val="1"/>
    </w:lvl>
  </w:abstractNum>
  <w:abstractNum w:abstractNumId="84">
    <w:nsid w:val="7D5E18F8"/>
    <w:multiLevelType w:val="hybridMultilevel"/>
    <w:lvl w:ilvl="0">
      <w:lvlJc w:val="left"/>
      <w:lvlText w:val="(%1)"/>
      <w:numFmt w:val="lowerLetter"/>
      <w:start w:val="2"/>
    </w:lvl>
  </w:abstractNum>
  <w:abstractNum w:abstractNumId="85">
    <w:nsid w:val="5F3534A4"/>
    <w:multiLevelType w:val="hybridMultilevel"/>
    <w:lvl w:ilvl="0">
      <w:lvlJc w:val="left"/>
      <w:lvlText w:val="(%1)"/>
      <w:numFmt w:val="lowerRoman"/>
      <w:start w:val="1"/>
    </w:lvl>
  </w:abstractNum>
  <w:abstractNum w:abstractNumId="86">
    <w:nsid w:val="73A1821B"/>
    <w:multiLevelType w:val="hybridMultilevel"/>
    <w:lvl w:ilvl="0">
      <w:lvlJc w:val="left"/>
      <w:lvlText w:val="(%1)"/>
      <w:numFmt w:val="lowerRoman"/>
      <w:start w:val="3"/>
    </w:lvl>
  </w:abstractNum>
  <w:abstractNum w:abstractNumId="87">
    <w:nsid w:val="7DE67713"/>
    <w:multiLevelType w:val="hybridMultilevel"/>
    <w:lvl w:ilvl="0">
      <w:lvlJc w:val="left"/>
      <w:lvlText w:val="(%1)"/>
      <w:numFmt w:val="lowerLetter"/>
      <w:start w:val="3"/>
    </w:lvl>
  </w:abstractNum>
  <w:abstractNum w:abstractNumId="88">
    <w:nsid w:val="555C55B5"/>
    <w:multiLevelType w:val="hybridMultilevel"/>
    <w:lvl w:ilvl="0">
      <w:lvlJc w:val="left"/>
      <w:lvlText w:val="%1"/>
      <w:numFmt w:val="decimal"/>
      <w:start w:val="1"/>
    </w:lvl>
    <w:lvl w:ilvl="1">
      <w:lvlJc w:val="left"/>
      <w:lvlText w:val="(%2)"/>
      <w:numFmt w:val="lowerLetter"/>
      <w:start w:val="4"/>
    </w:lvl>
  </w:abstractNum>
  <w:abstractNum w:abstractNumId="89">
    <w:nsid w:val="3FA62ACA"/>
    <w:multiLevelType w:val="hybridMultilevel"/>
    <w:lvl w:ilvl="0">
      <w:lvlJc w:val="left"/>
      <w:lvlText w:val="%1."/>
      <w:numFmt w:val="decimal"/>
      <w:start w:val="9"/>
    </w:lvl>
    <w:lvl w:ilvl="1">
      <w:lvlJc w:val="left"/>
      <w:lvlText w:val="%2"/>
      <w:numFmt w:val="lowerLetter"/>
      <w:start w:val="1"/>
    </w:lvl>
  </w:abstractNum>
  <w:abstractNum w:abstractNumId="90">
    <w:nsid w:val="14FCE74E"/>
    <w:multiLevelType w:val="hybridMultilevel"/>
    <w:lvl w:ilvl="0">
      <w:lvlJc w:val="left"/>
      <w:lvlText w:val="(%1)"/>
      <w:numFmt w:val="lowerLetter"/>
      <w:start w:val="1"/>
    </w:lvl>
  </w:abstractNum>
  <w:abstractNum w:abstractNumId="91">
    <w:nsid w:val="6A3DD3E8"/>
    <w:multiLevelType w:val="hybridMultilevel"/>
    <w:lvl w:ilvl="0">
      <w:lvlJc w:val="left"/>
      <w:lvlText w:val="%1."/>
      <w:numFmt w:val="decimal"/>
      <w:start w:val="10"/>
    </w:lvl>
  </w:abstractNum>
  <w:abstractNum w:abstractNumId="92">
    <w:nsid w:val="71C91298"/>
    <w:multiLevelType w:val="hybridMultilevel"/>
    <w:lvl w:ilvl="0">
      <w:lvlJc w:val="left"/>
      <w:lvlText w:val="(%1)"/>
      <w:numFmt w:val="lowerLetter"/>
      <w:start w:val="1"/>
    </w:lvl>
  </w:abstractNum>
  <w:abstractNum w:abstractNumId="93">
    <w:nsid w:val="9DAF632"/>
    <w:multiLevelType w:val="hybridMultilevel"/>
    <w:lvl w:ilvl="0">
      <w:lvlJc w:val="left"/>
      <w:lvlText w:val="(%1)"/>
      <w:numFmt w:val="lowerLetter"/>
      <w:start w:val="1"/>
    </w:lvl>
  </w:abstractNum>
  <w:abstractNum w:abstractNumId="94">
    <w:nsid w:val="53299938"/>
    <w:multiLevelType w:val="hybridMultilevel"/>
    <w:lvl w:ilvl="0">
      <w:lvlJc w:val="left"/>
      <w:lvlText w:val="(%1)"/>
      <w:numFmt w:val="lowerLetter"/>
      <w:start w:val="1"/>
    </w:lvl>
  </w:abstractNum>
  <w:abstractNum w:abstractNumId="95">
    <w:nsid w:val="1FBFE8E0"/>
    <w:multiLevelType w:val="hybridMultilevel"/>
    <w:lvl w:ilvl="0">
      <w:lvlJc w:val="left"/>
      <w:lvlText w:val="(%1)"/>
      <w:numFmt w:val="lowerLetter"/>
      <w:start w:val="2"/>
    </w:lvl>
  </w:abstractNum>
  <w:abstractNum w:abstractNumId="96">
    <w:nsid w:val="5092CA79"/>
    <w:multiLevelType w:val="hybridMultilevel"/>
    <w:lvl w:ilvl="0">
      <w:lvlJc w:val="left"/>
      <w:lvlText w:val="%1."/>
      <w:numFmt w:val="decimal"/>
      <w:start w:val="11"/>
    </w:lvl>
  </w:abstractNum>
  <w:abstractNum w:abstractNumId="97">
    <w:nsid w:val="1D545C4D"/>
    <w:multiLevelType w:val="hybridMultilevel"/>
    <w:lvl w:ilvl="0">
      <w:lvlJc w:val="left"/>
      <w:lvlText w:val="(%1)"/>
      <w:numFmt w:val="lowerLetter"/>
      <w:start w:val="1"/>
    </w:lvl>
  </w:abstractNum>
  <w:abstractNum w:abstractNumId="98">
    <w:nsid w:val="59ADEA3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99">
    <w:nsid w:val="288F1A3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5"/>
    </w:lvl>
    <w:lvl w:ilvl="3">
      <w:lvlJc w:val="left"/>
      <w:lvlText w:val="%4."/>
      <w:numFmt w:val="upperLetter"/>
      <w:start w:val="1"/>
    </w:lvl>
  </w:abstractNum>
  <w:abstractNum w:abstractNumId="100">
    <w:nsid w:val="2A155DBC"/>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01">
    <w:nsid w:val="1D9F6E5F"/>
    <w:multiLevelType w:val="hybridMultilevel"/>
    <w:lvl w:ilvl="0">
      <w:lvlJc w:val="left"/>
      <w:lvlText w:val="(%1)"/>
      <w:numFmt w:val="lowerRoman"/>
      <w:start w:val="2"/>
    </w:lvl>
  </w:abstractNum>
  <w:abstractNum w:abstractNumId="102">
    <w:nsid w:val="97E1B4E"/>
    <w:multiLevelType w:val="hybridMultilevel"/>
    <w:lvl w:ilvl="0">
      <w:lvlJc w:val="left"/>
      <w:lvlText w:val="(%1)"/>
      <w:numFmt w:val="lowerLetter"/>
      <w:start w:val="1"/>
    </w:lvl>
  </w:abstractNum>
  <w:abstractNum w:abstractNumId="103">
    <w:nsid w:val="51088277"/>
    <w:multiLevelType w:val="hybridMultilevel"/>
    <w:lvl w:ilvl="0">
      <w:lvlJc w:val="left"/>
      <w:lvlText w:val="(%1)"/>
      <w:numFmt w:val="lowerLetter"/>
      <w:start w:val="2"/>
    </w:lvl>
  </w:abstractNum>
  <w:abstractNum w:abstractNumId="104">
    <w:nsid w:val="1CA0C5FA"/>
    <w:multiLevelType w:val="hybridMultilevel"/>
    <w:lvl w:ilvl="0">
      <w:lvlJc w:val="left"/>
      <w:lvlText w:val="(%1)"/>
      <w:numFmt w:val="lowerRoman"/>
      <w:start w:val="1"/>
    </w:lvl>
  </w:abstractNum>
  <w:abstractNum w:abstractNumId="105">
    <w:nsid w:val="53584BCB"/>
    <w:multiLevelType w:val="hybridMultilevel"/>
    <w:lvl w:ilvl="0">
      <w:lvlJc w:val="left"/>
      <w:lvlText w:val="%1."/>
      <w:numFmt w:val="upperLetter"/>
      <w:start w:val="1"/>
    </w:lvl>
  </w:abstractNum>
  <w:abstractNum w:abstractNumId="106">
    <w:nsid w:val="415E286C"/>
    <w:multiLevelType w:val="hybridMultilevel"/>
    <w:lvl w:ilvl="0">
      <w:lvlJc w:val="left"/>
      <w:lvlText w:val="(%1)"/>
      <w:numFmt w:val="lowerLetter"/>
      <w:start w:val="8"/>
    </w:lvl>
  </w:abstractNum>
  <w:abstractNum w:abstractNumId="107">
    <w:nsid w:val="7C58FD05"/>
    <w:multiLevelType w:val="hybridMultilevel"/>
    <w:lvl w:ilvl="0">
      <w:lvlJc w:val="left"/>
      <w:lvlText w:val="(%1)"/>
      <w:numFmt w:val="lowerLetter"/>
      <w:start w:val="1"/>
    </w:lvl>
    <w:lvl w:ilvl="1">
      <w:lvlJc w:val="left"/>
      <w:lvlText w:val="%2."/>
      <w:numFmt w:val="decimal"/>
      <w:start w:val="12"/>
    </w:lvl>
  </w:abstractNum>
  <w:abstractNum w:abstractNumId="108">
    <w:nsid w:val="23D86AAC"/>
    <w:multiLevelType w:val="hybridMultilevel"/>
    <w:lvl w:ilvl="0">
      <w:lvlJc w:val="left"/>
      <w:lvlText w:val="(%1)"/>
      <w:numFmt w:val="lowerLetter"/>
      <w:start w:val="2"/>
    </w:lvl>
  </w:abstractNum>
  <w:abstractNum w:abstractNumId="109">
    <w:nsid w:val="45E6D486"/>
    <w:multiLevelType w:val="hybridMultilevel"/>
    <w:lvl w:ilvl="0">
      <w:lvlJc w:val="left"/>
      <w:lvlText w:val="(%1)"/>
      <w:numFmt w:val="lowerLetter"/>
      <w:start w:val="6"/>
    </w:lvl>
  </w:abstractNum>
  <w:abstractNum w:abstractNumId="110">
    <w:nsid w:val="5C10FE21"/>
    <w:multiLevelType w:val="hybridMultilevel"/>
    <w:lvl w:ilvl="0">
      <w:lvlJc w:val="left"/>
      <w:lvlText w:val="%1."/>
      <w:numFmt w:val="decimal"/>
      <w:start w:val="13"/>
    </w:lvl>
  </w:abstractNum>
  <w:abstractNum w:abstractNumId="111">
    <w:nsid w:val="E7FFA2B"/>
    <w:multiLevelType w:val="hybridMultilevel"/>
    <w:lvl w:ilvl="0">
      <w:lvlJc w:val="left"/>
      <w:lvlText w:val="%1."/>
      <w:numFmt w:val="decimal"/>
      <w:start w:val="14"/>
    </w:lvl>
  </w:abstractNum>
  <w:abstractNum w:abstractNumId="112">
    <w:nsid w:val="3C5991AA"/>
    <w:multiLevelType w:val="hybridMultilevel"/>
    <w:lvl w:ilvl="0">
      <w:lvlJc w:val="left"/>
      <w:lvlText w:val="%1."/>
      <w:numFmt w:val="decimal"/>
      <w:start w:val="1"/>
    </w:lvl>
    <w:lvl w:ilvl="1">
      <w:lvlJc w:val="left"/>
      <w:lvlText w:val="%2)"/>
      <w:numFmt w:val="lowerLetter"/>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2023-08-04T15:45:02Z</dcterms:created>
  <dcterms:modified xsi:type="dcterms:W3CDTF">2023-08-04T15:45:02Z</dcterms:modified>
</cp:coreProperties>
</file>