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377190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-195580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2"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7"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124460</wp:posOffset>
            </wp:positionV>
            <wp:extent cx="16287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46"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141" w:lineRule="exact"/>
        <w:rPr>
          <w:sz w:val="24"/>
          <w:szCs w:val="24"/>
          <w:color w:val="auto"/>
        </w:rPr>
      </w:pPr>
    </w:p>
    <w:p>
      <w:pPr>
        <w:ind w:left="3470" w:right="2120" w:hanging="1360"/>
        <w:spacing w:after="0" w:line="286" w:lineRule="auto"/>
        <w:tabs>
          <w:tab w:leader="none" w:pos="2323"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6"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2022</w:t>
      </w:r>
    </w:p>
    <w:p>
      <w:pPr>
        <w:spacing w:after="0" w:line="77"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77" w:lineRule="exact"/>
        <w:rPr>
          <w:sz w:val="24"/>
          <w:szCs w:val="24"/>
          <w:color w:val="auto"/>
        </w:rPr>
      </w:pPr>
    </w:p>
    <w:p>
      <w:pPr>
        <w:ind w:left="3470" w:right="2100" w:hanging="1367"/>
        <w:spacing w:after="0" w:line="286" w:lineRule="auto"/>
        <w:tabs>
          <w:tab w:leader="none" w:pos="2316"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6"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For the transition period from to</w:t>
      </w:r>
    </w:p>
    <w:p>
      <w:pPr>
        <w:spacing w:after="0" w:line="104"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Commission File Number 001-32639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148590</wp:posOffset>
            </wp:positionV>
            <wp:extent cx="16287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356"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32"/>
          <w:szCs w:val="32"/>
          <w:b w:val="1"/>
          <w:bCs w:val="1"/>
          <w:color w:val="auto"/>
        </w:rPr>
        <w:t>TG THERAPEUTICS, INC.</w:t>
      </w:r>
    </w:p>
    <w:p>
      <w:pPr>
        <w:spacing w:after="0" w:line="45"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0230"/>
          </w:cols>
          <w:pgMar w:left="830" w:top="661" w:right="839" w:bottom="1440" w:gutter="0" w:footer="0" w:header="0"/>
        </w:sectPr>
      </w:pPr>
    </w:p>
    <w:p>
      <w:pPr>
        <w:spacing w:after="0" w:line="93" w:lineRule="exact"/>
        <w:rPr>
          <w:sz w:val="24"/>
          <w:szCs w:val="24"/>
          <w:color w:val="auto"/>
        </w:rPr>
      </w:pPr>
    </w:p>
    <w:p>
      <w:pPr>
        <w:jc w:val="center"/>
        <w:ind w:right="63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630"/>
        <w:spacing w:after="0"/>
        <w:rPr>
          <w:sz w:val="20"/>
          <w:szCs w:val="20"/>
          <w:color w:val="auto"/>
        </w:rPr>
      </w:pPr>
      <w:r>
        <w:rPr>
          <w:rFonts w:ascii="Times New Roman" w:cs="Times New Roman" w:eastAsia="Times New Roman" w:hAnsi="Times New Roman"/>
          <w:sz w:val="17"/>
          <w:szCs w:val="17"/>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18"/>
          <w:szCs w:val="18"/>
          <w:b w:val="1"/>
          <w:bCs w:val="1"/>
          <w:color w:val="auto"/>
        </w:rPr>
        <w:t>36-3898269</w:t>
      </w:r>
    </w:p>
    <w:p>
      <w:pPr>
        <w:spacing w:after="0" w:line="31"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93" w:lineRule="exact"/>
        <w:rPr>
          <w:sz w:val="24"/>
          <w:szCs w:val="24"/>
          <w:color w:val="auto"/>
        </w:rPr>
      </w:pPr>
    </w:p>
    <w:p>
      <w:pPr>
        <w:sectPr>
          <w:pgSz w:w="11900" w:h="16838" w:orient="portrait"/>
          <w:cols w:equalWidth="0" w:num="2">
            <w:col w:w="5550" w:space="720"/>
            <w:col w:w="3960"/>
          </w:cols>
          <w:pgMar w:left="830" w:top="661" w:right="839" w:bottom="1440" w:gutter="0" w:footer="0" w:header="0"/>
          <w:type w:val="continuous"/>
        </w:sectPr>
      </w:pPr>
    </w:p>
    <w:p>
      <w:pPr>
        <w:ind w:left="3950"/>
        <w:spacing w:after="0"/>
        <w:rPr>
          <w:sz w:val="20"/>
          <w:szCs w:val="20"/>
          <w:color w:val="auto"/>
        </w:rPr>
      </w:pPr>
      <w:r>
        <w:rPr>
          <w:rFonts w:ascii="Times New Roman" w:cs="Times New Roman" w:eastAsia="Times New Roman" w:hAnsi="Times New Roman"/>
          <w:sz w:val="18"/>
          <w:szCs w:val="18"/>
          <w:b w:val="1"/>
          <w:bCs w:val="1"/>
          <w:color w:val="auto"/>
        </w:rPr>
        <w:t>2 Gansevoort Street, 9th Floor</w:t>
      </w:r>
    </w:p>
    <w:p>
      <w:pPr>
        <w:spacing w:after="0" w:line="31" w:lineRule="exact"/>
        <w:rPr>
          <w:sz w:val="24"/>
          <w:szCs w:val="24"/>
          <w:color w:val="auto"/>
        </w:rPr>
      </w:pPr>
    </w:p>
    <w:p>
      <w:pPr>
        <w:ind w:left="4050"/>
        <w:spacing w:after="0"/>
        <w:rPr>
          <w:sz w:val="20"/>
          <w:szCs w:val="20"/>
          <w:color w:val="auto"/>
        </w:rPr>
      </w:pPr>
      <w:r>
        <w:rPr>
          <w:rFonts w:ascii="Times New Roman" w:cs="Times New Roman" w:eastAsia="Times New Roman" w:hAnsi="Times New Roman"/>
          <w:sz w:val="18"/>
          <w:szCs w:val="18"/>
          <w:b w:val="1"/>
          <w:bCs w:val="1"/>
          <w:color w:val="auto"/>
        </w:rPr>
        <w:t>New York, New York 10014</w:t>
      </w:r>
    </w:p>
    <w:p>
      <w:pPr>
        <w:spacing w:after="0" w:line="9" w:lineRule="exact"/>
        <w:rPr>
          <w:sz w:val="24"/>
          <w:szCs w:val="24"/>
          <w:color w:val="auto"/>
        </w:rPr>
      </w:pPr>
    </w:p>
    <w:p>
      <w:pPr>
        <w:ind w:left="2990"/>
        <w:spacing w:after="0"/>
        <w:rPr>
          <w:sz w:val="20"/>
          <w:szCs w:val="20"/>
          <w:color w:val="auto"/>
        </w:rPr>
      </w:pPr>
      <w:r>
        <w:rPr>
          <w:rFonts w:ascii="Times New Roman" w:cs="Times New Roman" w:eastAsia="Times New Roman" w:hAnsi="Times New Roman"/>
          <w:sz w:val="18"/>
          <w:szCs w:val="18"/>
          <w:color w:val="auto"/>
        </w:rPr>
        <w:t>(Address including zip code of principal executive offices)</w:t>
      </w:r>
    </w:p>
    <w:p>
      <w:pPr>
        <w:spacing w:after="0" w:line="81" w:lineRule="exact"/>
        <w:rPr>
          <w:sz w:val="24"/>
          <w:szCs w:val="24"/>
          <w:color w:val="auto"/>
        </w:rPr>
      </w:pPr>
    </w:p>
    <w:p>
      <w:pPr>
        <w:ind w:left="4550"/>
        <w:spacing w:after="0"/>
        <w:rPr>
          <w:sz w:val="20"/>
          <w:szCs w:val="20"/>
          <w:color w:val="auto"/>
        </w:rPr>
      </w:pPr>
      <w:r>
        <w:rPr>
          <w:rFonts w:ascii="Times New Roman" w:cs="Times New Roman" w:eastAsia="Times New Roman" w:hAnsi="Times New Roman"/>
          <w:sz w:val="18"/>
          <w:szCs w:val="18"/>
          <w:b w:val="1"/>
          <w:bCs w:val="1"/>
          <w:color w:val="auto"/>
        </w:rPr>
        <w:t>(212) 554-4484</w:t>
      </w:r>
    </w:p>
    <w:p>
      <w:pPr>
        <w:spacing w:after="0" w:line="31" w:lineRule="exact"/>
        <w:rPr>
          <w:sz w:val="24"/>
          <w:szCs w:val="24"/>
          <w:color w:val="auto"/>
        </w:rPr>
      </w:pPr>
    </w:p>
    <w:p>
      <w:pPr>
        <w:ind w:left="323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72" w:lineRule="exact"/>
        <w:rPr>
          <w:sz w:val="24"/>
          <w:szCs w:val="24"/>
          <w:color w:val="auto"/>
        </w:rPr>
      </w:pPr>
    </w:p>
    <w:p>
      <w:pPr>
        <w:ind w:left="1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02"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33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Class</w:t>
            </w:r>
          </w:p>
        </w:tc>
        <w:tc>
          <w:tcPr>
            <w:tcW w:w="34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3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Exchange Name</w:t>
            </w:r>
          </w:p>
        </w:tc>
      </w:tr>
      <w:tr>
        <w:trPr>
          <w:trHeight w:val="210"/>
        </w:trPr>
        <w:tc>
          <w:tcPr>
            <w:tcW w:w="33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w:t>
            </w:r>
          </w:p>
        </w:tc>
        <w:tc>
          <w:tcPr>
            <w:tcW w:w="3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TGTX</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Capital Market</w:t>
            </w:r>
          </w:p>
        </w:tc>
      </w:tr>
    </w:tbl>
    <w:p>
      <w:pPr>
        <w:spacing w:after="0" w:line="76" w:lineRule="exact"/>
        <w:rPr>
          <w:sz w:val="24"/>
          <w:szCs w:val="24"/>
          <w:color w:val="auto"/>
        </w:rPr>
      </w:pPr>
    </w:p>
    <w:p>
      <w:pPr>
        <w:jc w:val="both"/>
        <w:ind w:left="10" w:right="100"/>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ind w:left="1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0" w:lineRule="exact"/>
        <w:rPr>
          <w:sz w:val="24"/>
          <w:szCs w:val="24"/>
          <w:color w:val="auto"/>
        </w:rPr>
      </w:pPr>
    </w:p>
    <w:p>
      <w:pPr>
        <w:ind w:left="10" w:right="260"/>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2" w:lineRule="exact"/>
        <w:rPr>
          <w:sz w:val="24"/>
          <w:szCs w:val="24"/>
          <w:color w:val="auto"/>
        </w:rPr>
      </w:pPr>
    </w:p>
    <w:p>
      <w:pPr>
        <w:ind w:left="210" w:hanging="210"/>
        <w:spacing w:after="0" w:line="207" w:lineRule="exact"/>
        <w:tabs>
          <w:tab w:leader="none" w:pos="21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77" w:lineRule="exact"/>
        <w:rPr>
          <w:sz w:val="24"/>
          <w:szCs w:val="24"/>
          <w:color w:val="auto"/>
        </w:rPr>
      </w:pPr>
    </w:p>
    <w:p>
      <w:pPr>
        <w:ind w:left="10" w:right="16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30"/>
          </w:cols>
          <w:pgMar w:left="830" w:top="661" w:right="839" w:bottom="1440" w:gutter="0" w:footer="0" w:header="0"/>
          <w:type w:val="continuous"/>
        </w:sectPr>
      </w:pPr>
    </w:p>
    <w:p>
      <w:pPr>
        <w:spacing w:after="0" w:line="39" w:lineRule="exact"/>
        <w:rPr>
          <w:sz w:val="24"/>
          <w:szCs w:val="24"/>
          <w:color w:val="auto"/>
        </w:rPr>
      </w:pPr>
    </w:p>
    <w:p>
      <w:pPr>
        <w:ind w:left="10"/>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9"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88" w:lineRule="exact"/>
        <w:rPr>
          <w:sz w:val="24"/>
          <w:szCs w:val="24"/>
          <w:color w:val="auto"/>
        </w:rPr>
      </w:pPr>
    </w:p>
    <w:p>
      <w:pPr>
        <w:sectPr>
          <w:pgSz w:w="11900" w:h="16838" w:orient="portrait"/>
          <w:cols w:equalWidth="0" w:num="2">
            <w:col w:w="8090" w:space="720"/>
            <w:col w:w="1420"/>
          </w:cols>
          <w:pgMar w:left="830" w:top="661" w:right="839" w:bottom="1440" w:gutter="0" w:footer="0" w:header="0"/>
          <w:type w:val="continuous"/>
        </w:sectPr>
      </w:pPr>
    </w:p>
    <w:p>
      <w:pPr>
        <w:ind w:left="10"/>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7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88" w:lineRule="exact"/>
        <w:rPr>
          <w:sz w:val="24"/>
          <w:szCs w:val="24"/>
          <w:color w:val="auto"/>
        </w:rPr>
      </w:pPr>
    </w:p>
    <w:p>
      <w:pPr>
        <w:sectPr>
          <w:pgSz w:w="11900" w:h="16838" w:orient="portrait"/>
          <w:cols w:equalWidth="0" w:num="2">
            <w:col w:w="7330" w:space="720"/>
            <w:col w:w="2180"/>
          </w:cols>
          <w:pgMar w:left="830" w:top="661" w:right="839" w:bottom="1440" w:gutter="0" w:footer="0" w:header="0"/>
          <w:type w:val="continuous"/>
        </w:sectPr>
      </w:pPr>
    </w:p>
    <w:p>
      <w:pPr>
        <w:ind w:left="805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ectPr>
          <w:pgSz w:w="11900" w:h="16838" w:orient="portrait"/>
          <w:cols w:equalWidth="0" w:num="1">
            <w:col w:w="10230"/>
          </w:cols>
          <w:pgMar w:left="830" w:top="661" w:right="839" w:bottom="1440" w:gutter="0" w:footer="0" w:header="0"/>
          <w:type w:val="continuous"/>
        </w:sectPr>
      </w:pPr>
    </w:p>
    <w:p>
      <w:pPr>
        <w:spacing w:after="0" w:line="144" w:lineRule="exact"/>
        <w:rPr>
          <w:sz w:val="24"/>
          <w:szCs w:val="24"/>
          <w:color w:val="auto"/>
        </w:rPr>
      </w:pPr>
    </w:p>
    <w:p>
      <w:pPr>
        <w:ind w:left="10" w:right="2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30" w:lineRule="exact"/>
        <w:rPr>
          <w:sz w:val="24"/>
          <w:szCs w:val="24"/>
          <w:color w:val="auto"/>
        </w:rPr>
      </w:pPr>
    </w:p>
    <w:p>
      <w:pPr>
        <w:ind w:left="10"/>
        <w:spacing w:after="0"/>
        <w:rPr>
          <w:sz w:val="20"/>
          <w:szCs w:val="20"/>
          <w:color w:val="auto"/>
        </w:rPr>
      </w:pPr>
      <w:r>
        <w:rPr>
          <w:rFonts w:ascii="Times New Roman" w:cs="Times New Roman" w:eastAsia="Times New Roman" w:hAnsi="Times New Roman"/>
          <w:sz w:val="18"/>
          <w:szCs w:val="18"/>
          <w:color w:val="auto"/>
        </w:rPr>
        <w:t>Indicate by checkmark whether the registrant is a shell company (as defined in Rule 12b-2 of the Exchange Act).</w:t>
      </w:r>
    </w:p>
    <w:p>
      <w:pPr>
        <w:spacing w:after="0" w:line="27" w:lineRule="exact"/>
        <w:rPr>
          <w:sz w:val="24"/>
          <w:szCs w:val="24"/>
          <w:color w:val="auto"/>
        </w:rPr>
      </w:pPr>
    </w:p>
    <w:p>
      <w:pPr>
        <w:ind w:left="1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2" w:lineRule="exact"/>
        <w:rPr>
          <w:sz w:val="24"/>
          <w:szCs w:val="24"/>
          <w:color w:val="auto"/>
        </w:rPr>
      </w:pPr>
    </w:p>
    <w:p>
      <w:pPr>
        <w:ind w:left="10"/>
        <w:spacing w:after="0"/>
        <w:rPr>
          <w:sz w:val="20"/>
          <w:szCs w:val="20"/>
          <w:color w:val="auto"/>
        </w:rPr>
      </w:pPr>
      <w:r>
        <w:rPr>
          <w:rFonts w:ascii="Times New Roman" w:cs="Times New Roman" w:eastAsia="Times New Roman" w:hAnsi="Times New Roman"/>
          <w:sz w:val="18"/>
          <w:szCs w:val="18"/>
          <w:color w:val="auto"/>
        </w:rPr>
        <w:t>There were 145,274,048 shares of the registrant’s common stock, $0.001 par value, outstanding as of August 2,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497205</wp:posOffset>
            </wp:positionV>
            <wp:extent cx="649795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30"/>
          </w:cols>
          <w:pgMar w:left="830" w:top="661" w:right="839"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TG 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 ENDED June 30, 2022</w:t>
      </w:r>
    </w:p>
    <w:p>
      <w:pPr>
        <w:spacing w:after="0" w:line="176"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940" w:type="dxa"/>
            <w:vAlign w:val="bottom"/>
            <w:gridSpan w:val="10"/>
          </w:tcPr>
          <w:p>
            <w:pPr>
              <w:ind w:left="4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920" w:type="dxa"/>
            <w:vAlign w:val="bottom"/>
          </w:tcPr>
          <w:p>
            <w:pPr>
              <w:spacing w:after="0"/>
              <w:rPr>
                <w:sz w:val="20"/>
                <w:szCs w:val="20"/>
                <w:color w:val="auto"/>
              </w:rPr>
            </w:pPr>
          </w:p>
        </w:tc>
      </w:tr>
      <w:tr>
        <w:trPr>
          <w:trHeight w:val="364"/>
        </w:trPr>
        <w:tc>
          <w:tcPr>
            <w:tcW w:w="796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SPECIAL CAUTIONARY NOTICE REGARDING FORWARD-LOOKING STATEMENTS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412"/>
        </w:trPr>
        <w:tc>
          <w:tcPr>
            <w:tcW w:w="6720" w:type="dxa"/>
            <w:vAlign w:val="bottom"/>
            <w:tcBorders>
              <w:top w:val="single" w:sz="8" w:color="0000EE"/>
            </w:tcBorders>
            <w:gridSpan w:val="22"/>
          </w:tcPr>
          <w:p>
            <w:pPr>
              <w:spacing w:after="0"/>
              <w:rPr>
                <w:sz w:val="20"/>
                <w:szCs w:val="20"/>
                <w:color w:val="auto"/>
              </w:rPr>
            </w:pPr>
            <w:r>
              <w:rPr>
                <w:rFonts w:ascii="Times New Roman" w:cs="Times New Roman" w:eastAsia="Times New Roman" w:hAnsi="Times New Roman"/>
                <w:sz w:val="18"/>
                <w:szCs w:val="18"/>
                <w:color w:val="0000EE"/>
              </w:rPr>
              <w:t>SUMMARY RISK FACTORS</w:t>
            </w:r>
          </w:p>
        </w:tc>
        <w:tc>
          <w:tcPr>
            <w:tcW w:w="1240" w:type="dxa"/>
            <w:vAlign w:val="bottom"/>
            <w:gridSpan w:val="3"/>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12"/>
        </w:trPr>
        <w:tc>
          <w:tcPr>
            <w:tcW w:w="76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PART I</w:t>
            </w:r>
          </w:p>
        </w:tc>
        <w:tc>
          <w:tcPr>
            <w:tcW w:w="720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FINANCIAL INFORMATION</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412"/>
        </w:trPr>
        <w:tc>
          <w:tcPr>
            <w:tcW w:w="46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4"/>
              </w:rPr>
              <w:t>Item 1</w:t>
            </w:r>
          </w:p>
        </w:tc>
        <w:tc>
          <w:tcPr>
            <w:tcW w:w="60" w:type="dxa"/>
            <w:vAlign w:val="bottom"/>
            <w:tcBorders>
              <w:top w:val="single" w:sz="8" w:color="0000EE"/>
            </w:tcBorders>
            <w:gridSpan w:val="2"/>
          </w:tcPr>
          <w:p>
            <w:pPr>
              <w:spacing w:after="0"/>
              <w:rPr>
                <w:sz w:val="24"/>
                <w:szCs w:val="24"/>
                <w:color w:val="auto"/>
              </w:rPr>
            </w:pPr>
          </w:p>
        </w:tc>
        <w:tc>
          <w:tcPr>
            <w:tcW w:w="240" w:type="dxa"/>
            <w:vAlign w:val="bottom"/>
            <w:gridSpan w:val="2"/>
          </w:tcPr>
          <w:p>
            <w:pPr>
              <w:spacing w:after="0"/>
              <w:rPr>
                <w:sz w:val="24"/>
                <w:szCs w:val="24"/>
                <w:color w:val="auto"/>
              </w:rPr>
            </w:pPr>
          </w:p>
        </w:tc>
        <w:tc>
          <w:tcPr>
            <w:tcW w:w="1560" w:type="dxa"/>
            <w:vAlign w:val="bottom"/>
            <w:tcBorders>
              <w:top w:val="single" w:sz="8" w:color="0000EE"/>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Financial Statements:</w:t>
            </w:r>
          </w:p>
        </w:tc>
        <w:tc>
          <w:tcPr>
            <w:tcW w:w="700" w:type="dxa"/>
            <w:vAlign w:val="bottom"/>
            <w:tcBorders>
              <w:top w:val="single" w:sz="8" w:color="0000EE"/>
            </w:tcBorders>
            <w:gridSpan w:val="4"/>
          </w:tcPr>
          <w:p>
            <w:pPr>
              <w:spacing w:after="0"/>
              <w:rPr>
                <w:sz w:val="24"/>
                <w:szCs w:val="24"/>
                <w:color w:val="auto"/>
              </w:rPr>
            </w:pPr>
          </w:p>
        </w:tc>
        <w:tc>
          <w:tcPr>
            <w:tcW w:w="4940" w:type="dxa"/>
            <w:vAlign w:val="bottom"/>
            <w:gridSpan w:val="10"/>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412"/>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4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Condensed Consolidated Balance Sheets</w:t>
            </w:r>
          </w:p>
        </w:tc>
        <w:tc>
          <w:tcPr>
            <w:tcW w:w="4260" w:type="dxa"/>
            <w:vAlign w:val="bottom"/>
            <w:gridSpan w:val="9"/>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412"/>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54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Operations (unaudited)</w:t>
            </w:r>
          </w:p>
        </w:tc>
        <w:tc>
          <w:tcPr>
            <w:tcW w:w="2660" w:type="dxa"/>
            <w:vAlign w:val="bottom"/>
            <w:gridSpan w:val="6"/>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412"/>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12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Changes in Stockholders’ Equity (unaudited)</w:t>
            </w:r>
          </w:p>
        </w:tc>
        <w:tc>
          <w:tcPr>
            <w:tcW w:w="1080" w:type="dxa"/>
            <w:vAlign w:val="bottom"/>
            <w:gridSpan w:val="2"/>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412"/>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Condensed Consolidated Statements of Cash Flows (unaudited)</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0"/>
        </w:trPr>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Notes to Condensed Consolidated Financial Statements (unaudited)</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0"/>
        </w:trPr>
        <w:tc>
          <w:tcPr>
            <w:tcW w:w="4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12"/>
        </w:trPr>
        <w:tc>
          <w:tcPr>
            <w:tcW w:w="4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8"/>
              </w:rPr>
              <w:t>Item 2</w:t>
            </w:r>
          </w:p>
        </w:tc>
        <w:tc>
          <w:tcPr>
            <w:tcW w:w="280" w:type="dxa"/>
            <w:vAlign w:val="bottom"/>
            <w:gridSpan w:val="3"/>
          </w:tcPr>
          <w:p>
            <w:pPr>
              <w:spacing w:after="0"/>
              <w:rPr>
                <w:sz w:val="24"/>
                <w:szCs w:val="24"/>
                <w:color w:val="auto"/>
              </w:rPr>
            </w:pPr>
          </w:p>
        </w:tc>
        <w:tc>
          <w:tcPr>
            <w:tcW w:w="646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7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412"/>
        </w:trPr>
        <w:tc>
          <w:tcPr>
            <w:tcW w:w="4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8"/>
              </w:rPr>
              <w:t>Item 3</w:t>
            </w:r>
          </w:p>
        </w:tc>
        <w:tc>
          <w:tcPr>
            <w:tcW w:w="280" w:type="dxa"/>
            <w:vAlign w:val="bottom"/>
            <w:gridSpan w:val="3"/>
          </w:tcPr>
          <w:p>
            <w:pPr>
              <w:spacing w:after="0"/>
              <w:rPr>
                <w:sz w:val="24"/>
                <w:szCs w:val="24"/>
                <w:color w:val="auto"/>
              </w:rPr>
            </w:pPr>
          </w:p>
        </w:tc>
        <w:tc>
          <w:tcPr>
            <w:tcW w:w="436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2840" w:type="dxa"/>
            <w:vAlign w:val="bottom"/>
            <w:gridSpan w:val="7"/>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41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0000EE"/>
                <w:w w:val="94"/>
              </w:rPr>
              <w:t>Item 4</w:t>
            </w:r>
          </w:p>
        </w:tc>
        <w:tc>
          <w:tcPr>
            <w:tcW w:w="300" w:type="dxa"/>
            <w:vAlign w:val="bottom"/>
            <w:gridSpan w:val="4"/>
          </w:tcPr>
          <w:p>
            <w:pPr>
              <w:spacing w:after="0"/>
              <w:rPr>
                <w:sz w:val="24"/>
                <w:szCs w:val="24"/>
                <w:color w:val="auto"/>
              </w:rPr>
            </w:pPr>
          </w:p>
        </w:tc>
        <w:tc>
          <w:tcPr>
            <w:tcW w:w="720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Controls and Procedures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460" w:type="dxa"/>
            <w:vAlign w:val="bottom"/>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2860" w:type="dxa"/>
            <w:vAlign w:val="bottom"/>
            <w:gridSpan w:val="8"/>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12"/>
        </w:trPr>
        <w:tc>
          <w:tcPr>
            <w:tcW w:w="76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PART II</w:t>
            </w:r>
          </w:p>
        </w:tc>
        <w:tc>
          <w:tcPr>
            <w:tcW w:w="720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OTHER INFORMATION</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412"/>
        </w:trPr>
        <w:tc>
          <w:tcPr>
            <w:tcW w:w="48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8"/>
              </w:rPr>
              <w:t>Item 1</w:t>
            </w:r>
          </w:p>
        </w:tc>
        <w:tc>
          <w:tcPr>
            <w:tcW w:w="100" w:type="dxa"/>
            <w:vAlign w:val="bottom"/>
            <w:tcBorders>
              <w:top w:val="single" w:sz="8" w:color="0000EE"/>
            </w:tcBorders>
            <w:gridSpan w:val="2"/>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Legal Proceedings</w:t>
            </w:r>
          </w:p>
        </w:tc>
        <w:tc>
          <w:tcPr>
            <w:tcW w:w="540" w:type="dxa"/>
            <w:vAlign w:val="bottom"/>
            <w:tcBorders>
              <w:top w:val="single" w:sz="8" w:color="0000EE"/>
            </w:tcBorders>
            <w:gridSpan w:val="4"/>
          </w:tcPr>
          <w:p>
            <w:pPr>
              <w:spacing w:after="0"/>
              <w:rPr>
                <w:sz w:val="24"/>
                <w:szCs w:val="24"/>
                <w:color w:val="auto"/>
              </w:rPr>
            </w:pPr>
          </w:p>
        </w:tc>
        <w:tc>
          <w:tcPr>
            <w:tcW w:w="5320" w:type="dxa"/>
            <w:vAlign w:val="bottom"/>
            <w:gridSpan w:val="12"/>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412"/>
        </w:trPr>
        <w:tc>
          <w:tcPr>
            <w:tcW w:w="76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Item 1A</w:t>
            </w:r>
          </w:p>
        </w:tc>
        <w:tc>
          <w:tcPr>
            <w:tcW w:w="720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0"/>
        </w:trPr>
        <w:tc>
          <w:tcPr>
            <w:tcW w:w="580" w:type="dxa"/>
            <w:vAlign w:val="bottom"/>
            <w:gridSpan w:val="4"/>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6"/>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2860" w:type="dxa"/>
            <w:vAlign w:val="bottom"/>
            <w:gridSpan w:val="8"/>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12"/>
        </w:trPr>
        <w:tc>
          <w:tcPr>
            <w:tcW w:w="4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8"/>
              </w:rPr>
              <w:t>Item 2</w:t>
            </w:r>
          </w:p>
        </w:tc>
        <w:tc>
          <w:tcPr>
            <w:tcW w:w="10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720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412"/>
        </w:trPr>
        <w:tc>
          <w:tcPr>
            <w:tcW w:w="48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8"/>
              </w:rPr>
              <w:t>Item 3</w:t>
            </w:r>
          </w:p>
        </w:tc>
        <w:tc>
          <w:tcPr>
            <w:tcW w:w="280" w:type="dxa"/>
            <w:vAlign w:val="bottom"/>
            <w:gridSpan w:val="3"/>
          </w:tcPr>
          <w:p>
            <w:pPr>
              <w:spacing w:after="0"/>
              <w:rPr>
                <w:sz w:val="24"/>
                <w:szCs w:val="24"/>
                <w:color w:val="auto"/>
              </w:rPr>
            </w:pPr>
          </w:p>
        </w:tc>
        <w:tc>
          <w:tcPr>
            <w:tcW w:w="2080" w:type="dxa"/>
            <w:vAlign w:val="bottom"/>
            <w:tcBorders>
              <w:top w:val="single" w:sz="8" w:color="0000EE"/>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Defaults of Senior Securities</w:t>
            </w:r>
          </w:p>
        </w:tc>
        <w:tc>
          <w:tcPr>
            <w:tcW w:w="2260" w:type="dxa"/>
            <w:vAlign w:val="bottom"/>
            <w:tcBorders>
              <w:top w:val="single" w:sz="8" w:color="0000EE"/>
            </w:tcBorders>
            <w:gridSpan w:val="3"/>
          </w:tcPr>
          <w:p>
            <w:pPr>
              <w:spacing w:after="0"/>
              <w:rPr>
                <w:sz w:val="24"/>
                <w:szCs w:val="24"/>
                <w:color w:val="auto"/>
              </w:rPr>
            </w:pPr>
          </w:p>
        </w:tc>
        <w:tc>
          <w:tcPr>
            <w:tcW w:w="2860" w:type="dxa"/>
            <w:vAlign w:val="bottom"/>
            <w:gridSpan w:val="8"/>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412"/>
        </w:trPr>
        <w:tc>
          <w:tcPr>
            <w:tcW w:w="4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8"/>
              </w:rPr>
              <w:t>Item 4</w:t>
            </w:r>
          </w:p>
        </w:tc>
        <w:tc>
          <w:tcPr>
            <w:tcW w:w="280" w:type="dxa"/>
            <w:vAlign w:val="bottom"/>
            <w:gridSpan w:val="3"/>
          </w:tcPr>
          <w:p>
            <w:pPr>
              <w:spacing w:after="0"/>
              <w:rPr>
                <w:sz w:val="24"/>
                <w:szCs w:val="24"/>
                <w:color w:val="auto"/>
              </w:rPr>
            </w:pPr>
          </w:p>
        </w:tc>
        <w:tc>
          <w:tcPr>
            <w:tcW w:w="720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Mine Safety Disclosures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412"/>
        </w:trPr>
        <w:tc>
          <w:tcPr>
            <w:tcW w:w="48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8"/>
              </w:rPr>
              <w:t>Item 5</w:t>
            </w:r>
          </w:p>
        </w:tc>
        <w:tc>
          <w:tcPr>
            <w:tcW w:w="280" w:type="dxa"/>
            <w:vAlign w:val="bottom"/>
            <w:gridSpan w:val="3"/>
          </w:tcPr>
          <w:p>
            <w:pPr>
              <w:spacing w:after="0"/>
              <w:rPr>
                <w:sz w:val="24"/>
                <w:szCs w:val="24"/>
                <w:color w:val="auto"/>
              </w:rPr>
            </w:pPr>
          </w:p>
        </w:tc>
        <w:tc>
          <w:tcPr>
            <w:tcW w:w="132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8"/>
              </w:rPr>
              <w:t>Other Information</w:t>
            </w:r>
          </w:p>
        </w:tc>
        <w:tc>
          <w:tcPr>
            <w:tcW w:w="440" w:type="dxa"/>
            <w:vAlign w:val="bottom"/>
            <w:tcBorders>
              <w:top w:val="single" w:sz="8" w:color="0000EE"/>
            </w:tcBorders>
            <w:gridSpan w:val="4"/>
          </w:tcPr>
          <w:p>
            <w:pPr>
              <w:spacing w:after="0"/>
              <w:rPr>
                <w:sz w:val="24"/>
                <w:szCs w:val="24"/>
                <w:color w:val="auto"/>
              </w:rPr>
            </w:pPr>
          </w:p>
        </w:tc>
        <w:tc>
          <w:tcPr>
            <w:tcW w:w="5440" w:type="dxa"/>
            <w:vAlign w:val="bottom"/>
            <w:gridSpan w:val="13"/>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412"/>
        </w:trPr>
        <w:tc>
          <w:tcPr>
            <w:tcW w:w="4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8"/>
              </w:rPr>
              <w:t>Item 6</w:t>
            </w:r>
          </w:p>
        </w:tc>
        <w:tc>
          <w:tcPr>
            <w:tcW w:w="280" w:type="dxa"/>
            <w:vAlign w:val="bottom"/>
            <w:gridSpan w:val="3"/>
          </w:tcPr>
          <w:p>
            <w:pPr>
              <w:spacing w:after="0"/>
              <w:rPr>
                <w:sz w:val="24"/>
                <w:szCs w:val="24"/>
                <w:color w:val="auto"/>
              </w:rPr>
            </w:pPr>
          </w:p>
        </w:tc>
        <w:tc>
          <w:tcPr>
            <w:tcW w:w="6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6"/>
              </w:rPr>
              <w:t>Exhibits</w:t>
            </w:r>
          </w:p>
        </w:tc>
        <w:tc>
          <w:tcPr>
            <w:tcW w:w="6600" w:type="dxa"/>
            <w:vAlign w:val="bottom"/>
            <w:gridSpan w:val="19"/>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SPECIAL CAUTIONARY NOTICE REGARDING FORWARD-LOOKING STATEMENTS</w:t>
      </w:r>
    </w:p>
    <w:p>
      <w:pPr>
        <w:spacing w:after="0" w:line="202"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Certain matters discussed in this report, including matters discussed under the captions “Business” and “Management’s Discussion and Analysis of Financial Condition and Results of Operations,” may constitute forward-looking statements for purposes of the Securities Act of 1933, as amended, or the Securities Act, and the Securities Exchange Act of 1934, as amended, or the Exchange Act, and involve known and unknown risks, uncertainties and other factors that may cause our actual results, performance or achievements to be materially different from the future results, performance or achievements expressed or implied by such forward-looking statements. In some cases, you can identify forward-looking statements by words such as “anticipate,” “believe,” “contemplate,” “continue,” “could,” “estimate,” “expect,” “intend,” “may,” “plan,” “potential,” “predict,” “project,” “seek,” “should,” “target,” “will,” “would” or the negative of these words or other comparable terminology, although not all forward-looking statements contain these identifying words.</w:t>
      </w:r>
    </w:p>
    <w:p>
      <w:pPr>
        <w:spacing w:after="0" w:line="248"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All written or oral forward-looking statements attributable to us are expressly qualified in their entirety by these cautionary statements. In addition, with respect to all of our forward-looking statements, we claim the protection of the safe harbor for forward-looking statements contained in the Private Securities Litigation Reform Act of 1995. Such forward-looking statements include, but are not limited to, statements about:</w:t>
      </w:r>
    </w:p>
    <w:p>
      <w:pPr>
        <w:spacing w:after="0" w:line="3" w:lineRule="exact"/>
        <w:rPr>
          <w:sz w:val="20"/>
          <w:szCs w:val="20"/>
          <w:color w:val="auto"/>
        </w:rPr>
      </w:pPr>
    </w:p>
    <w:p>
      <w:pPr>
        <w:ind w:left="760" w:right="79" w:hanging="359"/>
        <w:spacing w:after="0" w:line="250"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regulatory approval for ublituximab in relapsing forms of multiple sclerosis (RMS) and any other product candidates;</w:t>
      </w:r>
    </w:p>
    <w:p>
      <w:pPr>
        <w:ind w:left="760" w:right="79" w:hanging="359"/>
        <w:spacing w:after="0" w:line="250"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adapt and expand our commercial infrastructure to successfully launch, market and sell ublituximab in RMS if we obtain regulatory approval in the future;</w:t>
      </w:r>
    </w:p>
    <w:p>
      <w:pPr>
        <w:ind w:left="760" w:right="79" w:hanging="359"/>
        <w:spacing w:after="0" w:line="250"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the potential commercialization of ublituximab or any future products or combinations of products, including the anticipated rate and degree of market acceptance and pricing and reimbursement;</w:t>
      </w:r>
    </w:p>
    <w:p>
      <w:pPr>
        <w:ind w:left="760" w:hanging="359"/>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and results of our pre-clinical studies and clinical trials;</w:t>
      </w:r>
    </w:p>
    <w:p>
      <w:pPr>
        <w:spacing w:after="0" w:line="9" w:lineRule="exact"/>
        <w:rPr>
          <w:rFonts w:ascii="Times New Roman" w:cs="Times New Roman" w:eastAsia="Times New Roman" w:hAnsi="Times New Roman"/>
          <w:sz w:val="18"/>
          <w:szCs w:val="18"/>
          <w:color w:val="auto"/>
        </w:rPr>
      </w:pPr>
    </w:p>
    <w:p>
      <w:pPr>
        <w:ind w:left="760" w:hanging="359"/>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advance drug candidates into, and successfully complete, clinical trials;</w:t>
      </w:r>
    </w:p>
    <w:p>
      <w:pPr>
        <w:spacing w:after="0" w:line="9" w:lineRule="exact"/>
        <w:rPr>
          <w:rFonts w:ascii="Times New Roman" w:cs="Times New Roman" w:eastAsia="Times New Roman" w:hAnsi="Times New Roman"/>
          <w:sz w:val="18"/>
          <w:szCs w:val="18"/>
          <w:color w:val="auto"/>
        </w:rPr>
      </w:pPr>
    </w:p>
    <w:p>
      <w:pPr>
        <w:jc w:val="both"/>
        <w:ind w:left="760" w:right="79" w:hanging="359"/>
        <w:spacing w:after="0" w:line="250"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contractual relationships, on commercially reasonable terms, with third parties for manufacturing, distribution and supply, and a range of other support functions for our clinical development and commercialization efforts;</w:t>
      </w:r>
    </w:p>
    <w:p>
      <w:pPr>
        <w:spacing w:after="0" w:line="1" w:lineRule="exact"/>
        <w:rPr>
          <w:rFonts w:ascii="Times New Roman" w:cs="Times New Roman" w:eastAsia="Times New Roman" w:hAnsi="Times New Roman"/>
          <w:sz w:val="18"/>
          <w:szCs w:val="18"/>
          <w:color w:val="auto"/>
        </w:rPr>
      </w:pPr>
    </w:p>
    <w:p>
      <w:pPr>
        <w:ind w:left="760" w:hanging="359"/>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strategic plans for our business and drug candidates;</w:t>
      </w:r>
    </w:p>
    <w:p>
      <w:pPr>
        <w:spacing w:after="0" w:line="9" w:lineRule="exact"/>
        <w:rPr>
          <w:rFonts w:ascii="Times New Roman" w:cs="Times New Roman" w:eastAsia="Times New Roman" w:hAnsi="Times New Roman"/>
          <w:sz w:val="18"/>
          <w:szCs w:val="18"/>
          <w:color w:val="auto"/>
        </w:rPr>
      </w:pPr>
    </w:p>
    <w:p>
      <w:pPr>
        <w:ind w:left="760" w:right="79" w:hanging="359"/>
        <w:spacing w:after="0" w:line="250"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covering our product candidates;</w:t>
      </w:r>
    </w:p>
    <w:p>
      <w:pPr>
        <w:ind w:left="760" w:hanging="359"/>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expenses, future revenues, capital requirements and our needs for additional financing;</w:t>
      </w:r>
    </w:p>
    <w:p>
      <w:pPr>
        <w:spacing w:after="0" w:line="9" w:lineRule="exact"/>
        <w:rPr>
          <w:rFonts w:ascii="Times New Roman" w:cs="Times New Roman" w:eastAsia="Times New Roman" w:hAnsi="Times New Roman"/>
          <w:sz w:val="18"/>
          <w:szCs w:val="18"/>
          <w:color w:val="auto"/>
        </w:rPr>
      </w:pPr>
    </w:p>
    <w:p>
      <w:pPr>
        <w:ind w:left="760" w:hanging="359"/>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establish collaborations and enter into strategic arrangements, if desired;</w:t>
      </w:r>
    </w:p>
    <w:p>
      <w:pPr>
        <w:spacing w:after="0" w:line="9" w:lineRule="exact"/>
        <w:rPr>
          <w:rFonts w:ascii="Times New Roman" w:cs="Times New Roman" w:eastAsia="Times New Roman" w:hAnsi="Times New Roman"/>
          <w:sz w:val="18"/>
          <w:szCs w:val="18"/>
          <w:color w:val="auto"/>
        </w:rPr>
      </w:pPr>
    </w:p>
    <w:p>
      <w:pPr>
        <w:ind w:left="760" w:right="79" w:hanging="359"/>
        <w:spacing w:after="0" w:line="250"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any of our financial projections or guidance, including without limitation short and long-term revenue projections or guidance and changes to the assumptions underlying those projections or guidance;</w:t>
      </w:r>
    </w:p>
    <w:p>
      <w:pPr>
        <w:ind w:left="760" w:hanging="359"/>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sufficient capital to fund our planned operations</w:t>
      </w:r>
    </w:p>
    <w:p>
      <w:pPr>
        <w:spacing w:after="0" w:line="9" w:lineRule="exact"/>
        <w:rPr>
          <w:rFonts w:ascii="Times New Roman" w:cs="Times New Roman" w:eastAsia="Times New Roman" w:hAnsi="Times New Roman"/>
          <w:sz w:val="18"/>
          <w:szCs w:val="18"/>
          <w:color w:val="auto"/>
        </w:rPr>
      </w:pPr>
    </w:p>
    <w:p>
      <w:pPr>
        <w:ind w:left="760" w:hanging="359"/>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 and cash burn management; and</w:t>
      </w:r>
    </w:p>
    <w:p>
      <w:pPr>
        <w:spacing w:after="0" w:line="9" w:lineRule="exact"/>
        <w:rPr>
          <w:rFonts w:ascii="Times New Roman" w:cs="Times New Roman" w:eastAsia="Times New Roman" w:hAnsi="Times New Roman"/>
          <w:sz w:val="18"/>
          <w:szCs w:val="18"/>
          <w:color w:val="auto"/>
        </w:rPr>
      </w:pPr>
    </w:p>
    <w:p>
      <w:pPr>
        <w:ind w:left="760" w:hanging="359"/>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b w:val="1"/>
          <w:bCs w:val="1"/>
          <w:color w:val="auto"/>
        </w:rPr>
        <w:t>SUMMARY RISK FACTORS</w:t>
      </w:r>
    </w:p>
    <w:p>
      <w:pPr>
        <w:spacing w:after="0" w:line="106" w:lineRule="exact"/>
        <w:rPr>
          <w:sz w:val="20"/>
          <w:szCs w:val="20"/>
          <w:color w:val="auto"/>
        </w:rPr>
      </w:pPr>
    </w:p>
    <w:p>
      <w:pPr>
        <w:jc w:val="both"/>
        <w:ind w:left="60" w:right="59" w:firstLine="548"/>
        <w:spacing w:after="0" w:line="259" w:lineRule="auto"/>
        <w:rPr>
          <w:sz w:val="20"/>
          <w:szCs w:val="20"/>
          <w:color w:val="auto"/>
        </w:rPr>
      </w:pPr>
      <w:r>
        <w:rPr>
          <w:rFonts w:ascii="Times New Roman" w:cs="Times New Roman" w:eastAsia="Times New Roman" w:hAnsi="Times New Roman"/>
          <w:sz w:val="17"/>
          <w:szCs w:val="17"/>
          <w:color w:val="auto"/>
        </w:rPr>
        <w:t>Our business is subject to a number of risks of which you should be aware before making an investment decision. The risks described below are a summary of the principal risks associated with an investment in us and are not the only risks we face. You should carefully consider these risks, the risk factors in Item IA, and the other reports and documents that we have filed with the Securities and Exchange Commission (SEC).</w:t>
      </w:r>
    </w:p>
    <w:p>
      <w:pPr>
        <w:spacing w:after="0" w:line="13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b w:val="1"/>
          <w:bCs w:val="1"/>
          <w:color w:val="auto"/>
        </w:rPr>
        <w:t>Risks Related to Drug Development and Regulatory Approval</w:t>
      </w:r>
    </w:p>
    <w:p>
      <w:pPr>
        <w:spacing w:after="0" w:line="29" w:lineRule="exact"/>
        <w:rPr>
          <w:sz w:val="20"/>
          <w:szCs w:val="20"/>
          <w:color w:val="auto"/>
        </w:rPr>
      </w:pPr>
    </w:p>
    <w:p>
      <w:pPr>
        <w:ind w:left="380" w:right="79" w:hanging="330"/>
        <w:spacing w:after="0"/>
        <w:tabs>
          <w:tab w:leader="none" w:pos="3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are unable to obtain regulatory approval for our product candidates and ultimately cannot commercialize one or more of them, or experience significant delays in doing so, our business will be materially harmed.</w:t>
      </w:r>
    </w:p>
    <w:p>
      <w:pPr>
        <w:ind w:left="380" w:right="79" w:hanging="330"/>
        <w:spacing w:after="0" w:line="248" w:lineRule="auto"/>
        <w:tabs>
          <w:tab w:leader="none" w:pos="3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product candidates may cause undesirable side effects that could delay or prevent their regulatory approval or significantly limit their commercial profile following marketing approval, if any.</w:t>
      </w:r>
    </w:p>
    <w:p>
      <w:pPr>
        <w:spacing w:after="0" w:line="1" w:lineRule="exact"/>
        <w:rPr>
          <w:rFonts w:ascii="Times New Roman" w:cs="Times New Roman" w:eastAsia="Times New Roman" w:hAnsi="Times New Roman"/>
          <w:sz w:val="17"/>
          <w:szCs w:val="17"/>
          <w:color w:val="auto"/>
        </w:rPr>
      </w:pPr>
    </w:p>
    <w:p>
      <w:pPr>
        <w:jc w:val="both"/>
        <w:ind w:left="380" w:right="79" w:hanging="330"/>
        <w:spacing w:after="0" w:line="248" w:lineRule="auto"/>
        <w:tabs>
          <w:tab w:leader="none" w:pos="3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Because results of preclinical studies and early clinical trials are not necessarily predictive of future results, any product candidate we advance may not have favorable results in later clinical trials. Moreover, interim, “top-line,” and preliminary data from our clinical trials that we announce or publish may change, or the perceived product profile may be impacted, as more patient data or additional endpoints are analyzed.</w:t>
      </w:r>
    </w:p>
    <w:p>
      <w:pPr>
        <w:spacing w:after="0" w:line="2" w:lineRule="exact"/>
        <w:rPr>
          <w:rFonts w:ascii="Times New Roman" w:cs="Times New Roman" w:eastAsia="Times New Roman" w:hAnsi="Times New Roman"/>
          <w:sz w:val="17"/>
          <w:szCs w:val="17"/>
          <w:color w:val="auto"/>
        </w:rPr>
      </w:pPr>
    </w:p>
    <w:p>
      <w:pPr>
        <w:ind w:left="380" w:right="79" w:hanging="330"/>
        <w:spacing w:after="0" w:line="259" w:lineRule="auto"/>
        <w:tabs>
          <w:tab w:leader="none" w:pos="3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product candidates we may advance through clinical development are subject to extensive regulation, which can be costly and time consuming, cause unanticipated delays, or prevent the receipt of the required approvals.</w:t>
      </w:r>
    </w:p>
    <w:p>
      <w:pPr>
        <w:spacing w:after="0" w:line="1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b w:val="1"/>
          <w:bCs w:val="1"/>
          <w:color w:val="auto"/>
        </w:rPr>
        <w:t>Risks Related to Commercialization</w:t>
      </w:r>
    </w:p>
    <w:p>
      <w:pPr>
        <w:spacing w:after="0" w:line="29" w:lineRule="exact"/>
        <w:rPr>
          <w:sz w:val="20"/>
          <w:szCs w:val="20"/>
          <w:color w:val="auto"/>
        </w:rPr>
      </w:pPr>
    </w:p>
    <w:p>
      <w:pPr>
        <w:ind w:left="380" w:right="79" w:hanging="330"/>
        <w:spacing w:after="0" w:line="248" w:lineRule="auto"/>
        <w:tabs>
          <w:tab w:leader="none" w:pos="3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cannot predict when or if we will obtain regulatory approval to commercialize our product candidates, including ublituximab in RMS.</w:t>
      </w:r>
    </w:p>
    <w:p>
      <w:pPr>
        <w:spacing w:after="0" w:line="1" w:lineRule="exact"/>
        <w:rPr>
          <w:rFonts w:ascii="Times New Roman" w:cs="Times New Roman" w:eastAsia="Times New Roman" w:hAnsi="Times New Roman"/>
          <w:sz w:val="17"/>
          <w:szCs w:val="17"/>
          <w:color w:val="auto"/>
        </w:rPr>
      </w:pPr>
    </w:p>
    <w:p>
      <w:pPr>
        <w:ind w:left="380" w:right="79" w:hanging="330"/>
        <w:spacing w:after="0" w:line="248" w:lineRule="auto"/>
        <w:tabs>
          <w:tab w:leader="none" w:pos="3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limited experience operating as a commercial company, and, as a result, the marketing and sale of ublituximab in RMS, if approved, may be less successful than anticipated.</w:t>
      </w:r>
    </w:p>
    <w:p>
      <w:pPr>
        <w:spacing w:after="0" w:line="1" w:lineRule="exact"/>
        <w:rPr>
          <w:rFonts w:ascii="Times New Roman" w:cs="Times New Roman" w:eastAsia="Times New Roman" w:hAnsi="Times New Roman"/>
          <w:sz w:val="17"/>
          <w:szCs w:val="17"/>
          <w:color w:val="auto"/>
        </w:rPr>
      </w:pPr>
    </w:p>
    <w:p>
      <w:pPr>
        <w:ind w:left="380" w:right="79" w:hanging="330"/>
        <w:spacing w:after="0" w:line="248" w:lineRule="auto"/>
        <w:tabs>
          <w:tab w:leader="none" w:pos="3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any of our future product candidates receive approval but do not achieve broad market acceptance among physicians, patients, payors, and the medical community, the revenues that we generate from product sales will be limited.</w:t>
      </w:r>
    </w:p>
    <w:p>
      <w:pPr>
        <w:spacing w:after="0" w:line="1" w:lineRule="exact"/>
        <w:rPr>
          <w:rFonts w:ascii="Times New Roman" w:cs="Times New Roman" w:eastAsia="Times New Roman" w:hAnsi="Times New Roman"/>
          <w:sz w:val="17"/>
          <w:szCs w:val="17"/>
          <w:color w:val="auto"/>
        </w:rPr>
      </w:pPr>
    </w:p>
    <w:p>
      <w:pPr>
        <w:jc w:val="both"/>
        <w:ind w:left="380" w:right="79" w:hanging="330"/>
        <w:spacing w:after="0" w:line="248" w:lineRule="auto"/>
        <w:tabs>
          <w:tab w:leader="none" w:pos="3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market opportunities for any products for which we may receive approval, including ublituximab in RMS, are smaller than we estimate or if any approval that we obtain is based on a narrower patient population or the labeling includes warnings or limitations that are not acceptable to patients or healthcare providers, our revenue will be adversely affected.</w:t>
      </w:r>
    </w:p>
    <w:p>
      <w:pPr>
        <w:spacing w:after="0" w:line="1" w:lineRule="exact"/>
        <w:rPr>
          <w:rFonts w:ascii="Times New Roman" w:cs="Times New Roman" w:eastAsia="Times New Roman" w:hAnsi="Times New Roman"/>
          <w:sz w:val="17"/>
          <w:szCs w:val="17"/>
          <w:color w:val="auto"/>
        </w:rPr>
      </w:pPr>
    </w:p>
    <w:p>
      <w:pPr>
        <w:ind w:left="380" w:right="79" w:hanging="330"/>
        <w:spacing w:after="0" w:line="248" w:lineRule="auto"/>
        <w:tabs>
          <w:tab w:leader="none" w:pos="3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face substantial competition for treatments for our target indications, which may result in others commercializing drugs before or more successfully than we do, resulting in the reduction or elimination of our commercial opportunity.</w:t>
      </w:r>
    </w:p>
    <w:p>
      <w:pPr>
        <w:spacing w:after="0" w:line="1" w:lineRule="exact"/>
        <w:rPr>
          <w:rFonts w:ascii="Times New Roman" w:cs="Times New Roman" w:eastAsia="Times New Roman" w:hAnsi="Times New Roman"/>
          <w:sz w:val="17"/>
          <w:szCs w:val="17"/>
          <w:color w:val="auto"/>
        </w:rPr>
      </w:pPr>
    </w:p>
    <w:p>
      <w:pPr>
        <w:ind w:left="380" w:right="79" w:hanging="330"/>
        <w:spacing w:after="0" w:line="248" w:lineRule="auto"/>
        <w:tabs>
          <w:tab w:leader="none" w:pos="3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are unable to establish additional commercial capabilities and infrastructure to support a potential launch in RMS or expansion into geographies outside the U.S., we may be unable to generate sufficient revenue to sustain our business.</w:t>
      </w:r>
    </w:p>
    <w:p>
      <w:pPr>
        <w:spacing w:after="0" w:line="1" w:lineRule="exact"/>
        <w:rPr>
          <w:rFonts w:ascii="Times New Roman" w:cs="Times New Roman" w:eastAsia="Times New Roman" w:hAnsi="Times New Roman"/>
          <w:sz w:val="17"/>
          <w:szCs w:val="17"/>
          <w:color w:val="auto"/>
        </w:rPr>
      </w:pPr>
    </w:p>
    <w:p>
      <w:pPr>
        <w:ind w:left="380" w:hanging="330"/>
        <w:spacing w:after="0"/>
        <w:tabs>
          <w:tab w:leader="none" w:pos="3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 liability lawsuits could cause us to incur substantial liabilities and limit product commercialization.</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b w:val="1"/>
          <w:bCs w:val="1"/>
          <w:color w:val="auto"/>
        </w:rPr>
        <w:t>Risks Related to our Financial Position and Need for Additional Capital</w:t>
      </w:r>
    </w:p>
    <w:p>
      <w:pPr>
        <w:spacing w:after="0" w:line="29" w:lineRule="exact"/>
        <w:rPr>
          <w:sz w:val="20"/>
          <w:szCs w:val="20"/>
          <w:color w:val="auto"/>
        </w:rPr>
      </w:pPr>
    </w:p>
    <w:p>
      <w:pPr>
        <w:ind w:left="380" w:right="79" w:hanging="330"/>
        <w:spacing w:after="0" w:line="248" w:lineRule="auto"/>
        <w:tabs>
          <w:tab w:leader="none" w:pos="3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incurred significant operating losses since our inception and anticipate that we will continue to incur losses for the foreseeable future.</w:t>
      </w:r>
    </w:p>
    <w:p>
      <w:pPr>
        <w:spacing w:after="0" w:line="1" w:lineRule="exact"/>
        <w:rPr>
          <w:rFonts w:ascii="Times New Roman" w:cs="Times New Roman" w:eastAsia="Times New Roman" w:hAnsi="Times New Roman"/>
          <w:sz w:val="17"/>
          <w:szCs w:val="17"/>
          <w:color w:val="auto"/>
        </w:rPr>
      </w:pPr>
    </w:p>
    <w:p>
      <w:pPr>
        <w:ind w:left="380" w:right="79" w:hanging="330"/>
        <w:spacing w:after="0" w:line="248" w:lineRule="auto"/>
        <w:tabs>
          <w:tab w:leader="none" w:pos="3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will need to raise substantial additional funding. If we are unable to raise capital when needed, we will be forced to delay, reduce, or eliminate some of our drug development programs or commercialization efforts.</w:t>
      </w:r>
    </w:p>
    <w:p>
      <w:pPr>
        <w:spacing w:after="0" w:line="1" w:lineRule="exact"/>
        <w:rPr>
          <w:rFonts w:ascii="Times New Roman" w:cs="Times New Roman" w:eastAsia="Times New Roman" w:hAnsi="Times New Roman"/>
          <w:sz w:val="17"/>
          <w:szCs w:val="17"/>
          <w:color w:val="auto"/>
        </w:rPr>
      </w:pPr>
    </w:p>
    <w:p>
      <w:pPr>
        <w:ind w:left="380" w:right="79" w:hanging="330"/>
        <w:spacing w:after="0" w:line="259" w:lineRule="auto"/>
        <w:tabs>
          <w:tab w:leader="none" w:pos="3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level of indebtedness and debt service obligations could adversely affect our financial condition and may make it more difficult for us to fund our operations.</w:t>
      </w:r>
    </w:p>
    <w:p>
      <w:pPr>
        <w:spacing w:after="0" w:line="1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b w:val="1"/>
          <w:bCs w:val="1"/>
          <w:color w:val="auto"/>
        </w:rPr>
        <w:t>Risks Related to Governmental Regulation of the Pharmaceutical Industry</w:t>
      </w:r>
    </w:p>
    <w:p>
      <w:pPr>
        <w:spacing w:after="0" w:line="29" w:lineRule="exact"/>
        <w:rPr>
          <w:sz w:val="20"/>
          <w:szCs w:val="20"/>
          <w:color w:val="auto"/>
        </w:rPr>
      </w:pPr>
    </w:p>
    <w:p>
      <w:pPr>
        <w:ind w:left="380" w:right="79" w:hanging="330"/>
        <w:spacing w:after="0" w:line="248" w:lineRule="auto"/>
        <w:tabs>
          <w:tab w:leader="none" w:pos="38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subject to extensive regulation, including new legislative and regulatory proposals, that may increase our compliance costs and adversely affect our ability to market our products, obtain collaborators and raise capital.</w:t>
      </w:r>
    </w:p>
    <w:p>
      <w:pPr>
        <w:spacing w:after="0" w:line="1" w:lineRule="exact"/>
        <w:rPr>
          <w:rFonts w:ascii="Times New Roman" w:cs="Times New Roman" w:eastAsia="Times New Roman" w:hAnsi="Times New Roman"/>
          <w:sz w:val="17"/>
          <w:szCs w:val="17"/>
          <w:color w:val="auto"/>
        </w:rPr>
      </w:pPr>
    </w:p>
    <w:p>
      <w:pPr>
        <w:ind w:left="380" w:hanging="330"/>
        <w:spacing w:after="0"/>
        <w:tabs>
          <w:tab w:leader="none" w:pos="38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fail to comply with various healthcare laws and regulations, we may incur losses or be subject to liability.</w:t>
      </w:r>
    </w:p>
    <w:p>
      <w:pPr>
        <w:spacing w:after="0" w:line="7" w:lineRule="exact"/>
        <w:rPr>
          <w:rFonts w:ascii="Times New Roman" w:cs="Times New Roman" w:eastAsia="Times New Roman" w:hAnsi="Times New Roman"/>
          <w:sz w:val="17"/>
          <w:szCs w:val="17"/>
          <w:color w:val="auto"/>
        </w:rPr>
      </w:pPr>
    </w:p>
    <w:p>
      <w:pPr>
        <w:ind w:left="380" w:right="79" w:hanging="330"/>
        <w:spacing w:after="0" w:line="259" w:lineRule="auto"/>
        <w:tabs>
          <w:tab w:leader="none" w:pos="38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fail to comply with regulatory requirements, any product for which we obtain marketing approval could be subject to restrictions or withdrawal from the market and we may be subject to penalties.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b w:val="1"/>
          <w:bCs w:val="1"/>
          <w:color w:val="auto"/>
        </w:rPr>
        <w:t>Risks Related to our Dependence on Third Parties</w:t>
      </w:r>
    </w:p>
    <w:p>
      <w:pPr>
        <w:spacing w:after="0" w:line="29" w:lineRule="exact"/>
        <w:rPr>
          <w:sz w:val="20"/>
          <w:szCs w:val="20"/>
          <w:color w:val="auto"/>
        </w:rPr>
      </w:pPr>
    </w:p>
    <w:p>
      <w:pPr>
        <w:jc w:val="both"/>
        <w:ind w:left="380" w:right="79" w:hanging="330"/>
        <w:spacing w:after="0" w:line="248" w:lineRule="auto"/>
        <w:tabs>
          <w:tab w:leader="none" w:pos="3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third parties on which we rely to conduct our clinical trials and generate clinical, preclinical and other data necessary to support our regulatory applications do not perform their services as required, we may not be able to obtain regulatory approval for or commercialize our product candidates when expected or at all.</w:t>
      </w:r>
    </w:p>
    <w:p>
      <w:pPr>
        <w:spacing w:after="0" w:line="1" w:lineRule="exact"/>
        <w:rPr>
          <w:rFonts w:ascii="Times New Roman" w:cs="Times New Roman" w:eastAsia="Times New Roman" w:hAnsi="Times New Roman"/>
          <w:sz w:val="17"/>
          <w:szCs w:val="17"/>
          <w:color w:val="auto"/>
        </w:rPr>
      </w:pPr>
    </w:p>
    <w:p>
      <w:pPr>
        <w:jc w:val="both"/>
        <w:ind w:left="380" w:right="79" w:hanging="330"/>
        <w:spacing w:after="0" w:line="248" w:lineRule="auto"/>
        <w:tabs>
          <w:tab w:leader="none" w:pos="3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reliance on third parties for commercial and clinical supply of our products and product candidates increases the risk that we will not have sufficient quantities of our products or product candidates or such quantities at an acceptable cost or quality, which could delay, prevent or impair our development or commercialization efforts.</w:t>
      </w:r>
    </w:p>
    <w:p>
      <w:pPr>
        <w:spacing w:after="0" w:line="1" w:lineRule="exact"/>
        <w:rPr>
          <w:rFonts w:ascii="Times New Roman" w:cs="Times New Roman" w:eastAsia="Times New Roman" w:hAnsi="Times New Roman"/>
          <w:sz w:val="17"/>
          <w:szCs w:val="17"/>
          <w:color w:val="auto"/>
        </w:rPr>
      </w:pPr>
    </w:p>
    <w:p>
      <w:pPr>
        <w:ind w:left="380" w:right="79" w:hanging="330"/>
        <w:spacing w:after="0" w:line="259" w:lineRule="auto"/>
        <w:tabs>
          <w:tab w:leader="none" w:pos="3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Because we have in-licensed our products and product candidates from third parties, any dispute with or non-performance by our licensors will adversely affect our ability to develop and commercialize the applicable product.</w:t>
      </w:r>
    </w:p>
    <w:p>
      <w:pPr>
        <w:spacing w:after="0" w:line="1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b w:val="1"/>
          <w:bCs w:val="1"/>
          <w:color w:val="auto"/>
        </w:rPr>
        <w:t>Risks Related to Intellectual Property</w:t>
      </w:r>
    </w:p>
    <w:p>
      <w:pPr>
        <w:spacing w:after="0" w:line="29" w:lineRule="exact"/>
        <w:rPr>
          <w:sz w:val="20"/>
          <w:szCs w:val="20"/>
          <w:color w:val="auto"/>
        </w:rPr>
      </w:pPr>
    </w:p>
    <w:p>
      <w:pPr>
        <w:jc w:val="both"/>
        <w:ind w:left="380" w:right="79" w:hanging="330"/>
        <w:spacing w:after="0" w:line="248" w:lineRule="auto"/>
        <w:tabs>
          <w:tab w:leader="none" w:pos="38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success depends upon our ability to obtain and protect our intellectual property, and if the scope of our patent protection obtained is not sufficiently broad, our competitors could develop and commercialize products similar or identical to ours, and our ability to successfully commercialize our products may be impaired.</w:t>
      </w:r>
    </w:p>
    <w:p>
      <w:pPr>
        <w:spacing w:after="0" w:line="1" w:lineRule="exact"/>
        <w:rPr>
          <w:rFonts w:ascii="Times New Roman" w:cs="Times New Roman" w:eastAsia="Times New Roman" w:hAnsi="Times New Roman"/>
          <w:sz w:val="17"/>
          <w:szCs w:val="17"/>
          <w:color w:val="auto"/>
        </w:rPr>
      </w:pPr>
    </w:p>
    <w:p>
      <w:pPr>
        <w:ind w:left="380" w:right="79" w:hanging="330"/>
        <w:spacing w:after="0" w:line="248" w:lineRule="auto"/>
        <w:tabs>
          <w:tab w:leader="none" w:pos="38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patent protection could be reduced or eliminated for non-compliance with various procedural and other requirements imposed by governmental patent agencies.</w:t>
      </w:r>
    </w:p>
    <w:p>
      <w:pPr>
        <w:spacing w:after="0" w:line="1" w:lineRule="exact"/>
        <w:rPr>
          <w:rFonts w:ascii="Times New Roman" w:cs="Times New Roman" w:eastAsia="Times New Roman" w:hAnsi="Times New Roman"/>
          <w:sz w:val="17"/>
          <w:szCs w:val="17"/>
          <w:color w:val="auto"/>
        </w:rPr>
      </w:pPr>
    </w:p>
    <w:p>
      <w:pPr>
        <w:ind w:left="380" w:right="79" w:hanging="330"/>
        <w:spacing w:after="0" w:line="248" w:lineRule="auto"/>
        <w:tabs>
          <w:tab w:leader="none" w:pos="38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need to license certain intellectual property from third parties, and such licenses may not be available or may not be available on commercially reasonable terms.</w:t>
      </w:r>
    </w:p>
    <w:p>
      <w:pPr>
        <w:spacing w:after="0" w:line="1" w:lineRule="exact"/>
        <w:rPr>
          <w:rFonts w:ascii="Times New Roman" w:cs="Times New Roman" w:eastAsia="Times New Roman" w:hAnsi="Times New Roman"/>
          <w:sz w:val="17"/>
          <w:szCs w:val="17"/>
          <w:color w:val="auto"/>
        </w:rPr>
      </w:pPr>
    </w:p>
    <w:p>
      <w:pPr>
        <w:ind w:left="380" w:right="79" w:hanging="330"/>
        <w:spacing w:after="0" w:line="248" w:lineRule="auto"/>
        <w:tabs>
          <w:tab w:leader="none" w:pos="38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or our partners are sued for infringing intellectual property rights of third parties, it will be costly and time consuming, and an unfavorable outcome in that litigation would have a material adverse effect on our business.</w:t>
      </w:r>
    </w:p>
    <w:p>
      <w:pPr>
        <w:spacing w:after="0" w:line="1" w:lineRule="exact"/>
        <w:rPr>
          <w:rFonts w:ascii="Times New Roman" w:cs="Times New Roman" w:eastAsia="Times New Roman" w:hAnsi="Times New Roman"/>
          <w:sz w:val="17"/>
          <w:szCs w:val="17"/>
          <w:color w:val="auto"/>
        </w:rPr>
      </w:pPr>
    </w:p>
    <w:p>
      <w:pPr>
        <w:ind w:left="380" w:hanging="330"/>
        <w:spacing w:after="0"/>
        <w:tabs>
          <w:tab w:leader="none" w:pos="38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are unable to protect the confidentiality of our trade secrets, our business may be significantly harmed.</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b w:val="1"/>
          <w:bCs w:val="1"/>
          <w:color w:val="auto"/>
        </w:rPr>
        <w:t>Risks Related to COVID-19</w:t>
      </w:r>
    </w:p>
    <w:p>
      <w:pPr>
        <w:spacing w:after="0" w:line="29" w:lineRule="exact"/>
        <w:rPr>
          <w:sz w:val="20"/>
          <w:szCs w:val="20"/>
          <w:color w:val="auto"/>
        </w:rPr>
      </w:pPr>
    </w:p>
    <w:p>
      <w:pPr>
        <w:ind w:left="380" w:right="79" w:hanging="330"/>
        <w:spacing w:after="0" w:line="248" w:lineRule="auto"/>
        <w:tabs>
          <w:tab w:leader="none" w:pos="3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Public health issues, and specifically the pandemic caused by COVID-19, could have an adverse impact on our financial condition and results of operations and other aspects of our business.</w:t>
      </w:r>
    </w:p>
    <w:p>
      <w:pPr>
        <w:spacing w:after="0" w:line="1" w:lineRule="exact"/>
        <w:rPr>
          <w:rFonts w:ascii="Times New Roman" w:cs="Times New Roman" w:eastAsia="Times New Roman" w:hAnsi="Times New Roman"/>
          <w:sz w:val="17"/>
          <w:szCs w:val="17"/>
          <w:color w:val="auto"/>
        </w:rPr>
      </w:pPr>
    </w:p>
    <w:p>
      <w:pPr>
        <w:jc w:val="both"/>
        <w:ind w:left="380" w:right="79" w:hanging="330"/>
        <w:spacing w:after="0" w:line="252" w:lineRule="auto"/>
        <w:tabs>
          <w:tab w:leader="none" w:pos="3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Patients and healthcare providers have raised concerns that immunosuppressive products, like anti-CD20 antibodies and other B-cell targeted agents, may increase the risk of acquiring COVID-19 or lead to more severe complications upon infection. These concerns may impact the commercial potential for ublituximab and other immunosuppressive products that we have in development.</w:t>
      </w:r>
    </w:p>
    <w:p>
      <w:pPr>
        <w:spacing w:after="0" w:line="16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b w:val="1"/>
          <w:bCs w:val="1"/>
          <w:color w:val="auto"/>
        </w:rPr>
        <w:t>General Risk Factors</w:t>
      </w:r>
    </w:p>
    <w:p>
      <w:pPr>
        <w:spacing w:after="0" w:line="29" w:lineRule="exact"/>
        <w:rPr>
          <w:sz w:val="20"/>
          <w:szCs w:val="20"/>
          <w:color w:val="auto"/>
        </w:rPr>
      </w:pPr>
    </w:p>
    <w:p>
      <w:pPr>
        <w:ind w:left="400" w:right="79" w:hanging="242"/>
        <w:spacing w:after="0" w:line="248" w:lineRule="auto"/>
        <w:tabs>
          <w:tab w:leader="none" w:pos="4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will need to develop and expand our business, and we may encounter difficulties in managing this development and expansion.</w:t>
      </w:r>
    </w:p>
    <w:p>
      <w:pPr>
        <w:spacing w:after="0" w:line="1" w:lineRule="exact"/>
        <w:rPr>
          <w:rFonts w:ascii="Times New Roman" w:cs="Times New Roman" w:eastAsia="Times New Roman" w:hAnsi="Times New Roman"/>
          <w:sz w:val="17"/>
          <w:szCs w:val="17"/>
          <w:color w:val="auto"/>
        </w:rPr>
      </w:pPr>
    </w:p>
    <w:p>
      <w:pPr>
        <w:ind w:left="400" w:right="79" w:hanging="242"/>
        <w:spacing w:after="0" w:line="248" w:lineRule="auto"/>
        <w:tabs>
          <w:tab w:leader="none" w:pos="4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continue our clinical development and commercialization activities will depend on our ability to attract and maintain key management and other personnel.</w:t>
      </w:r>
    </w:p>
    <w:p>
      <w:pPr>
        <w:spacing w:after="0" w:line="1" w:lineRule="exact"/>
        <w:rPr>
          <w:rFonts w:ascii="Times New Roman" w:cs="Times New Roman" w:eastAsia="Times New Roman" w:hAnsi="Times New Roman"/>
          <w:sz w:val="17"/>
          <w:szCs w:val="17"/>
          <w:color w:val="auto"/>
        </w:rPr>
      </w:pPr>
    </w:p>
    <w:p>
      <w:pPr>
        <w:ind w:left="400" w:right="79" w:hanging="242"/>
        <w:spacing w:after="0" w:line="248" w:lineRule="auto"/>
        <w:tabs>
          <w:tab w:leader="none" w:pos="4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of our executive officers, directors and other stockholders own more than 5% of our outstanding common stock and may be able to influence our management and the outcome of matters submitted to shareholders for approval.</w:t>
      </w:r>
    </w:p>
    <w:p>
      <w:pPr>
        <w:spacing w:after="0" w:line="1" w:lineRule="exact"/>
        <w:rPr>
          <w:rFonts w:ascii="Times New Roman" w:cs="Times New Roman" w:eastAsia="Times New Roman" w:hAnsi="Times New Roman"/>
          <w:sz w:val="17"/>
          <w:szCs w:val="17"/>
          <w:color w:val="auto"/>
        </w:rPr>
      </w:pPr>
    </w:p>
    <w:p>
      <w:pPr>
        <w:ind w:left="400" w:right="79" w:hanging="242"/>
        <w:spacing w:after="0" w:line="248" w:lineRule="auto"/>
        <w:tabs>
          <w:tab w:leader="none" w:pos="4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anti-takeover provisions in our charter documents and Delaware law could make a third-party acquisition more difficult, which could limit the price investors might be willing to pay for our common stock.</w:t>
      </w:r>
    </w:p>
    <w:p>
      <w:pPr>
        <w:spacing w:after="0" w:line="1" w:lineRule="exact"/>
        <w:rPr>
          <w:rFonts w:ascii="Times New Roman" w:cs="Times New Roman" w:eastAsia="Times New Roman" w:hAnsi="Times New Roman"/>
          <w:sz w:val="17"/>
          <w:szCs w:val="17"/>
          <w:color w:val="auto"/>
        </w:rPr>
      </w:pPr>
    </w:p>
    <w:p>
      <w:pPr>
        <w:ind w:left="400" w:right="79" w:hanging="242"/>
        <w:spacing w:after="0" w:line="259" w:lineRule="auto"/>
        <w:tabs>
          <w:tab w:leader="none" w:pos="4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stock price is, and we expect it to remain, volatile, which could limit investors’ ability to sell stock at a profit and could subject us to securities and shareholder derivative litigation.</w:t>
      </w:r>
    </w:p>
    <w:p>
      <w:pPr>
        <w:spacing w:after="0" w:line="168" w:lineRule="exact"/>
        <w:rPr>
          <w:sz w:val="20"/>
          <w:szCs w:val="20"/>
          <w:color w:val="auto"/>
        </w:rPr>
      </w:pPr>
    </w:p>
    <w:p>
      <w:pPr>
        <w:ind w:left="60" w:right="439" w:firstLine="648"/>
        <w:spacing w:after="0" w:line="281" w:lineRule="auto"/>
        <w:rPr>
          <w:sz w:val="20"/>
          <w:szCs w:val="20"/>
          <w:color w:val="auto"/>
        </w:rPr>
      </w:pPr>
      <w:r>
        <w:rPr>
          <w:rFonts w:ascii="Times New Roman" w:cs="Times New Roman" w:eastAsia="Times New Roman" w:hAnsi="Times New Roman"/>
          <w:sz w:val="17"/>
          <w:szCs w:val="17"/>
          <w:color w:val="auto"/>
        </w:rPr>
        <w:t>The foregoing is only a summary of some of our risks. These and other risks are discussed more fully in the section entitled “Risk Factors” in Part II, Item IA and elsewhere in this Quarterly Report on Form 10-Q (our Risk Factors).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TG Therapeutics,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16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4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6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31"/>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0" w:type="dxa"/>
            <w:vAlign w:val="bottom"/>
          </w:tcPr>
          <w:p>
            <w:pPr>
              <w:spacing w:after="0"/>
              <w:rPr>
                <w:sz w:val="15"/>
                <w:szCs w:val="15"/>
                <w:color w:val="auto"/>
              </w:rPr>
            </w:pPr>
          </w:p>
        </w:tc>
      </w:tr>
      <w:tr>
        <w:trPr>
          <w:trHeight w:val="156"/>
        </w:trPr>
        <w:tc>
          <w:tcPr>
            <w:tcW w:w="6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center"/>
              <w:ind w:right="32"/>
              <w:spacing w:after="0" w:line="155"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center"/>
              <w:ind w:right="51"/>
              <w:spacing w:after="0" w:line="155" w:lineRule="exact"/>
              <w:rPr>
                <w:sz w:val="20"/>
                <w:szCs w:val="20"/>
                <w:color w:val="auto"/>
              </w:rPr>
            </w:pPr>
            <w:r>
              <w:rPr>
                <w:rFonts w:ascii="Times New Roman" w:cs="Times New Roman" w:eastAsia="Times New Roman" w:hAnsi="Times New Roman"/>
                <w:sz w:val="14"/>
                <w:szCs w:val="14"/>
                <w:b w:val="1"/>
                <w:bCs w:val="1"/>
                <w:color w:val="auto"/>
              </w:rPr>
              <w:t>(Note 1)</w:t>
            </w:r>
          </w:p>
        </w:tc>
        <w:tc>
          <w:tcPr>
            <w:tcW w:w="20" w:type="dxa"/>
            <w:vAlign w:val="bottom"/>
          </w:tcPr>
          <w:p>
            <w:pPr>
              <w:spacing w:after="0"/>
              <w:rPr>
                <w:sz w:val="13"/>
                <w:szCs w:val="13"/>
                <w:color w:val="auto"/>
              </w:rPr>
            </w:pPr>
          </w:p>
        </w:tc>
      </w:tr>
      <w:tr>
        <w:trPr>
          <w:trHeight w:val="216"/>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147,073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298,887</w:t>
            </w:r>
          </w:p>
        </w:tc>
        <w:tc>
          <w:tcPr>
            <w:tcW w:w="20" w:type="dxa"/>
            <w:vAlign w:val="bottom"/>
          </w:tcPr>
          <w:p>
            <w:pPr>
              <w:spacing w:after="0"/>
              <w:rPr>
                <w:sz w:val="18"/>
                <w:szCs w:val="18"/>
                <w:color w:val="auto"/>
              </w:rPr>
            </w:pPr>
          </w:p>
        </w:tc>
      </w:tr>
      <w:tr>
        <w:trPr>
          <w:trHeight w:val="216"/>
        </w:trPr>
        <w:tc>
          <w:tcPr>
            <w:tcW w:w="6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Short-term investment securities</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48,636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15,876</w:t>
            </w:r>
          </w:p>
        </w:tc>
        <w:tc>
          <w:tcPr>
            <w:tcW w:w="20" w:type="dxa"/>
            <w:vAlign w:val="bottom"/>
          </w:tcPr>
          <w:p>
            <w:pPr>
              <w:spacing w:after="0"/>
              <w:rPr>
                <w:sz w:val="18"/>
                <w:szCs w:val="18"/>
                <w:color w:val="auto"/>
              </w:rPr>
            </w:pPr>
          </w:p>
        </w:tc>
      </w:tr>
      <w:tr>
        <w:trPr>
          <w:trHeight w:val="216"/>
        </w:trPr>
        <w:tc>
          <w:tcPr>
            <w:tcW w:w="6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receivable, net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20" w:type="dxa"/>
            <w:vAlign w:val="bottom"/>
          </w:tcPr>
          <w:p>
            <w:pPr>
              <w:spacing w:after="0"/>
              <w:rPr>
                <w:sz w:val="18"/>
                <w:szCs w:val="18"/>
                <w:color w:val="auto"/>
              </w:rPr>
            </w:pPr>
          </w:p>
        </w:tc>
      </w:tr>
      <w:tr>
        <w:trPr>
          <w:trHeight w:val="216"/>
        </w:trPr>
        <w:tc>
          <w:tcPr>
            <w:tcW w:w="6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Prepaid research and development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11,929</w:t>
            </w:r>
          </w:p>
        </w:tc>
        <w:tc>
          <w:tcPr>
            <w:tcW w:w="20" w:type="dxa"/>
            <w:vAlign w:val="bottom"/>
          </w:tcPr>
          <w:p>
            <w:pPr>
              <w:spacing w:after="0"/>
              <w:rPr>
                <w:sz w:val="18"/>
                <w:szCs w:val="18"/>
                <w:color w:val="auto"/>
              </w:rPr>
            </w:pPr>
          </w:p>
        </w:tc>
      </w:tr>
      <w:tr>
        <w:trPr>
          <w:trHeight w:val="216"/>
        </w:trPr>
        <w:tc>
          <w:tcPr>
            <w:tcW w:w="6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current assets</w:t>
            </w: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3,136</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2,884</w:t>
            </w:r>
          </w:p>
        </w:tc>
        <w:tc>
          <w:tcPr>
            <w:tcW w:w="20" w:type="dxa"/>
            <w:vAlign w:val="bottom"/>
          </w:tcPr>
          <w:p>
            <w:pPr>
              <w:spacing w:after="0"/>
              <w:rPr>
                <w:sz w:val="18"/>
                <w:szCs w:val="18"/>
                <w:color w:val="auto"/>
              </w:rPr>
            </w:pPr>
          </w:p>
        </w:tc>
      </w:tr>
      <w:tr>
        <w:trPr>
          <w:trHeight w:val="209"/>
        </w:trPr>
        <w:tc>
          <w:tcPr>
            <w:tcW w:w="6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202,560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330,965</w:t>
            </w:r>
          </w:p>
        </w:tc>
        <w:tc>
          <w:tcPr>
            <w:tcW w:w="20" w:type="dxa"/>
            <w:vAlign w:val="bottom"/>
          </w:tcPr>
          <w:p>
            <w:pPr>
              <w:spacing w:after="0"/>
              <w:rPr>
                <w:sz w:val="18"/>
                <w:szCs w:val="18"/>
                <w:color w:val="auto"/>
              </w:rPr>
            </w:pPr>
          </w:p>
        </w:tc>
      </w:tr>
      <w:tr>
        <w:trPr>
          <w:trHeight w:val="216"/>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20" w:type="dxa"/>
            <w:vAlign w:val="bottom"/>
          </w:tcPr>
          <w:p>
            <w:pPr>
              <w:spacing w:after="0"/>
              <w:rPr>
                <w:sz w:val="18"/>
                <w:szCs w:val="18"/>
                <w:color w:val="auto"/>
              </w:rPr>
            </w:pPr>
          </w:p>
        </w:tc>
      </w:tr>
      <w:tr>
        <w:trPr>
          <w:trHeight w:val="216"/>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investment securities</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36,078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35,533</w:t>
            </w:r>
          </w:p>
        </w:tc>
        <w:tc>
          <w:tcPr>
            <w:tcW w:w="20" w:type="dxa"/>
            <w:vAlign w:val="bottom"/>
          </w:tcPr>
          <w:p>
            <w:pPr>
              <w:spacing w:after="0"/>
              <w:rPr>
                <w:sz w:val="18"/>
                <w:szCs w:val="18"/>
                <w:color w:val="auto"/>
              </w:rPr>
            </w:pPr>
          </w:p>
        </w:tc>
      </w:tr>
      <w:tr>
        <w:trPr>
          <w:trHeight w:val="216"/>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 of use assets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8,629</w:t>
            </w:r>
          </w:p>
        </w:tc>
        <w:tc>
          <w:tcPr>
            <w:tcW w:w="20" w:type="dxa"/>
            <w:vAlign w:val="bottom"/>
          </w:tcPr>
          <w:p>
            <w:pPr>
              <w:spacing w:after="0"/>
              <w:rPr>
                <w:sz w:val="18"/>
                <w:szCs w:val="18"/>
                <w:color w:val="auto"/>
              </w:rPr>
            </w:pPr>
          </w:p>
        </w:tc>
      </w:tr>
      <w:tr>
        <w:trPr>
          <w:trHeight w:val="216"/>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interest, net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1,839</w:t>
            </w:r>
          </w:p>
        </w:tc>
        <w:tc>
          <w:tcPr>
            <w:tcW w:w="20" w:type="dxa"/>
            <w:vAlign w:val="bottom"/>
          </w:tcPr>
          <w:p>
            <w:pPr>
              <w:spacing w:after="0"/>
              <w:rPr>
                <w:sz w:val="18"/>
                <w:szCs w:val="18"/>
                <w:color w:val="auto"/>
              </w:rPr>
            </w:pPr>
          </w:p>
        </w:tc>
      </w:tr>
      <w:tr>
        <w:trPr>
          <w:trHeight w:val="216"/>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Equipment, net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20" w:type="dxa"/>
            <w:vAlign w:val="bottom"/>
          </w:tcPr>
          <w:p>
            <w:pPr>
              <w:spacing w:after="0"/>
              <w:rPr>
                <w:sz w:val="18"/>
                <w:szCs w:val="18"/>
                <w:color w:val="auto"/>
              </w:rPr>
            </w:pPr>
          </w:p>
        </w:tc>
      </w:tr>
      <w:tr>
        <w:trPr>
          <w:trHeight w:val="216"/>
        </w:trPr>
        <w:tc>
          <w:tcPr>
            <w:tcW w:w="6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20" w:type="dxa"/>
            <w:vAlign w:val="bottom"/>
          </w:tcPr>
          <w:p>
            <w:pPr>
              <w:spacing w:after="0"/>
              <w:rPr>
                <w:sz w:val="18"/>
                <w:szCs w:val="18"/>
                <w:color w:val="auto"/>
              </w:rPr>
            </w:pPr>
          </w:p>
        </w:tc>
      </w:tr>
      <w:tr>
        <w:trPr>
          <w:trHeight w:val="210"/>
        </w:trPr>
        <w:tc>
          <w:tcPr>
            <w:tcW w:w="668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251,666</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379,629</w:t>
            </w:r>
          </w:p>
        </w:tc>
        <w:tc>
          <w:tcPr>
            <w:tcW w:w="20" w:type="dxa"/>
            <w:vAlign w:val="bottom"/>
          </w:tcPr>
          <w:p>
            <w:pPr>
              <w:spacing w:after="0"/>
              <w:rPr>
                <w:sz w:val="18"/>
                <w:szCs w:val="18"/>
                <w:color w:val="auto"/>
              </w:rPr>
            </w:pPr>
          </w:p>
        </w:tc>
      </w:tr>
      <w:tr>
        <w:trPr>
          <w:trHeight w:val="20"/>
        </w:trPr>
        <w:tc>
          <w:tcPr>
            <w:tcW w:w="6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7"/>
        </w:trPr>
        <w:tc>
          <w:tcPr>
            <w:tcW w:w="6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37,224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51,294</w:t>
            </w:r>
          </w:p>
        </w:tc>
        <w:tc>
          <w:tcPr>
            <w:tcW w:w="20" w:type="dxa"/>
            <w:vAlign w:val="bottom"/>
          </w:tcPr>
          <w:p>
            <w:pPr>
              <w:spacing w:after="0"/>
              <w:rPr>
                <w:sz w:val="18"/>
                <w:szCs w:val="18"/>
                <w:color w:val="auto"/>
              </w:rPr>
            </w:pPr>
          </w:p>
        </w:tc>
      </w:tr>
      <w:tr>
        <w:trPr>
          <w:trHeight w:val="216"/>
        </w:trPr>
        <w:tc>
          <w:tcPr>
            <w:tcW w:w="6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20" w:type="dxa"/>
            <w:vAlign w:val="bottom"/>
          </w:tcPr>
          <w:p>
            <w:pPr>
              <w:spacing w:after="0"/>
              <w:rPr>
                <w:sz w:val="18"/>
                <w:szCs w:val="18"/>
                <w:color w:val="auto"/>
              </w:rPr>
            </w:pPr>
          </w:p>
        </w:tc>
      </w:tr>
      <w:tr>
        <w:trPr>
          <w:trHeight w:val="216"/>
        </w:trPr>
        <w:tc>
          <w:tcPr>
            <w:tcW w:w="6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Loan payable – current portion</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20" w:type="dxa"/>
            <w:vAlign w:val="bottom"/>
          </w:tcPr>
          <w:p>
            <w:pPr>
              <w:spacing w:after="0"/>
              <w:rPr>
                <w:sz w:val="18"/>
                <w:szCs w:val="18"/>
                <w:color w:val="auto"/>
              </w:rPr>
            </w:pPr>
          </w:p>
        </w:tc>
      </w:tr>
      <w:tr>
        <w:trPr>
          <w:trHeight w:val="216"/>
        </w:trPr>
        <w:tc>
          <w:tcPr>
            <w:tcW w:w="6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Lease liability – current portion</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w:t>
            </w:r>
          </w:p>
        </w:tc>
        <w:tc>
          <w:tcPr>
            <w:tcW w:w="20" w:type="dxa"/>
            <w:vAlign w:val="bottom"/>
          </w:tcPr>
          <w:p>
            <w:pPr>
              <w:spacing w:after="0"/>
              <w:rPr>
                <w:sz w:val="18"/>
                <w:szCs w:val="18"/>
                <w:color w:val="auto"/>
              </w:rPr>
            </w:pPr>
          </w:p>
        </w:tc>
      </w:tr>
      <w:tr>
        <w:trPr>
          <w:trHeight w:val="216"/>
        </w:trPr>
        <w:tc>
          <w:tcPr>
            <w:tcW w:w="6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compensation</w:t>
            </w: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2,882</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10,166</w:t>
            </w:r>
          </w:p>
        </w:tc>
        <w:tc>
          <w:tcPr>
            <w:tcW w:w="20" w:type="dxa"/>
            <w:vAlign w:val="bottom"/>
          </w:tcPr>
          <w:p>
            <w:pPr>
              <w:spacing w:after="0"/>
              <w:rPr>
                <w:sz w:val="18"/>
                <w:szCs w:val="18"/>
                <w:color w:val="auto"/>
              </w:rPr>
            </w:pPr>
          </w:p>
        </w:tc>
      </w:tr>
      <w:tr>
        <w:trPr>
          <w:trHeight w:val="210"/>
        </w:trPr>
        <w:tc>
          <w:tcPr>
            <w:tcW w:w="6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43,326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65,384</w:t>
            </w:r>
          </w:p>
        </w:tc>
        <w:tc>
          <w:tcPr>
            <w:tcW w:w="20" w:type="dxa"/>
            <w:vAlign w:val="bottom"/>
          </w:tcPr>
          <w:p>
            <w:pPr>
              <w:spacing w:after="0"/>
              <w:rPr>
                <w:sz w:val="18"/>
                <w:szCs w:val="18"/>
                <w:color w:val="auto"/>
              </w:rPr>
            </w:pPr>
          </w:p>
        </w:tc>
      </w:tr>
      <w:tr>
        <w:trPr>
          <w:trHeight w:val="216"/>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net of current portion</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20" w:type="dxa"/>
            <w:vAlign w:val="bottom"/>
          </w:tcPr>
          <w:p>
            <w:pPr>
              <w:spacing w:after="0"/>
              <w:rPr>
                <w:sz w:val="18"/>
                <w:szCs w:val="18"/>
                <w:color w:val="auto"/>
              </w:rPr>
            </w:pPr>
          </w:p>
        </w:tc>
      </w:tr>
      <w:tr>
        <w:trPr>
          <w:trHeight w:val="216"/>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 payable – non-current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68,947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66,788</w:t>
            </w:r>
          </w:p>
        </w:tc>
        <w:tc>
          <w:tcPr>
            <w:tcW w:w="20" w:type="dxa"/>
            <w:vAlign w:val="bottom"/>
          </w:tcPr>
          <w:p>
            <w:pPr>
              <w:spacing w:after="0"/>
              <w:rPr>
                <w:sz w:val="18"/>
                <w:szCs w:val="18"/>
                <w:color w:val="auto"/>
              </w:rPr>
            </w:pPr>
          </w:p>
        </w:tc>
      </w:tr>
      <w:tr>
        <w:trPr>
          <w:trHeight w:val="216"/>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liability – non-current</w:t>
            </w: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9,977</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9,847</w:t>
            </w:r>
          </w:p>
        </w:tc>
        <w:tc>
          <w:tcPr>
            <w:tcW w:w="20" w:type="dxa"/>
            <w:vAlign w:val="bottom"/>
          </w:tcPr>
          <w:p>
            <w:pPr>
              <w:spacing w:after="0"/>
              <w:rPr>
                <w:sz w:val="18"/>
                <w:szCs w:val="18"/>
                <w:color w:val="auto"/>
              </w:rPr>
            </w:pPr>
          </w:p>
        </w:tc>
      </w:tr>
      <w:tr>
        <w:trPr>
          <w:trHeight w:val="210"/>
        </w:trPr>
        <w:tc>
          <w:tcPr>
            <w:tcW w:w="668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122,631</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142,476</w:t>
            </w:r>
          </w:p>
        </w:tc>
        <w:tc>
          <w:tcPr>
            <w:tcW w:w="20" w:type="dxa"/>
            <w:vAlign w:val="bottom"/>
          </w:tcPr>
          <w:p>
            <w:pPr>
              <w:spacing w:after="0"/>
              <w:rPr>
                <w:sz w:val="18"/>
                <w:szCs w:val="18"/>
                <w:color w:val="auto"/>
              </w:rPr>
            </w:pPr>
          </w:p>
        </w:tc>
      </w:tr>
      <w:tr>
        <w:trPr>
          <w:trHeight w:val="210"/>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8"/>
        </w:trPr>
        <w:tc>
          <w:tcPr>
            <w:tcW w:w="6680" w:type="dxa"/>
            <w:vAlign w:val="bottom"/>
            <w:shd w:val="clear" w:color="auto" w:fill="CCEEFF"/>
          </w:tcPr>
          <w:p>
            <w:pPr>
              <w:ind w:left="440"/>
              <w:spacing w:after="0" w:line="198" w:lineRule="exact"/>
              <w:rPr>
                <w:sz w:val="20"/>
                <w:szCs w:val="20"/>
                <w:color w:val="auto"/>
              </w:rPr>
            </w:pPr>
            <w:r>
              <w:rPr>
                <w:rFonts w:ascii="Times New Roman" w:cs="Times New Roman" w:eastAsia="Times New Roman" w:hAnsi="Times New Roman"/>
                <w:sz w:val="18"/>
                <w:szCs w:val="18"/>
                <w:color w:val="auto"/>
              </w:rPr>
              <w:t>Common stock, $0.001 par value per share (175,000,000 shares authorized,</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6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145,198,058 and 143,292,043 shares issued, 145,156,749 and 143,250,734 shares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6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outstanding at June 30, 2022 and December 31, 2021, respectively)</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0" w:type="dxa"/>
            <w:vAlign w:val="bottom"/>
          </w:tcPr>
          <w:p>
            <w:pPr>
              <w:spacing w:after="0"/>
              <w:rPr>
                <w:sz w:val="20"/>
                <w:szCs w:val="20"/>
                <w:color w:val="auto"/>
              </w:rPr>
            </w:pPr>
          </w:p>
        </w:tc>
      </w:tr>
      <w:tr>
        <w:trPr>
          <w:trHeight w:val="216"/>
        </w:trPr>
        <w:tc>
          <w:tcPr>
            <w:tcW w:w="66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1,567,345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1,565,942</w:t>
            </w:r>
          </w:p>
        </w:tc>
        <w:tc>
          <w:tcPr>
            <w:tcW w:w="20" w:type="dxa"/>
            <w:vAlign w:val="bottom"/>
          </w:tcPr>
          <w:p>
            <w:pPr>
              <w:spacing w:after="0"/>
              <w:rPr>
                <w:sz w:val="18"/>
                <w:szCs w:val="18"/>
                <w:color w:val="auto"/>
              </w:rPr>
            </w:pPr>
          </w:p>
        </w:tc>
      </w:tr>
      <w:tr>
        <w:trPr>
          <w:trHeight w:val="216"/>
        </w:trPr>
        <w:tc>
          <w:tcPr>
            <w:tcW w:w="6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Treasury stock, at cost, 41,309 shares at June 30, 2022 and December 31, 2021</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(234)</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20" w:type="dxa"/>
            <w:vAlign w:val="bottom"/>
          </w:tcPr>
          <w:p>
            <w:pPr>
              <w:spacing w:after="0"/>
              <w:rPr>
                <w:sz w:val="18"/>
                <w:szCs w:val="18"/>
                <w:color w:val="auto"/>
              </w:rPr>
            </w:pPr>
          </w:p>
        </w:tc>
      </w:tr>
      <w:tr>
        <w:trPr>
          <w:trHeight w:val="216"/>
        </w:trPr>
        <w:tc>
          <w:tcPr>
            <w:tcW w:w="66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(1,438,221)</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(1,328,698)</w:t>
            </w:r>
          </w:p>
        </w:tc>
        <w:tc>
          <w:tcPr>
            <w:tcW w:w="20" w:type="dxa"/>
            <w:vAlign w:val="bottom"/>
          </w:tcPr>
          <w:p>
            <w:pPr>
              <w:spacing w:after="0"/>
              <w:rPr>
                <w:sz w:val="18"/>
                <w:szCs w:val="18"/>
                <w:color w:val="auto"/>
              </w:rPr>
            </w:pPr>
          </w:p>
        </w:tc>
      </w:tr>
      <w:tr>
        <w:trPr>
          <w:trHeight w:val="210"/>
        </w:trPr>
        <w:tc>
          <w:tcPr>
            <w:tcW w:w="6680" w:type="dxa"/>
            <w:vAlign w:val="bottom"/>
            <w:tcBorders>
              <w:top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129,035</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237,153</w:t>
            </w:r>
          </w:p>
        </w:tc>
        <w:tc>
          <w:tcPr>
            <w:tcW w:w="20" w:type="dxa"/>
            <w:vAlign w:val="bottom"/>
          </w:tcPr>
          <w:p>
            <w:pPr>
              <w:spacing w:after="0"/>
              <w:rPr>
                <w:sz w:val="18"/>
                <w:szCs w:val="18"/>
                <w:color w:val="auto"/>
              </w:rPr>
            </w:pPr>
          </w:p>
        </w:tc>
      </w:tr>
      <w:tr>
        <w:trPr>
          <w:trHeight w:val="209"/>
        </w:trPr>
        <w:tc>
          <w:tcPr>
            <w:tcW w:w="6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251,666</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379,629</w:t>
            </w:r>
          </w:p>
        </w:tc>
        <w:tc>
          <w:tcPr>
            <w:tcW w:w="20" w:type="dxa"/>
            <w:vAlign w:val="bottom"/>
          </w:tcPr>
          <w:p>
            <w:pPr>
              <w:spacing w:after="0"/>
              <w:rPr>
                <w:sz w:val="18"/>
                <w:szCs w:val="18"/>
                <w:color w:val="auto"/>
              </w:rPr>
            </w:pPr>
          </w:p>
        </w:tc>
      </w:tr>
      <w:tr>
        <w:trPr>
          <w:trHeight w:val="20"/>
        </w:trPr>
        <w:tc>
          <w:tcPr>
            <w:tcW w:w="6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condensed consolidated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TG Therapeutics, Inc.</w:t>
      </w:r>
    </w:p>
    <w:p>
      <w:pPr>
        <w:spacing w:after="0" w:line="3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color w:val="auto"/>
        </w:rPr>
        <w:t>Condensed Consolidated Statements of Operations</w:t>
      </w:r>
    </w:p>
    <w:p>
      <w:pPr>
        <w:spacing w:after="0" w:line="9"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40" w:type="dxa"/>
            <w:vAlign w:val="bottom"/>
            <w:gridSpan w:val="4"/>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2420" w:type="dxa"/>
            <w:vAlign w:val="bottom"/>
            <w:gridSpan w:val="5"/>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4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40" w:type="dxa"/>
            <w:vAlign w:val="bottom"/>
            <w:gridSpan w:val="4"/>
          </w:tcPr>
          <w:p>
            <w:pPr>
              <w:jc w:val="right"/>
              <w:ind w:right="85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Pr>
          <w:p>
            <w:pPr>
              <w:spacing w:after="0"/>
              <w:rPr>
                <w:sz w:val="15"/>
                <w:szCs w:val="15"/>
                <w:color w:val="auto"/>
              </w:rPr>
            </w:pPr>
          </w:p>
        </w:tc>
        <w:tc>
          <w:tcPr>
            <w:tcW w:w="2420" w:type="dxa"/>
            <w:vAlign w:val="bottom"/>
            <w:gridSpan w:val="5"/>
          </w:tcPr>
          <w:p>
            <w:pPr>
              <w:jc w:val="right"/>
              <w:ind w:right="11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40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40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 revenue, net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2,534</w:t>
            </w:r>
          </w:p>
        </w:tc>
        <w:tc>
          <w:tcPr>
            <w:tcW w:w="1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2,262</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License revenue</w:t>
            </w: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2,610</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Cost of product revenue</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Noncash compensation</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7,016</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research and development</w:t>
            </w: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24,546</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37,855</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70,693</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93,438</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research and development</w:t>
            </w: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26,874</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44,871</w:t>
            </w: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74,916</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107,965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Noncash compensation</w:t>
            </w:r>
          </w:p>
        </w:tc>
        <w:tc>
          <w:tcPr>
            <w:tcW w:w="1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(3,304)</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9,288</w:t>
            </w: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(3,077)</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18,395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selling, general and administrative</w:t>
            </w: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15,942</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24,729</w:t>
            </w: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36,324</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42,384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Total selling, general and administrative</w:t>
            </w: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12,638</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34,017</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33,247</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60,779</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39,535</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79,036</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108,423</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169,032</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1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(38,941)</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(77,492)</w:t>
            </w: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(105,813)</w:t>
            </w:r>
          </w:p>
        </w:tc>
        <w:tc>
          <w:tcPr>
            <w:tcW w:w="1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(166,694)</w:t>
            </w:r>
          </w:p>
        </w:tc>
        <w:tc>
          <w:tcPr>
            <w:tcW w:w="0" w:type="dxa"/>
            <w:vAlign w:val="bottom"/>
          </w:tcPr>
          <w:p>
            <w:pPr>
              <w:spacing w:after="0"/>
              <w:rPr>
                <w:sz w:val="1"/>
                <w:szCs w:val="1"/>
                <w:color w:val="auto"/>
              </w:rPr>
            </w:pPr>
          </w:p>
        </w:tc>
      </w:tr>
      <w:tr>
        <w:trPr>
          <w:trHeight w:val="210"/>
        </w:trPr>
        <w:tc>
          <w:tcPr>
            <w:tcW w:w="40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income</w:t>
            </w:r>
          </w:p>
        </w:tc>
        <w:tc>
          <w:tcPr>
            <w:tcW w:w="1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(1,448)</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(1,971)</w:t>
            </w:r>
          </w:p>
        </w:tc>
        <w:tc>
          <w:tcPr>
            <w:tcW w:w="1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(1,090)</w:t>
            </w:r>
          </w:p>
        </w:tc>
        <w:tc>
          <w:tcPr>
            <w:tcW w:w="0" w:type="dxa"/>
            <w:vAlign w:val="bottom"/>
          </w:tcPr>
          <w:p>
            <w:pPr>
              <w:spacing w:after="0"/>
              <w:rPr>
                <w:sz w:val="1"/>
                <w:szCs w:val="1"/>
                <w:color w:val="auto"/>
              </w:rPr>
            </w:pPr>
          </w:p>
        </w:tc>
      </w:tr>
      <w:tr>
        <w:trPr>
          <w:trHeight w:val="209"/>
        </w:trPr>
        <w:tc>
          <w:tcPr>
            <w:tcW w:w="4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expense (income), net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2,431</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(40,510)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(78,497)$</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(109,523)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(169,125)</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net loss per common share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(0.30)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(0.81)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00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Weighted-average shares used in computing basic and</w:t>
            </w:r>
          </w:p>
        </w:tc>
        <w:tc>
          <w:tcPr>
            <w:tcW w:w="12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134,779,904</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132,072,996</w:t>
            </w: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134,591,250</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131,986,293</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net loss per common share</w:t>
            </w: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TG Therapeutics, Inc.</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Condensed Consolidated Statements of Changes in Stockholders’ Equity</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(in thousands, except share and per share amounts)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(Unaudited)</w:t>
      </w:r>
    </w:p>
    <w:p>
      <w:pPr>
        <w:spacing w:after="0" w:line="125"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3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55"/>
        </w:trPr>
        <w:tc>
          <w:tcPr>
            <w:tcW w:w="3840" w:type="dxa"/>
            <w:vAlign w:val="bottom"/>
          </w:tcPr>
          <w:p>
            <w:pPr>
              <w:spacing w:after="0"/>
              <w:rPr>
                <w:sz w:val="13"/>
                <w:szCs w:val="13"/>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280" w:type="dxa"/>
            <w:vAlign w:val="bottom"/>
            <w:gridSpan w:val="5"/>
          </w:tcPr>
          <w:p>
            <w:pPr>
              <w:ind w:left="14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580" w:type="dxa"/>
            <w:vAlign w:val="bottom"/>
          </w:tcPr>
          <w:p>
            <w:pPr>
              <w:spacing w:after="0"/>
              <w:rPr>
                <w:sz w:val="13"/>
                <w:szCs w:val="13"/>
                <w:color w:val="auto"/>
              </w:rPr>
            </w:pPr>
          </w:p>
        </w:tc>
      </w:tr>
      <w:tr>
        <w:trPr>
          <w:trHeight w:val="128"/>
        </w:trPr>
        <w:tc>
          <w:tcPr>
            <w:tcW w:w="3840" w:type="dxa"/>
            <w:vAlign w:val="bottom"/>
          </w:tcPr>
          <w:p>
            <w:pPr>
              <w:spacing w:after="0"/>
              <w:rPr>
                <w:sz w:val="11"/>
                <w:szCs w:val="11"/>
                <w:color w:val="auto"/>
              </w:rPr>
            </w:pPr>
          </w:p>
        </w:tc>
        <w:tc>
          <w:tcPr>
            <w:tcW w:w="860" w:type="dxa"/>
            <w:vAlign w:val="bottom"/>
            <w:tcBorders>
              <w:top w:val="single" w:sz="8" w:color="auto"/>
            </w:tcBorders>
            <w:gridSpan w:val="2"/>
          </w:tcPr>
          <w:p>
            <w:pPr>
              <w:jc w:val="right"/>
              <w:ind w:right="32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540" w:type="dxa"/>
            <w:vAlign w:val="bottom"/>
            <w:tcBorders>
              <w:top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1"/>
                <w:szCs w:val="11"/>
                <w:color w:val="auto"/>
              </w:rPr>
            </w:pPr>
          </w:p>
        </w:tc>
        <w:tc>
          <w:tcPr>
            <w:tcW w:w="800" w:type="dxa"/>
            <w:vAlign w:val="bottom"/>
            <w:gridSpan w:val="2"/>
          </w:tcPr>
          <w:p>
            <w:pPr>
              <w:jc w:val="center"/>
              <w:ind w:right="80"/>
              <w:spacing w:after="0" w:line="129" w:lineRule="exact"/>
              <w:rPr>
                <w:sz w:val="20"/>
                <w:szCs w:val="20"/>
                <w:color w:val="auto"/>
              </w:rPr>
            </w:pPr>
            <w:r>
              <w:rPr>
                <w:rFonts w:ascii="Times New Roman" w:cs="Times New Roman" w:eastAsia="Times New Roman" w:hAnsi="Times New Roman"/>
                <w:sz w:val="13"/>
                <w:szCs w:val="13"/>
                <w:b w:val="1"/>
                <w:bCs w:val="1"/>
                <w:color w:val="auto"/>
                <w:w w:val="95"/>
              </w:rPr>
              <w:t>capital</w:t>
            </w:r>
          </w:p>
        </w:tc>
        <w:tc>
          <w:tcPr>
            <w:tcW w:w="600" w:type="dxa"/>
            <w:vAlign w:val="bottom"/>
            <w:tcBorders>
              <w:top w:val="single" w:sz="8" w:color="auto"/>
            </w:tcBorders>
            <w:gridSpan w:val="2"/>
          </w:tcPr>
          <w:p>
            <w:pPr>
              <w:ind w:left="4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560" w:type="dxa"/>
            <w:vAlign w:val="bottom"/>
            <w:tcBorders>
              <w:top w:val="single" w:sz="8" w:color="auto"/>
            </w:tcBorders>
            <w:gridSpan w:val="2"/>
          </w:tcPr>
          <w:p>
            <w:pPr>
              <w:jc w:val="right"/>
              <w:ind w:right="17"/>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1"/>
                <w:szCs w:val="11"/>
                <w:color w:val="auto"/>
              </w:rPr>
            </w:pPr>
          </w:p>
        </w:tc>
        <w:tc>
          <w:tcPr>
            <w:tcW w:w="880" w:type="dxa"/>
            <w:vAlign w:val="bottom"/>
            <w:gridSpan w:val="2"/>
          </w:tcPr>
          <w:p>
            <w:pPr>
              <w:jc w:val="right"/>
              <w:ind w:right="320"/>
              <w:spacing w:after="0" w:line="129" w:lineRule="exact"/>
              <w:rPr>
                <w:sz w:val="20"/>
                <w:szCs w:val="20"/>
                <w:color w:val="auto"/>
              </w:rPr>
            </w:pPr>
            <w:r>
              <w:rPr>
                <w:rFonts w:ascii="Times New Roman" w:cs="Times New Roman" w:eastAsia="Times New Roman" w:hAnsi="Times New Roman"/>
                <w:sz w:val="13"/>
                <w:szCs w:val="13"/>
                <w:b w:val="1"/>
                <w:bCs w:val="1"/>
                <w:color w:val="auto"/>
              </w:rPr>
              <w:t>Deficit</w:t>
            </w:r>
          </w:p>
        </w:tc>
        <w:tc>
          <w:tcPr>
            <w:tcW w:w="580" w:type="dxa"/>
            <w:vAlign w:val="bottom"/>
          </w:tcPr>
          <w:p>
            <w:pPr>
              <w:jc w:val="right"/>
              <w:ind w:right="77"/>
              <w:spacing w:after="0" w:line="129" w:lineRule="exact"/>
              <w:rPr>
                <w:sz w:val="20"/>
                <w:szCs w:val="20"/>
                <w:color w:val="auto"/>
              </w:rPr>
            </w:pPr>
            <w:r>
              <w:rPr>
                <w:rFonts w:ascii="Times New Roman" w:cs="Times New Roman" w:eastAsia="Times New Roman" w:hAnsi="Times New Roman"/>
                <w:sz w:val="13"/>
                <w:szCs w:val="13"/>
                <w:b w:val="1"/>
                <w:bCs w:val="1"/>
                <w:color w:val="auto"/>
              </w:rPr>
              <w:t>Total</w:t>
            </w:r>
          </w:p>
        </w:tc>
      </w:tr>
      <w:tr>
        <w:trPr>
          <w:trHeight w:val="128"/>
        </w:trPr>
        <w:tc>
          <w:tcPr>
            <w:tcW w:w="3840" w:type="dxa"/>
            <w:vAlign w:val="bottom"/>
            <w:tcBorders>
              <w:top w:val="single" w:sz="8" w:color="CCEEFF"/>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Balance at January 1, 2021</w:t>
            </w:r>
          </w:p>
        </w:tc>
        <w:tc>
          <w:tcPr>
            <w:tcW w:w="7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140,617,606</w:t>
            </w:r>
          </w:p>
        </w:tc>
        <w:tc>
          <w:tcPr>
            <w:tcW w:w="14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jc w:val="right"/>
              <w:ind w:right="162"/>
              <w:spacing w:after="0"/>
              <w:rPr>
                <w:sz w:val="20"/>
                <w:szCs w:val="20"/>
                <w:color w:val="auto"/>
              </w:rPr>
            </w:pPr>
            <w:r>
              <w:rPr>
                <w:rFonts w:ascii="Times New Roman" w:cs="Times New Roman" w:eastAsia="Times New Roman" w:hAnsi="Times New Roman"/>
                <w:sz w:val="10"/>
                <w:szCs w:val="10"/>
                <w:color w:val="auto"/>
                <w:w w:val="79"/>
              </w:rPr>
              <w:t>$</w:t>
            </w:r>
          </w:p>
        </w:tc>
        <w:tc>
          <w:tcPr>
            <w:tcW w:w="2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141</w:t>
            </w:r>
          </w:p>
        </w:tc>
        <w:tc>
          <w:tcPr>
            <w:tcW w:w="12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7"/>
              </w:rPr>
              <w:t>$ 1,500,040</w:t>
            </w:r>
          </w:p>
        </w:tc>
        <w:tc>
          <w:tcPr>
            <w:tcW w:w="14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41,309</w:t>
            </w:r>
          </w:p>
        </w:tc>
        <w:tc>
          <w:tcPr>
            <w:tcW w:w="1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0"/>
                <w:szCs w:val="10"/>
                <w:color w:val="auto"/>
                <w:w w:val="79"/>
              </w:rPr>
              <w:t>$</w:t>
            </w:r>
          </w:p>
        </w:tc>
        <w:tc>
          <w:tcPr>
            <w:tcW w:w="3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(234)</w:t>
            </w:r>
          </w:p>
        </w:tc>
        <w:tc>
          <w:tcPr>
            <w:tcW w:w="12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   (980,597)</w:t>
            </w:r>
          </w:p>
        </w:tc>
        <w:tc>
          <w:tcPr>
            <w:tcW w:w="14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$ 519,350</w:t>
            </w:r>
          </w:p>
        </w:tc>
      </w:tr>
      <w:tr>
        <w:trPr>
          <w:trHeight w:val="135"/>
        </w:trPr>
        <w:tc>
          <w:tcPr>
            <w:tcW w:w="384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Issuance of common stock in connection with exercise of options</w:t>
            </w: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31,245</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128</w:t>
            </w:r>
          </w:p>
        </w:tc>
        <w:tc>
          <w:tcPr>
            <w:tcW w:w="140" w:type="dxa"/>
            <w:vAlign w:val="bottom"/>
          </w:tcPr>
          <w:p>
            <w:pPr>
              <w:spacing w:after="0"/>
              <w:rPr>
                <w:sz w:val="11"/>
                <w:szCs w:val="11"/>
                <w:color w:val="auto"/>
              </w:rPr>
            </w:pPr>
          </w:p>
        </w:tc>
        <w:tc>
          <w:tcPr>
            <w:tcW w:w="6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5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128</w:t>
            </w:r>
          </w:p>
        </w:tc>
      </w:tr>
      <w:tr>
        <w:trPr>
          <w:trHeight w:val="135"/>
        </w:trPr>
        <w:tc>
          <w:tcPr>
            <w:tcW w:w="384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Issuance of restricted stock</w:t>
            </w: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893,488</w:t>
            </w: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w:t>
            </w:r>
          </w:p>
        </w:tc>
        <w:tc>
          <w:tcPr>
            <w:tcW w:w="60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384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Forfeiture of restricted stock</w:t>
            </w:r>
          </w:p>
        </w:tc>
        <w:tc>
          <w:tcPr>
            <w:tcW w:w="8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(21,643)</w:t>
            </w:r>
          </w:p>
        </w:tc>
        <w:tc>
          <w:tcPr>
            <w:tcW w:w="280" w:type="dxa"/>
            <w:vAlign w:val="bottom"/>
          </w:tcPr>
          <w:p>
            <w:pPr>
              <w:spacing w:after="0"/>
              <w:rPr>
                <w:sz w:val="11"/>
                <w:szCs w:val="11"/>
                <w:color w:val="auto"/>
              </w:rPr>
            </w:pPr>
          </w:p>
        </w:tc>
        <w:tc>
          <w:tcPr>
            <w:tcW w:w="2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5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384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Offering costs paid</w:t>
            </w:r>
          </w:p>
        </w:tc>
        <w:tc>
          <w:tcPr>
            <w:tcW w:w="86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(183)</w:t>
            </w:r>
          </w:p>
        </w:tc>
        <w:tc>
          <w:tcPr>
            <w:tcW w:w="60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(183)</w:t>
            </w:r>
          </w:p>
        </w:tc>
      </w:tr>
      <w:tr>
        <w:trPr>
          <w:trHeight w:val="117"/>
        </w:trPr>
        <w:tc>
          <w:tcPr>
            <w:tcW w:w="3840" w:type="dxa"/>
            <w:vAlign w:val="bottom"/>
          </w:tcPr>
          <w:p>
            <w:pPr>
              <w:ind w:left="20"/>
              <w:spacing w:after="0" w:line="117" w:lineRule="exact"/>
              <w:rPr>
                <w:sz w:val="20"/>
                <w:szCs w:val="20"/>
                <w:color w:val="auto"/>
              </w:rPr>
            </w:pPr>
            <w:r>
              <w:rPr>
                <w:rFonts w:ascii="Times New Roman" w:cs="Times New Roman" w:eastAsia="Times New Roman" w:hAnsi="Times New Roman"/>
                <w:sz w:val="13"/>
                <w:szCs w:val="13"/>
                <w:color w:val="auto"/>
              </w:rPr>
              <w:t>Compensation in respect of restricted stock granted to employees,</w:t>
            </w: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r>
      <w:tr>
        <w:trPr>
          <w:trHeight w:val="153"/>
        </w:trPr>
        <w:tc>
          <w:tcPr>
            <w:tcW w:w="3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directors and consultants</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3"/>
                <w:szCs w:val="13"/>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16,618</w:t>
            </w:r>
          </w:p>
        </w:tc>
        <w:tc>
          <w:tcPr>
            <w:tcW w:w="140" w:type="dxa"/>
            <w:vAlign w:val="bottom"/>
          </w:tcPr>
          <w:p>
            <w:pPr>
              <w:spacing w:after="0"/>
              <w:rPr>
                <w:sz w:val="13"/>
                <w:szCs w:val="13"/>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16,618</w:t>
            </w:r>
          </w:p>
        </w:tc>
      </w:tr>
      <w:tr>
        <w:trPr>
          <w:trHeight w:val="135"/>
        </w:trPr>
        <w:tc>
          <w:tcPr>
            <w:tcW w:w="384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86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(90,628)</w:t>
            </w: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(90,628)</w:t>
            </w:r>
          </w:p>
        </w:tc>
      </w:tr>
      <w:tr>
        <w:trPr>
          <w:trHeight w:val="129"/>
        </w:trPr>
        <w:tc>
          <w:tcPr>
            <w:tcW w:w="3840" w:type="dxa"/>
            <w:vAlign w:val="bottom"/>
          </w:tcPr>
          <w:p>
            <w:pPr>
              <w:ind w:left="20"/>
              <w:spacing w:after="0" w:line="129" w:lineRule="exact"/>
              <w:rPr>
                <w:sz w:val="20"/>
                <w:szCs w:val="20"/>
                <w:color w:val="auto"/>
              </w:rPr>
            </w:pPr>
            <w:r>
              <w:rPr>
                <w:rFonts w:ascii="Times New Roman" w:cs="Times New Roman" w:eastAsia="Times New Roman" w:hAnsi="Times New Roman"/>
                <w:sz w:val="13"/>
                <w:szCs w:val="13"/>
                <w:color w:val="auto"/>
              </w:rPr>
              <w:t>Balance at March 31, 2021</w:t>
            </w:r>
          </w:p>
        </w:tc>
        <w:tc>
          <w:tcPr>
            <w:tcW w:w="7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141,520,696</w:t>
            </w:r>
          </w:p>
        </w:tc>
        <w:tc>
          <w:tcPr>
            <w:tcW w:w="14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142</w:t>
            </w:r>
          </w:p>
        </w:tc>
        <w:tc>
          <w:tcPr>
            <w:tcW w:w="120" w:type="dxa"/>
            <w:vAlign w:val="bottom"/>
          </w:tcPr>
          <w:p>
            <w:pPr>
              <w:spacing w:after="0"/>
              <w:rPr>
                <w:sz w:val="11"/>
                <w:szCs w:val="11"/>
                <w:color w:val="auto"/>
              </w:rPr>
            </w:pPr>
          </w:p>
        </w:tc>
        <w:tc>
          <w:tcPr>
            <w:tcW w:w="6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1,516,602</w:t>
            </w:r>
          </w:p>
        </w:tc>
        <w:tc>
          <w:tcPr>
            <w:tcW w:w="140" w:type="dxa"/>
            <w:vAlign w:val="bottom"/>
          </w:tcPr>
          <w:p>
            <w:pPr>
              <w:spacing w:after="0"/>
              <w:rPr>
                <w:sz w:val="11"/>
                <w:szCs w:val="11"/>
                <w:color w:val="auto"/>
              </w:rPr>
            </w:pPr>
          </w:p>
        </w:tc>
        <w:tc>
          <w:tcPr>
            <w:tcW w:w="4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41,309</w:t>
            </w:r>
          </w:p>
        </w:tc>
        <w:tc>
          <w:tcPr>
            <w:tcW w:w="1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(234)</w:t>
            </w:r>
          </w:p>
        </w:tc>
        <w:tc>
          <w:tcPr>
            <w:tcW w:w="120" w:type="dxa"/>
            <w:vAlign w:val="bottom"/>
          </w:tcPr>
          <w:p>
            <w:pPr>
              <w:spacing w:after="0"/>
              <w:rPr>
                <w:sz w:val="11"/>
                <w:szCs w:val="11"/>
                <w:color w:val="auto"/>
              </w:rPr>
            </w:pPr>
          </w:p>
        </w:tc>
        <w:tc>
          <w:tcPr>
            <w:tcW w:w="74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(1,071,225)</w:t>
            </w:r>
          </w:p>
        </w:tc>
        <w:tc>
          <w:tcPr>
            <w:tcW w:w="140" w:type="dxa"/>
            <w:vAlign w:val="bottom"/>
          </w:tcPr>
          <w:p>
            <w:pPr>
              <w:spacing w:after="0"/>
              <w:rPr>
                <w:sz w:val="11"/>
                <w:szCs w:val="11"/>
                <w:color w:val="auto"/>
              </w:rPr>
            </w:pPr>
          </w:p>
        </w:tc>
        <w:tc>
          <w:tcPr>
            <w:tcW w:w="5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445,285</w:t>
            </w:r>
          </w:p>
        </w:tc>
      </w:tr>
      <w:tr>
        <w:trPr>
          <w:trHeight w:val="135"/>
        </w:trPr>
        <w:tc>
          <w:tcPr>
            <w:tcW w:w="384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Issuance of common stock in connection with exercise of options</w:t>
            </w: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9,364</w:t>
            </w: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38</w:t>
            </w:r>
          </w:p>
        </w:tc>
        <w:tc>
          <w:tcPr>
            <w:tcW w:w="1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38</w:t>
            </w:r>
          </w:p>
        </w:tc>
      </w:tr>
      <w:tr>
        <w:trPr>
          <w:trHeight w:val="135"/>
        </w:trPr>
        <w:tc>
          <w:tcPr>
            <w:tcW w:w="384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Issuance of restricted stock</w:t>
            </w: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1,356,151</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1"/>
                <w:szCs w:val="11"/>
                <w:color w:val="auto"/>
              </w:rPr>
            </w:pPr>
          </w:p>
        </w:tc>
        <w:tc>
          <w:tcPr>
            <w:tcW w:w="8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w:t>
            </w:r>
          </w:p>
        </w:tc>
        <w:tc>
          <w:tcPr>
            <w:tcW w:w="6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5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384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Forfeiture of restricted stock</w:t>
            </w:r>
          </w:p>
        </w:tc>
        <w:tc>
          <w:tcPr>
            <w:tcW w:w="86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(12,416)</w:t>
            </w:r>
          </w:p>
        </w:tc>
        <w:tc>
          <w:tcPr>
            <w:tcW w:w="28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17"/>
        </w:trPr>
        <w:tc>
          <w:tcPr>
            <w:tcW w:w="3840" w:type="dxa"/>
            <w:vAlign w:val="bottom"/>
          </w:tcPr>
          <w:p>
            <w:pPr>
              <w:ind w:left="20"/>
              <w:spacing w:after="0" w:line="117" w:lineRule="exact"/>
              <w:rPr>
                <w:sz w:val="20"/>
                <w:szCs w:val="20"/>
                <w:color w:val="auto"/>
              </w:rPr>
            </w:pPr>
            <w:r>
              <w:rPr>
                <w:rFonts w:ascii="Times New Roman" w:cs="Times New Roman" w:eastAsia="Times New Roman" w:hAnsi="Times New Roman"/>
                <w:sz w:val="13"/>
                <w:szCs w:val="13"/>
                <w:color w:val="auto"/>
              </w:rPr>
              <w:t>Compensation in respect of restricted stock granted to employees,</w:t>
            </w: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r>
      <w:tr>
        <w:trPr>
          <w:trHeight w:val="153"/>
        </w:trPr>
        <w:tc>
          <w:tcPr>
            <w:tcW w:w="3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directors and consultants</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3"/>
                <w:szCs w:val="13"/>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16,304</w:t>
            </w:r>
          </w:p>
        </w:tc>
        <w:tc>
          <w:tcPr>
            <w:tcW w:w="140" w:type="dxa"/>
            <w:vAlign w:val="bottom"/>
          </w:tcPr>
          <w:p>
            <w:pPr>
              <w:spacing w:after="0"/>
              <w:rPr>
                <w:sz w:val="13"/>
                <w:szCs w:val="13"/>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16,304</w:t>
            </w:r>
          </w:p>
        </w:tc>
      </w:tr>
      <w:tr>
        <w:trPr>
          <w:trHeight w:val="135"/>
        </w:trPr>
        <w:tc>
          <w:tcPr>
            <w:tcW w:w="384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86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(78,497)</w:t>
            </w: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(78,497)</w:t>
            </w:r>
          </w:p>
        </w:tc>
      </w:tr>
      <w:tr>
        <w:trPr>
          <w:trHeight w:val="158"/>
        </w:trPr>
        <w:tc>
          <w:tcPr>
            <w:tcW w:w="384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Balance at June 30, 2021</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142,873,795</w:t>
            </w:r>
          </w:p>
        </w:tc>
        <w:tc>
          <w:tcPr>
            <w:tcW w:w="14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143</w:t>
            </w:r>
          </w:p>
        </w:tc>
        <w:tc>
          <w:tcPr>
            <w:tcW w:w="120" w:type="dxa"/>
            <w:vAlign w:val="bottom"/>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1,532,943</w:t>
            </w:r>
          </w:p>
        </w:tc>
        <w:tc>
          <w:tcPr>
            <w:tcW w:w="140" w:type="dxa"/>
            <w:vAlign w:val="bottom"/>
          </w:tcPr>
          <w:p>
            <w:pPr>
              <w:spacing w:after="0"/>
              <w:rPr>
                <w:sz w:val="13"/>
                <w:szCs w:val="13"/>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41,309</w:t>
            </w:r>
          </w:p>
        </w:tc>
        <w:tc>
          <w:tcPr>
            <w:tcW w:w="1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(234)</w:t>
            </w:r>
          </w:p>
        </w:tc>
        <w:tc>
          <w:tcPr>
            <w:tcW w:w="120" w:type="dxa"/>
            <w:vAlign w:val="bottom"/>
          </w:tcPr>
          <w:p>
            <w:pPr>
              <w:spacing w:after="0"/>
              <w:rPr>
                <w:sz w:val="13"/>
                <w:szCs w:val="13"/>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(1,149,722)</w:t>
            </w:r>
          </w:p>
        </w:tc>
        <w:tc>
          <w:tcPr>
            <w:tcW w:w="140" w:type="dxa"/>
            <w:vAlign w:val="bottom"/>
          </w:tcPr>
          <w:p>
            <w:pPr>
              <w:spacing w:after="0"/>
              <w:rPr>
                <w:sz w:val="13"/>
                <w:szCs w:val="13"/>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383,130</w:t>
            </w:r>
          </w:p>
        </w:tc>
      </w:tr>
    </w:tbl>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3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55"/>
        </w:trPr>
        <w:tc>
          <w:tcPr>
            <w:tcW w:w="3840" w:type="dxa"/>
            <w:vAlign w:val="bottom"/>
          </w:tcPr>
          <w:p>
            <w:pPr>
              <w:spacing w:after="0"/>
              <w:rPr>
                <w:sz w:val="13"/>
                <w:szCs w:val="13"/>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280" w:type="dxa"/>
            <w:vAlign w:val="bottom"/>
            <w:gridSpan w:val="5"/>
          </w:tcPr>
          <w:p>
            <w:pPr>
              <w:ind w:left="14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580" w:type="dxa"/>
            <w:vAlign w:val="bottom"/>
          </w:tcPr>
          <w:p>
            <w:pPr>
              <w:spacing w:after="0"/>
              <w:rPr>
                <w:sz w:val="13"/>
                <w:szCs w:val="13"/>
                <w:color w:val="auto"/>
              </w:rPr>
            </w:pPr>
          </w:p>
        </w:tc>
      </w:tr>
      <w:tr>
        <w:trPr>
          <w:trHeight w:val="129"/>
        </w:trPr>
        <w:tc>
          <w:tcPr>
            <w:tcW w:w="3840" w:type="dxa"/>
            <w:vAlign w:val="bottom"/>
          </w:tcPr>
          <w:p>
            <w:pPr>
              <w:spacing w:after="0"/>
              <w:rPr>
                <w:sz w:val="11"/>
                <w:szCs w:val="11"/>
                <w:color w:val="auto"/>
              </w:rPr>
            </w:pPr>
          </w:p>
        </w:tc>
        <w:tc>
          <w:tcPr>
            <w:tcW w:w="860" w:type="dxa"/>
            <w:vAlign w:val="bottom"/>
            <w:tcBorders>
              <w:top w:val="single" w:sz="8" w:color="auto"/>
            </w:tcBorders>
            <w:gridSpan w:val="2"/>
          </w:tcPr>
          <w:p>
            <w:pPr>
              <w:jc w:val="right"/>
              <w:ind w:right="32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540" w:type="dxa"/>
            <w:vAlign w:val="bottom"/>
            <w:tcBorders>
              <w:top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1"/>
                <w:szCs w:val="11"/>
                <w:color w:val="auto"/>
              </w:rPr>
            </w:pPr>
          </w:p>
        </w:tc>
        <w:tc>
          <w:tcPr>
            <w:tcW w:w="800" w:type="dxa"/>
            <w:vAlign w:val="bottom"/>
            <w:gridSpan w:val="2"/>
          </w:tcPr>
          <w:p>
            <w:pPr>
              <w:jc w:val="center"/>
              <w:ind w:right="80"/>
              <w:spacing w:after="0" w:line="129" w:lineRule="exact"/>
              <w:rPr>
                <w:sz w:val="20"/>
                <w:szCs w:val="20"/>
                <w:color w:val="auto"/>
              </w:rPr>
            </w:pPr>
            <w:r>
              <w:rPr>
                <w:rFonts w:ascii="Times New Roman" w:cs="Times New Roman" w:eastAsia="Times New Roman" w:hAnsi="Times New Roman"/>
                <w:sz w:val="13"/>
                <w:szCs w:val="13"/>
                <w:b w:val="1"/>
                <w:bCs w:val="1"/>
                <w:color w:val="auto"/>
                <w:w w:val="95"/>
              </w:rPr>
              <w:t>capital</w:t>
            </w:r>
          </w:p>
        </w:tc>
        <w:tc>
          <w:tcPr>
            <w:tcW w:w="600" w:type="dxa"/>
            <w:vAlign w:val="bottom"/>
            <w:tcBorders>
              <w:top w:val="single" w:sz="8" w:color="auto"/>
            </w:tcBorders>
            <w:gridSpan w:val="2"/>
          </w:tcPr>
          <w:p>
            <w:pPr>
              <w:ind w:left="4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560" w:type="dxa"/>
            <w:vAlign w:val="bottom"/>
            <w:tcBorders>
              <w:top w:val="single" w:sz="8" w:color="auto"/>
            </w:tcBorders>
            <w:gridSpan w:val="2"/>
          </w:tcPr>
          <w:p>
            <w:pPr>
              <w:jc w:val="right"/>
              <w:ind w:right="17"/>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1"/>
                <w:szCs w:val="11"/>
                <w:color w:val="auto"/>
              </w:rPr>
            </w:pPr>
          </w:p>
        </w:tc>
        <w:tc>
          <w:tcPr>
            <w:tcW w:w="880" w:type="dxa"/>
            <w:vAlign w:val="bottom"/>
            <w:gridSpan w:val="2"/>
          </w:tcPr>
          <w:p>
            <w:pPr>
              <w:jc w:val="right"/>
              <w:ind w:right="320"/>
              <w:spacing w:after="0" w:line="129" w:lineRule="exact"/>
              <w:rPr>
                <w:sz w:val="20"/>
                <w:szCs w:val="20"/>
                <w:color w:val="auto"/>
              </w:rPr>
            </w:pPr>
            <w:r>
              <w:rPr>
                <w:rFonts w:ascii="Times New Roman" w:cs="Times New Roman" w:eastAsia="Times New Roman" w:hAnsi="Times New Roman"/>
                <w:sz w:val="13"/>
                <w:szCs w:val="13"/>
                <w:b w:val="1"/>
                <w:bCs w:val="1"/>
                <w:color w:val="auto"/>
              </w:rPr>
              <w:t>Deficit</w:t>
            </w:r>
          </w:p>
        </w:tc>
        <w:tc>
          <w:tcPr>
            <w:tcW w:w="580" w:type="dxa"/>
            <w:vAlign w:val="bottom"/>
          </w:tcPr>
          <w:p>
            <w:pPr>
              <w:jc w:val="right"/>
              <w:ind w:right="77"/>
              <w:spacing w:after="0" w:line="129" w:lineRule="exact"/>
              <w:rPr>
                <w:sz w:val="20"/>
                <w:szCs w:val="20"/>
                <w:color w:val="auto"/>
              </w:rPr>
            </w:pPr>
            <w:r>
              <w:rPr>
                <w:rFonts w:ascii="Times New Roman" w:cs="Times New Roman" w:eastAsia="Times New Roman" w:hAnsi="Times New Roman"/>
                <w:sz w:val="13"/>
                <w:szCs w:val="13"/>
                <w:b w:val="1"/>
                <w:bCs w:val="1"/>
                <w:color w:val="auto"/>
              </w:rPr>
              <w:t>Total</w:t>
            </w:r>
          </w:p>
        </w:tc>
      </w:tr>
      <w:tr>
        <w:trPr>
          <w:trHeight w:val="128"/>
        </w:trPr>
        <w:tc>
          <w:tcPr>
            <w:tcW w:w="3840" w:type="dxa"/>
            <w:vAlign w:val="bottom"/>
            <w:tcBorders>
              <w:top w:val="single" w:sz="8" w:color="CCEEFF"/>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Balance at January 1, 2022</w:t>
            </w:r>
          </w:p>
        </w:tc>
        <w:tc>
          <w:tcPr>
            <w:tcW w:w="7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143,292,043</w:t>
            </w:r>
          </w:p>
        </w:tc>
        <w:tc>
          <w:tcPr>
            <w:tcW w:w="14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jc w:val="right"/>
              <w:ind w:right="162"/>
              <w:spacing w:after="0"/>
              <w:rPr>
                <w:sz w:val="20"/>
                <w:szCs w:val="20"/>
                <w:color w:val="auto"/>
              </w:rPr>
            </w:pPr>
            <w:r>
              <w:rPr>
                <w:rFonts w:ascii="Times New Roman" w:cs="Times New Roman" w:eastAsia="Times New Roman" w:hAnsi="Times New Roman"/>
                <w:sz w:val="10"/>
                <w:szCs w:val="10"/>
                <w:color w:val="auto"/>
                <w:w w:val="79"/>
              </w:rPr>
              <w:t>$</w:t>
            </w:r>
          </w:p>
        </w:tc>
        <w:tc>
          <w:tcPr>
            <w:tcW w:w="2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143</w:t>
            </w:r>
          </w:p>
        </w:tc>
        <w:tc>
          <w:tcPr>
            <w:tcW w:w="12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7"/>
              </w:rPr>
              <w:t>$ 1,565,942</w:t>
            </w:r>
          </w:p>
        </w:tc>
        <w:tc>
          <w:tcPr>
            <w:tcW w:w="14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41,309</w:t>
            </w:r>
          </w:p>
        </w:tc>
        <w:tc>
          <w:tcPr>
            <w:tcW w:w="1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0"/>
                <w:szCs w:val="10"/>
                <w:color w:val="auto"/>
                <w:w w:val="79"/>
              </w:rPr>
              <w:t>$</w:t>
            </w:r>
          </w:p>
        </w:tc>
        <w:tc>
          <w:tcPr>
            <w:tcW w:w="3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(234)</w:t>
            </w:r>
          </w:p>
        </w:tc>
        <w:tc>
          <w:tcPr>
            <w:tcW w:w="12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7"/>
              </w:rPr>
              <w:t>$  (1,328,698)</w:t>
            </w:r>
          </w:p>
        </w:tc>
        <w:tc>
          <w:tcPr>
            <w:tcW w:w="14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$ 237,153</w:t>
            </w:r>
          </w:p>
        </w:tc>
      </w:tr>
      <w:tr>
        <w:trPr>
          <w:trHeight w:val="135"/>
        </w:trPr>
        <w:tc>
          <w:tcPr>
            <w:tcW w:w="384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Issuance of common stock in connection with exercise of options</w:t>
            </w: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30,411</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125</w:t>
            </w:r>
          </w:p>
        </w:tc>
        <w:tc>
          <w:tcPr>
            <w:tcW w:w="140" w:type="dxa"/>
            <w:vAlign w:val="bottom"/>
          </w:tcPr>
          <w:p>
            <w:pPr>
              <w:spacing w:after="0"/>
              <w:rPr>
                <w:sz w:val="11"/>
                <w:szCs w:val="11"/>
                <w:color w:val="auto"/>
              </w:rPr>
            </w:pPr>
          </w:p>
        </w:tc>
        <w:tc>
          <w:tcPr>
            <w:tcW w:w="6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5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125</w:t>
            </w:r>
          </w:p>
        </w:tc>
      </w:tr>
      <w:tr>
        <w:trPr>
          <w:trHeight w:val="135"/>
        </w:trPr>
        <w:tc>
          <w:tcPr>
            <w:tcW w:w="384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Issuance of restricted stock</w:t>
            </w: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1,852,626</w:t>
            </w: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w:t>
            </w: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(2)</w:t>
            </w:r>
          </w:p>
        </w:tc>
        <w:tc>
          <w:tcPr>
            <w:tcW w:w="60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384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Forfeiture of restricted stock</w:t>
            </w:r>
          </w:p>
        </w:tc>
        <w:tc>
          <w:tcPr>
            <w:tcW w:w="8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(591,746)</w:t>
            </w:r>
          </w:p>
        </w:tc>
        <w:tc>
          <w:tcPr>
            <w:tcW w:w="280" w:type="dxa"/>
            <w:vAlign w:val="bottom"/>
          </w:tcPr>
          <w:p>
            <w:pPr>
              <w:spacing w:after="0"/>
              <w:rPr>
                <w:sz w:val="11"/>
                <w:szCs w:val="11"/>
                <w:color w:val="auto"/>
              </w:rPr>
            </w:pPr>
          </w:p>
        </w:tc>
        <w:tc>
          <w:tcPr>
            <w:tcW w:w="2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5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17"/>
        </w:trPr>
        <w:tc>
          <w:tcPr>
            <w:tcW w:w="3840" w:type="dxa"/>
            <w:vAlign w:val="bottom"/>
            <w:shd w:val="clear" w:color="auto" w:fill="CCEEFF"/>
          </w:tcPr>
          <w:p>
            <w:pPr>
              <w:ind w:left="20"/>
              <w:spacing w:after="0" w:line="117" w:lineRule="exact"/>
              <w:rPr>
                <w:sz w:val="20"/>
                <w:szCs w:val="20"/>
                <w:color w:val="auto"/>
              </w:rPr>
            </w:pPr>
            <w:r>
              <w:rPr>
                <w:rFonts w:ascii="Times New Roman" w:cs="Times New Roman" w:eastAsia="Times New Roman" w:hAnsi="Times New Roman"/>
                <w:sz w:val="13"/>
                <w:szCs w:val="13"/>
                <w:color w:val="auto"/>
              </w:rPr>
              <w:t>Compensation in respect of restricted stock granted to employees,</w:t>
            </w: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r>
      <w:tr>
        <w:trPr>
          <w:trHeight w:val="153"/>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directors and consultants</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2,121</w:t>
            </w:r>
          </w:p>
        </w:tc>
        <w:tc>
          <w:tcPr>
            <w:tcW w:w="1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2,121</w:t>
            </w:r>
          </w:p>
        </w:tc>
      </w:tr>
      <w:tr>
        <w:trPr>
          <w:trHeight w:val="135"/>
        </w:trPr>
        <w:tc>
          <w:tcPr>
            <w:tcW w:w="384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8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1"/>
                <w:szCs w:val="11"/>
                <w:color w:val="auto"/>
              </w:rPr>
            </w:pPr>
          </w:p>
        </w:tc>
        <w:tc>
          <w:tcPr>
            <w:tcW w:w="3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5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(69,013)</w:t>
            </w: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(69,013)</w:t>
            </w:r>
          </w:p>
        </w:tc>
      </w:tr>
      <w:tr>
        <w:trPr>
          <w:trHeight w:val="129"/>
        </w:trPr>
        <w:tc>
          <w:tcPr>
            <w:tcW w:w="3840" w:type="dxa"/>
            <w:vAlign w:val="bottom"/>
            <w:tcBorders>
              <w:top w:val="single" w:sz="8" w:color="CCEEFF"/>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Balance at March 31, 2022</w:t>
            </w:r>
          </w:p>
        </w:tc>
        <w:tc>
          <w:tcPr>
            <w:tcW w:w="7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144,583,334</w:t>
            </w:r>
          </w:p>
        </w:tc>
        <w:tc>
          <w:tcPr>
            <w:tcW w:w="14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145</w:t>
            </w:r>
          </w:p>
        </w:tc>
        <w:tc>
          <w:tcPr>
            <w:tcW w:w="12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1,568,186</w:t>
            </w:r>
          </w:p>
        </w:tc>
        <w:tc>
          <w:tcPr>
            <w:tcW w:w="14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41,309</w:t>
            </w:r>
          </w:p>
        </w:tc>
        <w:tc>
          <w:tcPr>
            <w:tcW w:w="1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(234)</w:t>
            </w:r>
          </w:p>
        </w:tc>
        <w:tc>
          <w:tcPr>
            <w:tcW w:w="12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(1,397,711)</w:t>
            </w:r>
          </w:p>
        </w:tc>
        <w:tc>
          <w:tcPr>
            <w:tcW w:w="14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170,386</w:t>
            </w:r>
          </w:p>
        </w:tc>
      </w:tr>
      <w:tr>
        <w:trPr>
          <w:trHeight w:val="135"/>
        </w:trPr>
        <w:tc>
          <w:tcPr>
            <w:tcW w:w="384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Issuance of common stock in connection with exercise of options</w:t>
            </w: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33,044</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135</w:t>
            </w:r>
          </w:p>
        </w:tc>
        <w:tc>
          <w:tcPr>
            <w:tcW w:w="140" w:type="dxa"/>
            <w:vAlign w:val="bottom"/>
          </w:tcPr>
          <w:p>
            <w:pPr>
              <w:spacing w:after="0"/>
              <w:rPr>
                <w:sz w:val="11"/>
                <w:szCs w:val="11"/>
                <w:color w:val="auto"/>
              </w:rPr>
            </w:pPr>
          </w:p>
        </w:tc>
        <w:tc>
          <w:tcPr>
            <w:tcW w:w="6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5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135</w:t>
            </w:r>
          </w:p>
        </w:tc>
      </w:tr>
      <w:tr>
        <w:trPr>
          <w:trHeight w:val="135"/>
        </w:trPr>
        <w:tc>
          <w:tcPr>
            <w:tcW w:w="384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Issuance of restricted stock</w:t>
            </w: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1,830,320</w:t>
            </w: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w:t>
            </w: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(2)</w:t>
            </w:r>
          </w:p>
        </w:tc>
        <w:tc>
          <w:tcPr>
            <w:tcW w:w="60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384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Forfeiture of restricted stock</w:t>
            </w:r>
          </w:p>
        </w:tc>
        <w:tc>
          <w:tcPr>
            <w:tcW w:w="8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(1,248,640)</w:t>
            </w:r>
          </w:p>
        </w:tc>
        <w:tc>
          <w:tcPr>
            <w:tcW w:w="280" w:type="dxa"/>
            <w:vAlign w:val="bottom"/>
          </w:tcPr>
          <w:p>
            <w:pPr>
              <w:spacing w:after="0"/>
              <w:rPr>
                <w:sz w:val="11"/>
                <w:szCs w:val="11"/>
                <w:color w:val="auto"/>
              </w:rPr>
            </w:pPr>
          </w:p>
        </w:tc>
        <w:tc>
          <w:tcPr>
            <w:tcW w:w="3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(2)</w:t>
            </w: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40" w:type="dxa"/>
            <w:vAlign w:val="bottom"/>
          </w:tcPr>
          <w:p>
            <w:pPr>
              <w:spacing w:after="0"/>
              <w:rPr>
                <w:sz w:val="11"/>
                <w:szCs w:val="11"/>
                <w:color w:val="auto"/>
              </w:rPr>
            </w:pPr>
          </w:p>
        </w:tc>
        <w:tc>
          <w:tcPr>
            <w:tcW w:w="6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5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r>
      <w:tr>
        <w:trPr>
          <w:trHeight w:val="117"/>
        </w:trPr>
        <w:tc>
          <w:tcPr>
            <w:tcW w:w="3840" w:type="dxa"/>
            <w:vAlign w:val="bottom"/>
            <w:shd w:val="clear" w:color="auto" w:fill="CCEEFF"/>
          </w:tcPr>
          <w:p>
            <w:pPr>
              <w:ind w:left="20"/>
              <w:spacing w:after="0" w:line="117" w:lineRule="exact"/>
              <w:rPr>
                <w:sz w:val="20"/>
                <w:szCs w:val="20"/>
                <w:color w:val="auto"/>
              </w:rPr>
            </w:pPr>
            <w:r>
              <w:rPr>
                <w:rFonts w:ascii="Times New Roman" w:cs="Times New Roman" w:eastAsia="Times New Roman" w:hAnsi="Times New Roman"/>
                <w:sz w:val="13"/>
                <w:szCs w:val="13"/>
                <w:color w:val="auto"/>
              </w:rPr>
              <w:t>Compensation in respect of restricted stock granted to employees,</w:t>
            </w: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r>
      <w:tr>
        <w:trPr>
          <w:trHeight w:val="153"/>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directors and consultants</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(975)</w:t>
            </w: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(975)</w:t>
            </w:r>
          </w:p>
        </w:tc>
      </w:tr>
      <w:tr>
        <w:trPr>
          <w:trHeight w:val="135"/>
        </w:trPr>
        <w:tc>
          <w:tcPr>
            <w:tcW w:w="384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8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1"/>
                <w:szCs w:val="11"/>
                <w:color w:val="auto"/>
              </w:rPr>
            </w:pPr>
          </w:p>
        </w:tc>
        <w:tc>
          <w:tcPr>
            <w:tcW w:w="3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5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(40,510)</w:t>
            </w: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(40,510)</w:t>
            </w:r>
          </w:p>
        </w:tc>
      </w:tr>
      <w:tr>
        <w:trPr>
          <w:trHeight w:val="128"/>
        </w:trPr>
        <w:tc>
          <w:tcPr>
            <w:tcW w:w="3840" w:type="dxa"/>
            <w:vAlign w:val="bottom"/>
            <w:tcBorders>
              <w:top w:val="single" w:sz="8" w:color="CCEEFF"/>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Balance at June 30, 2022</w:t>
            </w:r>
          </w:p>
        </w:tc>
        <w:tc>
          <w:tcPr>
            <w:tcW w:w="7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145,198,058</w:t>
            </w:r>
          </w:p>
        </w:tc>
        <w:tc>
          <w:tcPr>
            <w:tcW w:w="14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145</w:t>
            </w:r>
          </w:p>
        </w:tc>
        <w:tc>
          <w:tcPr>
            <w:tcW w:w="12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1,567,345</w:t>
            </w:r>
          </w:p>
        </w:tc>
        <w:tc>
          <w:tcPr>
            <w:tcW w:w="14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41,309</w:t>
            </w:r>
          </w:p>
        </w:tc>
        <w:tc>
          <w:tcPr>
            <w:tcW w:w="1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(234)</w:t>
            </w:r>
          </w:p>
        </w:tc>
        <w:tc>
          <w:tcPr>
            <w:tcW w:w="12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(1,438,221)</w:t>
            </w:r>
          </w:p>
        </w:tc>
        <w:tc>
          <w:tcPr>
            <w:tcW w:w="14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129,035</w:t>
            </w:r>
          </w:p>
        </w:tc>
      </w:tr>
    </w:tbl>
    <w:p>
      <w:pPr>
        <w:spacing w:after="0" w:line="1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1"/>
          <w:szCs w:val="11"/>
          <w:i w:val="1"/>
          <w:iCs w:val="1"/>
          <w:color w:val="auto"/>
        </w:rPr>
        <w:t>*Amount less than one thousand dollars</w:t>
      </w:r>
    </w:p>
    <w:p>
      <w:pPr>
        <w:spacing w:after="0" w:line="117"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1"/>
          <w:szCs w:val="11"/>
          <w:i w:val="1"/>
          <w:iCs w:val="1"/>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TG 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6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0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68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tcPr>
          <w:p>
            <w:pPr>
              <w:jc w:val="right"/>
              <w:ind w:right="43"/>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28"/>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2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CASH FLOWS FROM OPERATING ACTIVITIES</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(109,523)</w:t>
            </w: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(169,125)</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Noncash stock compensation expense</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1,146</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32,922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154</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Amortization of premium on investment securities</w:t>
            </w: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Amortization of debt issuance costs</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922</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Amortization of leasehold interest</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106</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Noncash change in lease liability and right of use asset</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1,014</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949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Change in fair value of notes payable</w:t>
            </w: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(276)</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Changes in assets and liabilities:</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Decrease (increase) in other current assets</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8,054</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Decrease (increase) in accounts receivable</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1,301</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(Decrease) increase in accounts payable and accrued expenses</w:t>
            </w: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(21,355)</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3,271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Decrease in lease liabilities</w:t>
            </w:r>
          </w:p>
        </w:tc>
        <w:tc>
          <w:tcPr>
            <w:tcW w:w="20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(995)</w:t>
            </w: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Increase (decrease) in other current liabilities</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1,740</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(3,863)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Decrease in deferred revenue</w:t>
            </w:r>
          </w:p>
        </w:tc>
        <w:tc>
          <w:tcPr>
            <w:tcW w:w="20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(76)</w:t>
            </w: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2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Net cash used in operating activities</w:t>
            </w: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(117,805)</w:t>
            </w:r>
          </w:p>
        </w:tc>
        <w:tc>
          <w:tcPr>
            <w:tcW w:w="2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(141,524)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CASH FLOWS FROM INVESTING ACTIVITIES</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Proceeds from maturity of short-term securities</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38,525</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28,750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Investment in held-to-maturity securities</w:t>
            </w: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(71,810)</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(31,497)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Purchases of PPE</w:t>
            </w:r>
          </w:p>
        </w:tc>
        <w:tc>
          <w:tcPr>
            <w:tcW w:w="20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w:t>
            </w: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2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Net cash used in investing activities</w:t>
            </w: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(33,292)</w:t>
            </w:r>
          </w:p>
        </w:tc>
        <w:tc>
          <w:tcPr>
            <w:tcW w:w="2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(2,989)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CASH FLOWS FROM FINANCING ACTIVITIES</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Payment of loan payable</w:t>
            </w:r>
          </w:p>
        </w:tc>
        <w:tc>
          <w:tcPr>
            <w:tcW w:w="20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(975)</w:t>
            </w: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(7,200)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Proceeds from exercise of options</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260</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Offering costs paid</w:t>
            </w:r>
          </w:p>
        </w:tc>
        <w:tc>
          <w:tcPr>
            <w:tcW w:w="200" w:type="dxa"/>
            <w:vAlign w:val="bottom"/>
          </w:tcPr>
          <w:p>
            <w:pPr>
              <w:spacing w:after="0"/>
              <w:rPr>
                <w:sz w:val="12"/>
                <w:szCs w:val="12"/>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2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Net cash used in financing activities</w:t>
            </w: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(715)</w:t>
            </w:r>
          </w:p>
        </w:tc>
        <w:tc>
          <w:tcPr>
            <w:tcW w:w="2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(7,217)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NET DECREASE IN CASH, CASH EQUIVALENTS AND RESTRICTED CASH</w:t>
            </w: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(151,812)</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(151,730)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CASH, CASH EQUIVALENTS AND RESTRICTED CASH AT BEGINNING OF PERIOD</w:t>
            </w:r>
          </w:p>
        </w:tc>
        <w:tc>
          <w:tcPr>
            <w:tcW w:w="2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300,151</w:t>
            </w:r>
          </w:p>
        </w:tc>
        <w:tc>
          <w:tcPr>
            <w:tcW w:w="2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554,698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tcBorders>
              <w:bottom w:val="single" w:sz="8" w:color="CCEEFF"/>
            </w:tcBorders>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CASH, CASH EQUIVALENTS AND RESTRICTED CASH AT END OF PERIOD</w:t>
            </w:r>
          </w:p>
        </w:tc>
        <w:tc>
          <w:tcPr>
            <w:tcW w:w="20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148,339</w:t>
            </w:r>
          </w:p>
        </w:tc>
        <w:tc>
          <w:tcPr>
            <w:tcW w:w="2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402,968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Reconciliation to amounts on condensed consolidated balance sheets:</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2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147,073</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401,707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tcBorders>
              <w:bottom w:val="single" w:sz="8" w:color="CCEEFF"/>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Restricted cash</w:t>
            </w: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1,266</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1,261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20" w:type="dxa"/>
            <w:vAlign w:val="bottom"/>
            <w:tcBorders>
              <w:bottom w:val="single" w:sz="8" w:color="CCEEFF"/>
            </w:tcBorders>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color w:val="auto"/>
              </w:rPr>
              <w:t>Total cash, cash equivalents and restricted cash</w:t>
            </w:r>
          </w:p>
        </w:tc>
        <w:tc>
          <w:tcPr>
            <w:tcW w:w="20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148,339</w:t>
            </w:r>
          </w:p>
        </w:tc>
        <w:tc>
          <w:tcPr>
            <w:tcW w:w="2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402,968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8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Cash paid for:</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Interest</w:t>
            </w:r>
          </w:p>
        </w:tc>
        <w:tc>
          <w:tcPr>
            <w:tcW w:w="2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2,622</w:t>
            </w:r>
          </w:p>
        </w:tc>
        <w:tc>
          <w:tcPr>
            <w:tcW w:w="200" w:type="dxa"/>
            <w:vAlign w:val="bottom"/>
          </w:tcPr>
          <w:p>
            <w:pPr>
              <w:spacing w:after="0"/>
              <w:rPr>
                <w:sz w:val="12"/>
                <w:szCs w:val="12"/>
                <w:color w:val="auto"/>
              </w:rPr>
            </w:pP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2,094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TG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 (unaudited)</w:t>
      </w:r>
    </w:p>
    <w:p>
      <w:pPr>
        <w:spacing w:after="0" w:line="178" w:lineRule="exact"/>
        <w:rPr>
          <w:sz w:val="20"/>
          <w:szCs w:val="20"/>
          <w:color w:val="auto"/>
        </w:rPr>
      </w:pPr>
    </w:p>
    <w:p>
      <w:pPr>
        <w:jc w:val="both"/>
        <w:ind w:left="60" w:right="59"/>
        <w:spacing w:after="0" w:line="284" w:lineRule="auto"/>
        <w:rPr>
          <w:sz w:val="20"/>
          <w:szCs w:val="20"/>
          <w:color w:val="auto"/>
        </w:rPr>
      </w:pPr>
      <w:r>
        <w:rPr>
          <w:rFonts w:ascii="Times New Roman" w:cs="Times New Roman" w:eastAsia="Times New Roman" w:hAnsi="Times New Roman"/>
          <w:sz w:val="18"/>
          <w:szCs w:val="18"/>
          <w:i w:val="1"/>
          <w:iCs w:val="1"/>
          <w:color w:val="auto"/>
        </w:rPr>
        <w:t>Unless the context requires otherwise, references in this report to “TG,” “Company,” “we,” “us” and “our” refer to TG Therapeutics, Inc. and our subsidiaries.</w:t>
      </w:r>
    </w:p>
    <w:p>
      <w:pPr>
        <w:spacing w:after="0" w:line="116" w:lineRule="exact"/>
        <w:rPr>
          <w:sz w:val="20"/>
          <w:szCs w:val="20"/>
          <w:color w:val="auto"/>
        </w:rPr>
      </w:pPr>
    </w:p>
    <w:p>
      <w:pPr>
        <w:ind w:left="60" w:right="1679"/>
        <w:spacing w:after="0" w:line="464" w:lineRule="auto"/>
        <w:rPr>
          <w:sz w:val="20"/>
          <w:szCs w:val="20"/>
          <w:color w:val="auto"/>
        </w:rPr>
      </w:pPr>
      <w:r>
        <w:rPr>
          <w:rFonts w:ascii="Times New Roman" w:cs="Times New Roman" w:eastAsia="Times New Roman" w:hAnsi="Times New Roman"/>
          <w:sz w:val="18"/>
          <w:szCs w:val="18"/>
          <w:b w:val="1"/>
          <w:bCs w:val="1"/>
          <w:color w:val="auto"/>
        </w:rPr>
        <w:t xml:space="preserve">NOTE 1 ORGANIZATION AND SUMMARY OF SIGNIFICANT ACCOUNTING POLICIES </w:t>
      </w:r>
      <w:r>
        <w:rPr>
          <w:rFonts w:ascii="Times New Roman" w:cs="Times New Roman" w:eastAsia="Times New Roman" w:hAnsi="Times New Roman"/>
          <w:sz w:val="18"/>
          <w:szCs w:val="18"/>
          <w:b w:val="1"/>
          <w:bCs w:val="1"/>
          <w:i w:val="1"/>
          <w:iCs w:val="1"/>
          <w:color w:val="auto"/>
        </w:rPr>
        <w:t>Description of Business</w:t>
      </w: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TG Therapeutics is a biopharmaceutical company focused on the acquisition, development and commercialization of novel treatments for B-cell diseases. In addition to a research pipeline including several investigational medicines, TG has completed a Phase 3 program for ublituximab, an investigational glycoengineered monoclonal antibody, to treat patients with relapsing forms of multiple sclerosis (RMS). We also actively evaluate complementary products, technologies and companies for in-licensing, partnership, acquisition and/or investment opportunities.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ind w:left="60" w:right="59" w:firstLine="492"/>
        <w:spacing w:after="0" w:line="253"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were prepared in accordance with U.S. generally accepted accounting principles (GAAP), for interim financial information and with the instructions to Quarterly Report on Form 10-Q and Article 10 of Regulation S-X of the Exchange Act. Accordingly, they may not include all of the information and footnotes required by GAAP for complete financial statements. All adjustments that are, in the opinion of management, of a normal recurring nature and are necessary for a fair presentation of the condensed consolidated financial statements have been included. Nevertheless, these condensed consolidated financial statements should be read in conjunction with the audited consolidated financial statements contained in our Annual Report on Form 10-K for the year ended December 31, 2021. The accompanying condensed December 31, 2021 balance sheet has been derived from these statements. The results of operations for the three and six months ended June 30, 2022 are not necessarily indicative of the results that may be expected for the entire fiscal year or any other interim period.</w:t>
      </w:r>
    </w:p>
    <w:p>
      <w:pPr>
        <w:spacing w:after="0" w:line="86" w:lineRule="exact"/>
        <w:rPr>
          <w:sz w:val="20"/>
          <w:szCs w:val="20"/>
          <w:color w:val="auto"/>
        </w:rPr>
      </w:pPr>
    </w:p>
    <w:p>
      <w:pPr>
        <w:jc w:val="both"/>
        <w:ind w:left="60" w:right="59" w:firstLine="492"/>
        <w:spacing w:after="0" w:line="255" w:lineRule="auto"/>
        <w:rPr>
          <w:sz w:val="20"/>
          <w:szCs w:val="20"/>
          <w:color w:val="auto"/>
        </w:rPr>
      </w:pPr>
      <w:r>
        <w:rPr>
          <w:rFonts w:ascii="Times New Roman" w:cs="Times New Roman" w:eastAsia="Times New Roman" w:hAnsi="Times New Roman"/>
          <w:sz w:val="18"/>
          <w:szCs w:val="18"/>
          <w:color w:val="auto"/>
        </w:rPr>
        <w:t>In December 2018, the Company created an Australian corporation, TG Therapeutics AUS Pty Ltd. (TG AUS), as a wholly-owned subsidiary. This corporation’s functional currency, the Australian dollar, is also its reporting currency, and its financial statements are translated to U.S. dollars, the Company’s reporting currency, prior to consolidation. The activities of TG AUS result in immaterial currency translation adjustments and, thus, are included in Other Income/Expense on the Company’s condensed consolidated statement of operations. The accompanying condensed consolidated financial statements include the accounts of the Company and its subsidiaries, and all intercompany accounts and transactions have been eliminated in consolidation.</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89" w:lineRule="exact"/>
        <w:rPr>
          <w:sz w:val="20"/>
          <w:szCs w:val="20"/>
          <w:color w:val="auto"/>
        </w:rPr>
      </w:pPr>
    </w:p>
    <w:p>
      <w:pPr>
        <w:jc w:val="both"/>
        <w:ind w:left="60" w:right="59" w:firstLine="492"/>
        <w:spacing w:after="0" w:line="282" w:lineRule="auto"/>
        <w:rPr>
          <w:sz w:val="20"/>
          <w:szCs w:val="20"/>
          <w:color w:val="auto"/>
        </w:rPr>
      </w:pPr>
      <w:r>
        <w:rPr>
          <w:rFonts w:ascii="Times New Roman" w:cs="Times New Roman" w:eastAsia="Times New Roman" w:hAnsi="Times New Roman"/>
          <w:sz w:val="18"/>
          <w:szCs w:val="18"/>
          <w:color w:val="auto"/>
        </w:rPr>
        <w:t>We have incurred operating losses since our inception, and expect to continue to incur operating losses for the foreseeable future and may never become profitable. As of June 30, 2022, we have an accumulated deficit of $1.4 billion.</w:t>
      </w:r>
    </w:p>
    <w:p>
      <w:pPr>
        <w:spacing w:after="0" w:line="135" w:lineRule="exact"/>
        <w:rPr>
          <w:sz w:val="20"/>
          <w:szCs w:val="20"/>
          <w:color w:val="auto"/>
        </w:rPr>
      </w:pPr>
    </w:p>
    <w:p>
      <w:pPr>
        <w:jc w:val="both"/>
        <w:ind w:left="60" w:right="59" w:firstLine="492"/>
        <w:spacing w:after="0" w:line="254" w:lineRule="auto"/>
        <w:rPr>
          <w:sz w:val="20"/>
          <w:szCs w:val="20"/>
          <w:color w:val="auto"/>
        </w:rPr>
      </w:pPr>
      <w:r>
        <w:rPr>
          <w:rFonts w:ascii="Times New Roman" w:cs="Times New Roman" w:eastAsia="Times New Roman" w:hAnsi="Times New Roman"/>
          <w:sz w:val="18"/>
          <w:szCs w:val="18"/>
          <w:color w:val="auto"/>
        </w:rPr>
        <w:t>Our major sources of cash have been proceeds from private placement and public offering of equity securities, and from our loan and security agreements executed with Hercules Capital, Inc. (Hercules) (see Note 6 for more information). Since inception, we have incurred significant operating losses. Substantially all our operating losses have resulted from costs incurred in connection with our research and development programs and from selling, general and administrative costs associated with our operations, including our commercialization activities. We expect to continue to incur significant expenses and operating losses for the foreseeable future. Because we have withdrawn UKONIQ (umbralisib) from sale, we have no marketed products currently. We expect to continue to incur significant research and development expenses and we expect to continue to incur significant commercialization and outsourced-manufacturing expenses as we plan for the possible commercialization of ublituximab in RMS.</w:t>
      </w:r>
    </w:p>
    <w:p>
      <w:pPr>
        <w:spacing w:after="0" w:line="148" w:lineRule="exact"/>
        <w:rPr>
          <w:sz w:val="20"/>
          <w:szCs w:val="20"/>
          <w:color w:val="auto"/>
        </w:rPr>
      </w:pPr>
    </w:p>
    <w:p>
      <w:pPr>
        <w:jc w:val="both"/>
        <w:ind w:left="60" w:right="59" w:firstLine="492"/>
        <w:spacing w:after="0" w:line="263" w:lineRule="auto"/>
        <w:rPr>
          <w:sz w:val="20"/>
          <w:szCs w:val="20"/>
          <w:color w:val="auto"/>
        </w:rPr>
      </w:pPr>
      <w:r>
        <w:rPr>
          <w:rFonts w:ascii="Times New Roman" w:cs="Times New Roman" w:eastAsia="Times New Roman" w:hAnsi="Times New Roman"/>
          <w:sz w:val="18"/>
          <w:szCs w:val="18"/>
          <w:color w:val="auto"/>
        </w:rPr>
        <w:t>We evaluated whether there are any conditions and events, considered in the aggregate, that raise substantial doubt about our ability to continue as a going concern within one year beyond the filing of this Quarterly Report on Form 10-Q. As of June 30, 2022, we had $231.8 million in cash and cash equivalents, and investment securities. Based on our available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cash resources and cash flow projections as of the date the consolidated financial statements were available for issuance, we believe that our cash and cash equivalents, and investment securities as of June 30, 2022 will provide sufficient liquidity for more than a twelve-month period from the date of filing of this Quarterly Report on Form 10-Q.</w:t>
      </w:r>
    </w:p>
    <w:p>
      <w:pPr>
        <w:spacing w:after="0" w:line="149" w:lineRule="exact"/>
        <w:rPr>
          <w:sz w:val="20"/>
          <w:szCs w:val="20"/>
          <w:color w:val="auto"/>
        </w:rPr>
      </w:pPr>
    </w:p>
    <w:p>
      <w:pPr>
        <w:jc w:val="both"/>
        <w:ind w:left="60" w:right="59" w:firstLine="537"/>
        <w:spacing w:after="0" w:line="254" w:lineRule="auto"/>
        <w:rPr>
          <w:sz w:val="20"/>
          <w:szCs w:val="20"/>
          <w:color w:val="auto"/>
        </w:rPr>
      </w:pPr>
      <w:r>
        <w:rPr>
          <w:rFonts w:ascii="Times New Roman" w:cs="Times New Roman" w:eastAsia="Times New Roman" w:hAnsi="Times New Roman"/>
          <w:sz w:val="18"/>
          <w:szCs w:val="18"/>
          <w:color w:val="auto"/>
        </w:rPr>
        <w:t>The actual amount of cash that we will need to operate is subject to many factors, including, but not limited to, the costs and timing of clinical and commercial manufacturing supply arrangements for each product and product candidate, and the costs of expanding our sales, distribution and other commercialization capabilities. Because of the numerous risks and uncertainties associated with developing pharmaceuticals, we are unable to predict when we will become profitable, if at all. Even if we do become profitable, we may not be able to sustain or increase our profitability on a quarterly or annual basis. Our ability to become profitable depends upon our ability to generate substantial revenue. We are dependent upon significant future financing to provide the cash necessary to execute our long-term operations. However, the Company cannot be certain that additional financing will be available when needed or that, if available, financing will be obtained on terms favorable to the Company or its existing stockholders.</w:t>
      </w:r>
    </w:p>
    <w:p>
      <w:pPr>
        <w:spacing w:after="0" w:line="148" w:lineRule="exact"/>
        <w:rPr>
          <w:sz w:val="20"/>
          <w:szCs w:val="20"/>
          <w:color w:val="auto"/>
        </w:rPr>
      </w:pPr>
    </w:p>
    <w:p>
      <w:pPr>
        <w:ind w:left="60" w:right="1399" w:firstLine="492"/>
        <w:spacing w:after="0" w:line="461" w:lineRule="auto"/>
        <w:rPr>
          <w:sz w:val="20"/>
          <w:szCs w:val="20"/>
          <w:color w:val="auto"/>
        </w:rPr>
      </w:pPr>
      <w:r>
        <w:rPr>
          <w:rFonts w:ascii="Times New Roman" w:cs="Times New Roman" w:eastAsia="Times New Roman" w:hAnsi="Times New Roman"/>
          <w:sz w:val="18"/>
          <w:szCs w:val="18"/>
          <w:color w:val="auto"/>
        </w:rPr>
        <w:t xml:space="preserve">Our common stock is quoted on the Nasdaq Capital Market and trades under the symbol “TGTX.” </w:t>
      </w:r>
      <w:r>
        <w:rPr>
          <w:rFonts w:ascii="Times New Roman" w:cs="Times New Roman" w:eastAsia="Times New Roman" w:hAnsi="Times New Roman"/>
          <w:sz w:val="18"/>
          <w:szCs w:val="18"/>
          <w:b w:val="1"/>
          <w:bCs w:val="1"/>
          <w:i w:val="1"/>
          <w:iCs w:val="1"/>
          <w:color w:val="auto"/>
        </w:rPr>
        <w:t>Summary of Significant Accounting Policies</w:t>
      </w:r>
    </w:p>
    <w:p>
      <w:pPr>
        <w:spacing w:after="0" w:line="1" w:lineRule="exact"/>
        <w:rPr>
          <w:sz w:val="20"/>
          <w:szCs w:val="20"/>
          <w:color w:val="auto"/>
        </w:rPr>
      </w:pPr>
    </w:p>
    <w:p>
      <w:pPr>
        <w:jc w:val="both"/>
        <w:ind w:left="60" w:right="59" w:firstLine="492"/>
        <w:spacing w:after="0" w:line="258" w:lineRule="auto"/>
        <w:rPr>
          <w:sz w:val="20"/>
          <w:szCs w:val="20"/>
          <w:color w:val="auto"/>
        </w:rPr>
      </w:pPr>
      <w:r>
        <w:rPr>
          <w:rFonts w:ascii="Times New Roman" w:cs="Times New Roman" w:eastAsia="Times New Roman" w:hAnsi="Times New Roman"/>
          <w:sz w:val="18"/>
          <w:szCs w:val="18"/>
          <w:color w:val="auto"/>
        </w:rPr>
        <w:t>Our significant accounting policies are described in Note 1 of Notes to Consolidated Financial Statements included in our 2021 Annual Report on Form 10-K, except updated herein or as it relates to the adoption of new accounting standards during the six months ended June 30, 2022. Management does not believe that any recently issued, but not yet effective, accounting pronouncements, if currently adopted, would have a material effect on the Company’s consolidated financial statements.</w:t>
      </w:r>
    </w:p>
    <w:p>
      <w:pPr>
        <w:spacing w:after="0" w:line="1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Net Loss Per Common Share</w:t>
      </w:r>
    </w:p>
    <w:p>
      <w:pPr>
        <w:spacing w:after="0" w:line="189" w:lineRule="exact"/>
        <w:rPr>
          <w:sz w:val="20"/>
          <w:szCs w:val="20"/>
          <w:color w:val="auto"/>
        </w:rPr>
      </w:pPr>
    </w:p>
    <w:p>
      <w:pPr>
        <w:jc w:val="both"/>
        <w:ind w:left="60" w:right="59" w:firstLine="492"/>
        <w:spacing w:after="0" w:line="254" w:lineRule="auto"/>
        <w:rPr>
          <w:sz w:val="20"/>
          <w:szCs w:val="20"/>
          <w:color w:val="auto"/>
        </w:rPr>
      </w:pPr>
      <w:r>
        <w:rPr>
          <w:rFonts w:ascii="Times New Roman" w:cs="Times New Roman" w:eastAsia="Times New Roman" w:hAnsi="Times New Roman"/>
          <w:sz w:val="18"/>
          <w:szCs w:val="18"/>
          <w:color w:val="auto"/>
        </w:rPr>
        <w:t>Basic net loss per share of our common stock is calculated by dividing net loss applicable to the common stock by the weighted-average number of our common stock outstanding for the period. Diluted net loss per share of common stock is the same as basic net loss per share of common stock since potentially dilutive securities from stock options, stock warrants and convertible preferred stock would have an antidilutive effect either because we incurred a net loss during the period presented or because such potentially dilutive securities were out of the money and the Company realized net income during the period presented. The cumulative amounts of potentially dilutive securities excluded from the calculation were 13,512,092 securities and 13,255,355 securities for the six months ended June 30, 2022 and 2021, respectively.</w:t>
      </w:r>
    </w:p>
    <w:p>
      <w:pPr>
        <w:spacing w:after="0" w:line="16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following table summarizes our potentially dilutive securities at June 30, 2022 and 2021:</w:t>
      </w:r>
    </w:p>
    <w:p>
      <w:pPr>
        <w:spacing w:after="0" w:line="200" w:lineRule="exact"/>
        <w:rPr>
          <w:sz w:val="20"/>
          <w:szCs w:val="20"/>
          <w:color w:val="auto"/>
        </w:rPr>
      </w:pPr>
    </w:p>
    <w:p>
      <w:pPr>
        <w:spacing w:after="0" w:line="397"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4"/>
          <w:szCs w:val="14"/>
          <w:b w:val="1"/>
          <w:bCs w:val="1"/>
          <w:color w:val="auto"/>
        </w:rPr>
        <w:t>Six Months Ended</w:t>
      </w:r>
    </w:p>
    <w:tbl>
      <w:tblPr>
        <w:tblLayout w:type="fixed"/>
        <w:tblInd w:w="40" w:type="dxa"/>
        <w:tblCellMar>
          <w:top w:w="0" w:type="dxa"/>
          <w:left w:w="0" w:type="dxa"/>
          <w:bottom w:w="0" w:type="dxa"/>
          <w:right w:w="0" w:type="dxa"/>
        </w:tblCellMar>
      </w:tblPr>
      <w:tr>
        <w:trPr>
          <w:trHeight w:val="161"/>
        </w:trPr>
        <w:tc>
          <w:tcPr>
            <w:tcW w:w="6620" w:type="dxa"/>
            <w:vAlign w:val="bottom"/>
          </w:tcPr>
          <w:p>
            <w:pPr>
              <w:spacing w:after="0"/>
              <w:rPr>
                <w:sz w:val="13"/>
                <w:szCs w:val="13"/>
                <w:color w:val="auto"/>
              </w:rPr>
            </w:pPr>
          </w:p>
        </w:tc>
        <w:tc>
          <w:tcPr>
            <w:tcW w:w="1400" w:type="dxa"/>
            <w:vAlign w:val="bottom"/>
            <w:tcBorders>
              <w:bottom w:val="single" w:sz="8" w:color="auto"/>
            </w:tcBorders>
            <w:gridSpan w:val="3"/>
          </w:tcPr>
          <w:p>
            <w:pPr>
              <w:ind w:left="8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3"/>
                <w:szCs w:val="13"/>
                <w:color w:val="auto"/>
              </w:rPr>
            </w:pPr>
          </w:p>
        </w:tc>
      </w:tr>
      <w:tr>
        <w:trPr>
          <w:trHeight w:val="142"/>
        </w:trPr>
        <w:tc>
          <w:tcPr>
            <w:tcW w:w="662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6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Unvested restricted stock</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10,004,825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10,610,193</w:t>
            </w:r>
          </w:p>
        </w:tc>
      </w:tr>
      <w:tr>
        <w:trPr>
          <w:trHeight w:val="216"/>
        </w:trPr>
        <w:tc>
          <w:tcPr>
            <w:tcW w:w="6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Options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3,225,515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2,479,622</w:t>
            </w:r>
          </w:p>
        </w:tc>
      </w:tr>
      <w:tr>
        <w:trPr>
          <w:trHeight w:val="216"/>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262,100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147,058</w:t>
            </w:r>
          </w:p>
        </w:tc>
      </w:tr>
      <w:tr>
        <w:trPr>
          <w:trHeight w:val="216"/>
        </w:trPr>
        <w:tc>
          <w:tcPr>
            <w:tcW w:w="66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Shares issuable upon note conversion</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19,652</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18,482</w:t>
            </w:r>
          </w:p>
        </w:tc>
      </w:tr>
      <w:tr>
        <w:trPr>
          <w:trHeight w:val="209"/>
        </w:trPr>
        <w:tc>
          <w:tcPr>
            <w:tcW w:w="66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13,512,092</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13,255,355</w:t>
            </w:r>
          </w:p>
        </w:tc>
      </w:tr>
      <w:tr>
        <w:trPr>
          <w:trHeight w:val="20"/>
        </w:trPr>
        <w:tc>
          <w:tcPr>
            <w:tcW w:w="66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2 REVENUE RECOGNITION</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Gross-to-Net Sales Adjustments</w:t>
      </w:r>
    </w:p>
    <w:p>
      <w:pPr>
        <w:spacing w:after="0" w:line="297"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To date, our only source of product revenue has been from the U.S. sales of UKONIQ, which we began shipping to our customers in February 2021. On April 15, 2022, we announced our voluntary withdrawal of UKONIQ from sale. Furthermore, on May 27, 2022, the Food and Drug Administration (FDA) issued a notice in the Federal Register officially withdrawing approval of the New Drug Application (NDA) for UKONIQ, effective May 31, 2022. This notice required stopping all distribution of UKONIQ and the return of all remaining inventory from the Company’s customers as soon as possible. We record our best estimate for sales discounts and allowances to which customers are likely to be entitled. The reconciliation of gross product sales to net product sales by each significant category of gross-to-net adjustments was as follows for the three and six months ended June 30, 2022 and 2021:</w:t>
      </w:r>
    </w:p>
    <w:p>
      <w:pPr>
        <w:spacing w:after="0" w:line="19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Pr>
          <w:p>
            <w:pPr>
              <w:spacing w:after="0"/>
              <w:rPr>
                <w:sz w:val="15"/>
                <w:szCs w:val="15"/>
                <w:color w:val="auto"/>
              </w:rPr>
            </w:pPr>
          </w:p>
        </w:tc>
        <w:tc>
          <w:tcPr>
            <w:tcW w:w="268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5"/>
                <w:szCs w:val="15"/>
                <w:color w:val="auto"/>
              </w:rPr>
            </w:pPr>
          </w:p>
        </w:tc>
        <w:tc>
          <w:tcPr>
            <w:tcW w:w="212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42"/>
        </w:trPr>
        <w:tc>
          <w:tcPr>
            <w:tcW w:w="372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gridSpan w:val="2"/>
          </w:tcPr>
          <w:p>
            <w:pPr>
              <w:jc w:val="right"/>
              <w:ind w:right="440"/>
              <w:spacing w:after="0" w:line="142"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0" w:type="dxa"/>
            <w:vAlign w:val="bottom"/>
          </w:tcPr>
          <w:p>
            <w:pPr>
              <w:spacing w:after="0"/>
              <w:rPr>
                <w:sz w:val="12"/>
                <w:szCs w:val="12"/>
                <w:color w:val="auto"/>
              </w:rPr>
            </w:pPr>
          </w:p>
        </w:tc>
      </w:tr>
      <w:tr>
        <w:trPr>
          <w:trHeight w:val="196"/>
        </w:trPr>
        <w:tc>
          <w:tcPr>
            <w:tcW w:w="37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7"/>
                <w:szCs w:val="17"/>
                <w:color w:val="auto"/>
              </w:rPr>
            </w:pPr>
          </w:p>
        </w:tc>
      </w:tr>
      <w:tr>
        <w:trPr>
          <w:trHeight w:val="209"/>
        </w:trPr>
        <w:tc>
          <w:tcPr>
            <w:tcW w:w="3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Gross product revenue</w:t>
            </w:r>
          </w:p>
        </w:tc>
        <w:tc>
          <w:tcPr>
            <w:tcW w:w="2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3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1,733</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4,119</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2,639</w:t>
            </w:r>
          </w:p>
        </w:tc>
        <w:tc>
          <w:tcPr>
            <w:tcW w:w="20" w:type="dxa"/>
            <w:vAlign w:val="bottom"/>
          </w:tcPr>
          <w:p>
            <w:pPr>
              <w:spacing w:after="0"/>
              <w:rPr>
                <w:sz w:val="18"/>
                <w:szCs w:val="18"/>
                <w:color w:val="auto"/>
              </w:rPr>
            </w:pPr>
          </w:p>
        </w:tc>
      </w:tr>
      <w:tr>
        <w:trPr>
          <w:trHeight w:val="210"/>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Gross-to-net adjustments:</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Chargebacks and administrative fees</w:t>
            </w:r>
          </w:p>
        </w:tc>
        <w:tc>
          <w:tcPr>
            <w:tcW w:w="22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(122)</w:t>
            </w:r>
          </w:p>
        </w:tc>
        <w:tc>
          <w:tcPr>
            <w:tcW w:w="2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w:t>
            </w:r>
          </w:p>
        </w:tc>
        <w:tc>
          <w:tcPr>
            <w:tcW w:w="1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(372)</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20" w:type="dxa"/>
            <w:vAlign w:val="bottom"/>
          </w:tcPr>
          <w:p>
            <w:pPr>
              <w:spacing w:after="0"/>
              <w:rPr>
                <w:sz w:val="18"/>
                <w:szCs w:val="18"/>
                <w:color w:val="auto"/>
              </w:rPr>
            </w:pPr>
          </w:p>
        </w:tc>
      </w:tr>
      <w:tr>
        <w:trPr>
          <w:trHeight w:val="216"/>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discounts and allowances</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(189)</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0" w:type="dxa"/>
            <w:vAlign w:val="bottom"/>
          </w:tcPr>
          <w:p>
            <w:pPr>
              <w:spacing w:after="0"/>
              <w:rPr>
                <w:sz w:val="18"/>
                <w:szCs w:val="18"/>
                <w:color w:val="auto"/>
              </w:rPr>
            </w:pPr>
          </w:p>
        </w:tc>
      </w:tr>
      <w:tr>
        <w:trPr>
          <w:trHeight w:val="216"/>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Government rebates and co-payment assistance</w:t>
            </w:r>
          </w:p>
        </w:tc>
        <w:tc>
          <w:tcPr>
            <w:tcW w:w="22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(53)</w:t>
            </w:r>
          </w:p>
        </w:tc>
        <w:tc>
          <w:tcPr>
            <w:tcW w:w="2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w:t>
            </w:r>
          </w:p>
        </w:tc>
        <w:tc>
          <w:tcPr>
            <w:tcW w:w="1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(282)</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 w:type="dxa"/>
            <w:vAlign w:val="bottom"/>
          </w:tcPr>
          <w:p>
            <w:pPr>
              <w:spacing w:after="0"/>
              <w:rPr>
                <w:sz w:val="18"/>
                <w:szCs w:val="18"/>
                <w:color w:val="auto"/>
              </w:rPr>
            </w:pPr>
          </w:p>
        </w:tc>
      </w:tr>
      <w:tr>
        <w:trPr>
          <w:trHeight w:val="216"/>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returns and allowances</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(742)</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r>
      <w:tr>
        <w:trPr>
          <w:trHeight w:val="250"/>
        </w:trPr>
        <w:tc>
          <w:tcPr>
            <w:tcW w:w="3720" w:type="dxa"/>
            <w:vAlign w:val="bottom"/>
            <w:tcBorders>
              <w:bottom w:val="single" w:sz="8" w:color="CCEEFF"/>
            </w:tcBorders>
          </w:tcPr>
          <w:p>
            <w:pPr>
              <w:ind w:left="20"/>
              <w:spacing w:after="0" w:line="210" w:lineRule="exact"/>
              <w:rPr>
                <w:sz w:val="20"/>
                <w:szCs w:val="20"/>
                <w:color w:val="auto"/>
              </w:rPr>
            </w:pPr>
            <w:r>
              <w:rPr>
                <w:rFonts w:ascii="Times New Roman" w:cs="Times New Roman" w:eastAsia="Times New Roman" w:hAnsi="Times New Roman"/>
                <w:sz w:val="17"/>
                <w:szCs w:val="17"/>
                <w:color w:val="auto"/>
              </w:rPr>
              <w:t>Total gross-to-net adjustments</w:t>
            </w:r>
            <w:r>
              <w:rPr>
                <w:rFonts w:ascii="Times New Roman" w:cs="Times New Roman" w:eastAsia="Times New Roman" w:hAnsi="Times New Roman"/>
                <w:sz w:val="24"/>
                <w:szCs w:val="24"/>
                <w:color w:val="auto"/>
                <w:vertAlign w:val="superscript"/>
              </w:rPr>
              <w:t>(1)</w:t>
            </w:r>
          </w:p>
        </w:tc>
        <w:tc>
          <w:tcPr>
            <w:tcW w:w="22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30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2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16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20" w:type="dxa"/>
            <w:vAlign w:val="bottom"/>
          </w:tcPr>
          <w:p>
            <w:pPr>
              <w:spacing w:after="0"/>
              <w:rPr>
                <w:sz w:val="21"/>
                <w:szCs w:val="21"/>
                <w:color w:val="auto"/>
              </w:rPr>
            </w:pPr>
          </w:p>
        </w:tc>
      </w:tr>
      <w:tr>
        <w:trPr>
          <w:trHeight w:val="196"/>
        </w:trPr>
        <w:tc>
          <w:tcPr>
            <w:tcW w:w="37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product revenue</w:t>
            </w:r>
          </w:p>
        </w:tc>
        <w:tc>
          <w:tcPr>
            <w:tcW w:w="2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556</w:t>
            </w:r>
          </w:p>
        </w:tc>
        <w:tc>
          <w:tcPr>
            <w:tcW w:w="3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1,507</w:t>
            </w:r>
          </w:p>
        </w:tc>
        <w:tc>
          <w:tcPr>
            <w:tcW w:w="2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2,534</w:t>
            </w:r>
          </w:p>
        </w:tc>
        <w:tc>
          <w:tcPr>
            <w:tcW w:w="1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2,262</w:t>
            </w:r>
          </w:p>
        </w:tc>
        <w:tc>
          <w:tcPr>
            <w:tcW w:w="20" w:type="dxa"/>
            <w:vAlign w:val="bottom"/>
          </w:tcPr>
          <w:p>
            <w:pPr>
              <w:spacing w:after="0"/>
              <w:rPr>
                <w:sz w:val="17"/>
                <w:szCs w:val="17"/>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left="700" w:right="59" w:hanging="2"/>
        <w:spacing w:after="0" w:line="231" w:lineRule="auto"/>
        <w:tabs>
          <w:tab w:leader="none" w:pos="905" w:val="left"/>
        </w:tabs>
        <w:numPr>
          <w:ilvl w:val="0"/>
          <w:numId w:val="13"/>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As of June 30, 2022 approximately $0.9 million of estimated gross-to-net accruals have been recorded as a reduction of accounts receivable, net and within accounts payable and accrued expenses on the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3 INVESTMENT SECURITIES</w:t>
      </w:r>
    </w:p>
    <w:p>
      <w:pPr>
        <w:spacing w:after="0" w:line="229" w:lineRule="exact"/>
        <w:rPr>
          <w:sz w:val="20"/>
          <w:szCs w:val="20"/>
          <w:color w:val="auto"/>
        </w:rPr>
      </w:pPr>
    </w:p>
    <w:p>
      <w:pPr>
        <w:jc w:val="both"/>
        <w:ind w:left="60" w:right="79" w:firstLine="492"/>
        <w:spacing w:after="0" w:line="282" w:lineRule="auto"/>
        <w:rPr>
          <w:sz w:val="20"/>
          <w:szCs w:val="20"/>
          <w:color w:val="auto"/>
        </w:rPr>
      </w:pPr>
      <w:r>
        <w:rPr>
          <w:rFonts w:ascii="Times New Roman" w:cs="Times New Roman" w:eastAsia="Times New Roman" w:hAnsi="Times New Roman"/>
          <w:sz w:val="18"/>
          <w:szCs w:val="18"/>
          <w:color w:val="auto"/>
        </w:rPr>
        <w:t>Our investments as of June 30, 2022 and December 31, 2021 are classified as held-to-maturity. Held-to-maturity investments are recorded at amortized cost.</w:t>
      </w:r>
    </w:p>
    <w:p>
      <w:pPr>
        <w:spacing w:after="0" w:line="13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following tables summarize our investment securities at June 30, 2022 and December 31, 2021:</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16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160" w:type="dxa"/>
            <w:vAlign w:val="bottom"/>
          </w:tcPr>
          <w:p>
            <w:pPr>
              <w:spacing w:after="0"/>
              <w:rPr>
                <w:sz w:val="10"/>
                <w:szCs w:val="10"/>
                <w:color w:val="auto"/>
              </w:rPr>
            </w:pPr>
          </w:p>
        </w:tc>
        <w:tc>
          <w:tcPr>
            <w:tcW w:w="880" w:type="dxa"/>
            <w:vAlign w:val="bottom"/>
            <w:gridSpan w:val="2"/>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100" w:type="dxa"/>
            <w:vAlign w:val="bottom"/>
          </w:tcPr>
          <w:p>
            <w:pPr>
              <w:spacing w:after="0"/>
              <w:rPr>
                <w:sz w:val="10"/>
                <w:szCs w:val="10"/>
                <w:color w:val="auto"/>
              </w:rPr>
            </w:pPr>
          </w:p>
        </w:tc>
        <w:tc>
          <w:tcPr>
            <w:tcW w:w="880" w:type="dxa"/>
            <w:vAlign w:val="bottom"/>
            <w:gridSpan w:val="2"/>
          </w:tcPr>
          <w:p>
            <w:pPr>
              <w:ind w:left="18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00" w:type="dxa"/>
            <w:vAlign w:val="bottom"/>
          </w:tcPr>
          <w:p>
            <w:pPr>
              <w:spacing w:after="0"/>
              <w:rPr>
                <w:sz w:val="10"/>
                <w:szCs w:val="10"/>
                <w:color w:val="auto"/>
              </w:rPr>
            </w:pPr>
          </w:p>
        </w:tc>
        <w:tc>
          <w:tcPr>
            <w:tcW w:w="880" w:type="dxa"/>
            <w:vAlign w:val="bottom"/>
            <w:gridSpan w:val="2"/>
          </w:tcPr>
          <w:p>
            <w:pPr>
              <w:ind w:left="18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20" w:type="dxa"/>
            <w:vAlign w:val="bottom"/>
          </w:tcPr>
          <w:p>
            <w:pPr>
              <w:spacing w:after="0"/>
              <w:rPr>
                <w:sz w:val="10"/>
                <w:szCs w:val="10"/>
                <w:color w:val="auto"/>
              </w:rPr>
            </w:pPr>
          </w:p>
        </w:tc>
        <w:tc>
          <w:tcPr>
            <w:tcW w:w="780" w:type="dxa"/>
            <w:vAlign w:val="bottom"/>
            <w:vMerge w:val="restart"/>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8"/>
        </w:trPr>
        <w:tc>
          <w:tcPr>
            <w:tcW w:w="5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8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cost, as</w:t>
            </w:r>
          </w:p>
        </w:tc>
        <w:tc>
          <w:tcPr>
            <w:tcW w:w="10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160" w:type="dxa"/>
            <w:vAlign w:val="bottom"/>
            <w:vMerge w:val="continue"/>
          </w:tcPr>
          <w:p>
            <w:pPr>
              <w:spacing w:after="0"/>
              <w:rPr>
                <w:sz w:val="15"/>
                <w:szCs w:val="15"/>
                <w:color w:val="auto"/>
              </w:rPr>
            </w:pP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adjusted</w:t>
            </w:r>
          </w:p>
        </w:tc>
        <w:tc>
          <w:tcPr>
            <w:tcW w:w="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holding gains</w:t>
            </w:r>
          </w:p>
        </w:tc>
        <w:tc>
          <w:tcPr>
            <w:tcW w:w="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holding losses</w:t>
            </w:r>
          </w:p>
        </w:tc>
        <w:tc>
          <w:tcPr>
            <w:tcW w:w="120" w:type="dxa"/>
            <w:vAlign w:val="bottom"/>
          </w:tcPr>
          <w:p>
            <w:pPr>
              <w:spacing w:after="0"/>
              <w:rPr>
                <w:sz w:val="15"/>
                <w:szCs w:val="15"/>
                <w:color w:val="auto"/>
              </w:rPr>
            </w:pPr>
          </w:p>
        </w:tc>
        <w:tc>
          <w:tcPr>
            <w:tcW w:w="78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5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7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1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Obligations of domestic governmental agencies (maturing between</w:t>
            </w: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July 2022 and June 2023) (held-to-maturity)</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$ 48,636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48,272</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16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Obligations of domestic governmental agencies (maturing between</w:t>
            </w: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2023 and February 2024) (held-to-maturity)</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36,078</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35,107</w:t>
            </w:r>
          </w:p>
        </w:tc>
        <w:tc>
          <w:tcPr>
            <w:tcW w:w="0" w:type="dxa"/>
            <w:vAlign w:val="bottom"/>
          </w:tcPr>
          <w:p>
            <w:pPr>
              <w:spacing w:after="0"/>
              <w:rPr>
                <w:sz w:val="1"/>
                <w:szCs w:val="1"/>
                <w:color w:val="auto"/>
              </w:rPr>
            </w:pPr>
          </w:p>
        </w:tc>
      </w:tr>
      <w:tr>
        <w:trPr>
          <w:trHeight w:val="209"/>
        </w:trPr>
        <w:tc>
          <w:tcPr>
            <w:tcW w:w="5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short-term and long-term investment securities</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$ 84,714</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1,335</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83,379</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16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5160" w:type="dxa"/>
            <w:vAlign w:val="bottom"/>
          </w:tcPr>
          <w:p>
            <w:pPr>
              <w:spacing w:after="0"/>
              <w:rPr>
                <w:sz w:val="10"/>
                <w:szCs w:val="10"/>
                <w:color w:val="auto"/>
              </w:rPr>
            </w:pPr>
          </w:p>
        </w:tc>
        <w:tc>
          <w:tcPr>
            <w:tcW w:w="880" w:type="dxa"/>
            <w:vAlign w:val="bottom"/>
            <w:gridSpan w:val="2"/>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100" w:type="dxa"/>
            <w:vAlign w:val="bottom"/>
          </w:tcPr>
          <w:p>
            <w:pPr>
              <w:spacing w:after="0"/>
              <w:rPr>
                <w:sz w:val="10"/>
                <w:szCs w:val="10"/>
                <w:color w:val="auto"/>
              </w:rPr>
            </w:pPr>
          </w:p>
        </w:tc>
        <w:tc>
          <w:tcPr>
            <w:tcW w:w="880" w:type="dxa"/>
            <w:vAlign w:val="bottom"/>
            <w:gridSpan w:val="2"/>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00" w:type="dxa"/>
            <w:vAlign w:val="bottom"/>
          </w:tcPr>
          <w:p>
            <w:pPr>
              <w:spacing w:after="0"/>
              <w:rPr>
                <w:sz w:val="10"/>
                <w:szCs w:val="10"/>
                <w:color w:val="auto"/>
              </w:rPr>
            </w:pPr>
          </w:p>
        </w:tc>
        <w:tc>
          <w:tcPr>
            <w:tcW w:w="880" w:type="dxa"/>
            <w:vAlign w:val="bottom"/>
            <w:gridSpan w:val="2"/>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Estimated fair</w:t>
            </w: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8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cost, as</w:t>
            </w:r>
          </w:p>
        </w:tc>
        <w:tc>
          <w:tcPr>
            <w:tcW w:w="10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160" w:type="dxa"/>
            <w:vAlign w:val="bottom"/>
          </w:tcPr>
          <w:p>
            <w:pPr>
              <w:spacing w:after="0"/>
              <w:rPr>
                <w:sz w:val="15"/>
                <w:szCs w:val="15"/>
                <w:color w:val="auto"/>
              </w:rPr>
            </w:pP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adjusted</w:t>
            </w:r>
          </w:p>
        </w:tc>
        <w:tc>
          <w:tcPr>
            <w:tcW w:w="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holding gains</w:t>
            </w:r>
          </w:p>
        </w:tc>
        <w:tc>
          <w:tcPr>
            <w:tcW w:w="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holding losses</w:t>
            </w:r>
          </w:p>
        </w:tc>
        <w:tc>
          <w:tcPr>
            <w:tcW w:w="120" w:type="dxa"/>
            <w:vAlign w:val="bottom"/>
          </w:tcPr>
          <w:p>
            <w:pPr>
              <w:spacing w:after="0"/>
              <w:rPr>
                <w:sz w:val="15"/>
                <w:szCs w:val="15"/>
                <w:color w:val="auto"/>
              </w:rPr>
            </w:pPr>
          </w:p>
        </w:tc>
        <w:tc>
          <w:tcPr>
            <w:tcW w:w="78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0"/>
        </w:trPr>
        <w:tc>
          <w:tcPr>
            <w:tcW w:w="5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7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1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Obligations of domestic governmental agencies (maturing between</w:t>
            </w: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January 2022 and April 2022) (held-to-maturity)</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$ 15,876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15,872</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16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Obligations of domestic governmental agencies (maturing between</w:t>
            </w: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2023 and June 2023) (held-to-maturity)</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35,533</w:t>
            </w:r>
          </w:p>
        </w:tc>
        <w:tc>
          <w:tcPr>
            <w:tcW w:w="14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35,373</w:t>
            </w:r>
          </w:p>
        </w:tc>
        <w:tc>
          <w:tcPr>
            <w:tcW w:w="0" w:type="dxa"/>
            <w:vAlign w:val="bottom"/>
          </w:tcPr>
          <w:p>
            <w:pPr>
              <w:spacing w:after="0"/>
              <w:rPr>
                <w:sz w:val="1"/>
                <w:szCs w:val="1"/>
                <w:color w:val="auto"/>
              </w:rPr>
            </w:pPr>
          </w:p>
        </w:tc>
      </w:tr>
      <w:tr>
        <w:trPr>
          <w:trHeight w:val="210"/>
        </w:trPr>
        <w:tc>
          <w:tcPr>
            <w:tcW w:w="5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short-term and long-term investment securities</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$ 51,409</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51,245</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4 FAIR VALUE MEASUREMENTS</w:t>
      </w:r>
    </w:p>
    <w:p>
      <w:pPr>
        <w:spacing w:after="0" w:line="189" w:lineRule="exact"/>
        <w:rPr>
          <w:sz w:val="20"/>
          <w:szCs w:val="20"/>
          <w:color w:val="auto"/>
        </w:rPr>
      </w:pPr>
    </w:p>
    <w:p>
      <w:pPr>
        <w:jc w:val="both"/>
        <w:ind w:left="60" w:right="59" w:firstLine="492"/>
        <w:spacing w:after="0" w:line="261" w:lineRule="auto"/>
        <w:rPr>
          <w:sz w:val="20"/>
          <w:szCs w:val="20"/>
          <w:color w:val="auto"/>
        </w:rPr>
      </w:pPr>
      <w:r>
        <w:rPr>
          <w:rFonts w:ascii="Times New Roman" w:cs="Times New Roman" w:eastAsia="Times New Roman" w:hAnsi="Times New Roman"/>
          <w:sz w:val="18"/>
          <w:szCs w:val="18"/>
          <w:color w:val="auto"/>
        </w:rPr>
        <w:t>We measure certain financial assets and liabilities at fair value on a recurring basis in the condensed consolidated financial statements. The fair value hierarchy ranks the quality and reliability of inputs, or assumptions, used in the determination of fair value and requires financial assets and liabilities carried at fair value to be classified and disclosed in one of the following three categories:</w:t>
      </w:r>
    </w:p>
    <w:p>
      <w:pPr>
        <w:spacing w:after="0" w:line="153" w:lineRule="exact"/>
        <w:rPr>
          <w:sz w:val="20"/>
          <w:szCs w:val="20"/>
          <w:color w:val="auto"/>
        </w:rPr>
      </w:pPr>
    </w:p>
    <w:p>
      <w:pPr>
        <w:ind w:left="1040" w:hanging="315"/>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quoted prices in active markets for identical assets and liabilities;</w:t>
      </w:r>
    </w:p>
    <w:p>
      <w:pPr>
        <w:spacing w:after="0" w:line="2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other than Level 1 quoted prices that are directly or indirectly observable; and</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unobservable inputs that are not corroborated by market data.</w:t>
      </w:r>
    </w:p>
    <w:p>
      <w:pPr>
        <w:spacing w:after="0" w:line="166" w:lineRule="exact"/>
        <w:rPr>
          <w:sz w:val="20"/>
          <w:szCs w:val="20"/>
          <w:color w:val="auto"/>
        </w:rPr>
      </w:pPr>
    </w:p>
    <w:p>
      <w:pPr>
        <w:jc w:val="both"/>
        <w:ind w:left="60" w:right="79" w:firstLine="492"/>
        <w:spacing w:after="0" w:line="282" w:lineRule="auto"/>
        <w:rPr>
          <w:sz w:val="20"/>
          <w:szCs w:val="20"/>
          <w:color w:val="auto"/>
        </w:rPr>
      </w:pPr>
      <w:r>
        <w:rPr>
          <w:rFonts w:ascii="Times New Roman" w:cs="Times New Roman" w:eastAsia="Times New Roman" w:hAnsi="Times New Roman"/>
          <w:sz w:val="18"/>
          <w:szCs w:val="18"/>
          <w:color w:val="auto"/>
        </w:rPr>
        <w:t>As of June 30, 2022 and December 31, 2021, the fair values of cash and cash equivalents, restricted cash, accounts receivable, and loan and interest payable approximate their carrying value.</w:t>
      </w:r>
    </w:p>
    <w:p>
      <w:pPr>
        <w:spacing w:after="0" w:line="121" w:lineRule="exact"/>
        <w:rPr>
          <w:sz w:val="20"/>
          <w:szCs w:val="20"/>
          <w:color w:val="auto"/>
        </w:rPr>
      </w:pPr>
    </w:p>
    <w:p>
      <w:pPr>
        <w:jc w:val="both"/>
        <w:ind w:left="60" w:right="59" w:firstLine="492"/>
        <w:spacing w:after="0" w:line="258" w:lineRule="auto"/>
        <w:rPr>
          <w:sz w:val="20"/>
          <w:szCs w:val="20"/>
          <w:color w:val="auto"/>
        </w:rPr>
      </w:pPr>
      <w:r>
        <w:rPr>
          <w:rFonts w:ascii="Times New Roman" w:cs="Times New Roman" w:eastAsia="Times New Roman" w:hAnsi="Times New Roman"/>
          <w:sz w:val="18"/>
          <w:szCs w:val="18"/>
          <w:color w:val="auto"/>
        </w:rPr>
        <w:t>At the time of our merger (we were then known as Manhattan Pharmaceuticals, Inc. (Manhattan)) with Ariston Pharmaceuticals, Inc. (Ariston) in March 2010, Ariston issued $15.5 million of five-year 5% notes payable (the 5% Notes) in satisfaction of several note payable issuances. The 5% Notes and accrued and unpaid interest thereon are convertible at the option of the holder into common stock at the conversion price of $1,125 per share. We have no obligations under the 5% Notes aside from the conversion feature.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92"/>
        <w:spacing w:after="0" w:line="258" w:lineRule="auto"/>
        <w:rPr>
          <w:sz w:val="20"/>
          <w:szCs w:val="20"/>
          <w:color w:val="auto"/>
        </w:rPr>
      </w:pPr>
      <w:r>
        <w:rPr>
          <w:rFonts w:ascii="Times New Roman" w:cs="Times New Roman" w:eastAsia="Times New Roman" w:hAnsi="Times New Roman"/>
          <w:sz w:val="18"/>
          <w:szCs w:val="18"/>
          <w:color w:val="auto"/>
        </w:rPr>
        <w:t>The Company’s financial instruments include cash, cash equivalents consisting of money market funds, accounts receivable, accounts payable and loan payable. Cash, cash equivalents, restricted cash, accounts receivable, accounts payable and interest payable are stated at their respective historical carrying amounts, which approximate fair value due to their short-term nature. The carrying value of loan payable on the Company’s balance sheet is estimated to approximate its fair value as the interest rate approximates the market rate for loans with similar terms and risk characteristics.</w:t>
      </w:r>
    </w:p>
    <w:p>
      <w:pPr>
        <w:spacing w:after="0" w:line="156" w:lineRule="exact"/>
        <w:rPr>
          <w:sz w:val="20"/>
          <w:szCs w:val="20"/>
          <w:color w:val="auto"/>
        </w:rPr>
      </w:pPr>
    </w:p>
    <w:p>
      <w:pPr>
        <w:jc w:val="both"/>
        <w:ind w:left="60" w:right="59" w:firstLine="492"/>
        <w:spacing w:after="0" w:line="266" w:lineRule="auto"/>
        <w:rPr>
          <w:sz w:val="20"/>
          <w:szCs w:val="20"/>
          <w:color w:val="auto"/>
        </w:rPr>
      </w:pPr>
      <w:r>
        <w:rPr>
          <w:rFonts w:ascii="Times New Roman" w:cs="Times New Roman" w:eastAsia="Times New Roman" w:hAnsi="Times New Roman"/>
          <w:sz w:val="18"/>
          <w:szCs w:val="18"/>
          <w:color w:val="auto"/>
        </w:rPr>
        <w:t>We have no Level 1 or Level 2 instruments. Our Level 3 instrument amounts represent the fair value of the 5% Notes and related accrued interest. The following table summarizes the changes in Level 3 instruments during the six months ended June 30, 2022:</w:t>
      </w: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216"/>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r>
      <w:tr>
        <w:trPr>
          <w:trHeight w:val="216"/>
        </w:trPr>
        <w:tc>
          <w:tcPr>
            <w:tcW w:w="7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accrued on face value of 5% Notes</w:t>
            </w:r>
          </w:p>
        </w:tc>
        <w:tc>
          <w:tcPr>
            <w:tcW w:w="4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r>
      <w:tr>
        <w:trPr>
          <w:trHeight w:val="216"/>
        </w:trPr>
        <w:tc>
          <w:tcPr>
            <w:tcW w:w="7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 in fair value of Level 3 liabilities</w:t>
            </w:r>
          </w:p>
        </w:tc>
        <w:tc>
          <w:tcPr>
            <w:tcW w:w="4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r>
      <w:tr>
        <w:trPr>
          <w:trHeight w:val="209"/>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June 30, 2022</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0"/>
        </w:trPr>
        <w:tc>
          <w:tcPr>
            <w:tcW w:w="78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492"/>
        <w:spacing w:after="0" w:line="282" w:lineRule="auto"/>
        <w:rPr>
          <w:sz w:val="20"/>
          <w:szCs w:val="20"/>
          <w:color w:val="auto"/>
        </w:rPr>
      </w:pPr>
      <w:r>
        <w:rPr>
          <w:rFonts w:ascii="Times New Roman" w:cs="Times New Roman" w:eastAsia="Times New Roman" w:hAnsi="Times New Roman"/>
          <w:sz w:val="18"/>
          <w:szCs w:val="18"/>
          <w:color w:val="auto"/>
        </w:rPr>
        <w:t>The change in the fair value of the Level 3 liabilities is reported in other (income) expense in the accompanying condensed consolidated statements of operations.</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5 STOCKHOLDERS’ EQUITY</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89" w:lineRule="exact"/>
        <w:rPr>
          <w:sz w:val="20"/>
          <w:szCs w:val="20"/>
          <w:color w:val="auto"/>
        </w:rPr>
      </w:pPr>
    </w:p>
    <w:p>
      <w:pPr>
        <w:jc w:val="both"/>
        <w:ind w:left="60" w:right="59" w:firstLine="492"/>
        <w:spacing w:after="0" w:line="256" w:lineRule="auto"/>
        <w:rPr>
          <w:sz w:val="20"/>
          <w:szCs w:val="20"/>
          <w:color w:val="auto"/>
        </w:rPr>
      </w:pPr>
      <w:r>
        <w:rPr>
          <w:rFonts w:ascii="Times New Roman" w:cs="Times New Roman" w:eastAsia="Times New Roman" w:hAnsi="Times New Roman"/>
          <w:sz w:val="18"/>
          <w:szCs w:val="18"/>
          <w:color w:val="auto"/>
        </w:rPr>
        <w:t>Our amended and restated certificate of incorporation authorizes the issuance of up to 10,000,000 shares of preferred stock, $0.001 par value, with rights senior to those of our common stock, issuable in one or more series. Upon issuance, we can determine the rights, preferences, privileges and restrictions thereof.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common stock.</w:t>
      </w:r>
    </w:p>
    <w:p>
      <w:pPr>
        <w:spacing w:after="0" w:line="1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02" w:lineRule="exact"/>
        <w:rPr>
          <w:sz w:val="20"/>
          <w:szCs w:val="20"/>
          <w:color w:val="auto"/>
        </w:rPr>
      </w:pPr>
    </w:p>
    <w:p>
      <w:pPr>
        <w:jc w:val="both"/>
        <w:ind w:left="60" w:right="79" w:firstLine="492"/>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authorizes the issuance of up to 175,000,000 shares of $0.001 par value common stock.</w:t>
      </w:r>
    </w:p>
    <w:p>
      <w:pPr>
        <w:spacing w:after="0" w:line="121" w:lineRule="exact"/>
        <w:rPr>
          <w:sz w:val="20"/>
          <w:szCs w:val="20"/>
          <w:color w:val="auto"/>
        </w:rPr>
      </w:pPr>
    </w:p>
    <w:p>
      <w:pPr>
        <w:jc w:val="both"/>
        <w:ind w:left="60" w:right="59" w:firstLine="492"/>
        <w:spacing w:after="0" w:line="253" w:lineRule="auto"/>
        <w:rPr>
          <w:sz w:val="20"/>
          <w:szCs w:val="20"/>
          <w:color w:val="auto"/>
        </w:rPr>
      </w:pPr>
      <w:r>
        <w:rPr>
          <w:rFonts w:ascii="Times New Roman" w:cs="Times New Roman" w:eastAsia="Times New Roman" w:hAnsi="Times New Roman"/>
          <w:sz w:val="18"/>
          <w:szCs w:val="18"/>
          <w:color w:val="auto"/>
        </w:rPr>
        <w:t>On September 5, 2019, we filed an automatic “shelf registration” statement on Form S-3 (the 2019 WKSI Shelf) as a “well-known seasoned issuer” as defined in Rule 405 under the Securities Act, which registered an unlimited and indeterminate amount of debt or equity securities for future issuance and sale. The 2019 WKSI Shelf was declared effective in September 2019. In connection with the 2019 WKSI Shelf, we entered into an At-the-Market Issuance Sales Agreement (the 2020 ATM) with Jefferies LLC, Cantor Fitzgerald &amp; Co. and B. Riley Securities, Inc. (each a 2020 Agent and collectively, the 2020 Agents), relating to the sale of shares of our common stock. Under the 2020 ATM, we paid the 2020 Agents a commission rate of up to 3.0% of the gross proceeds from the sale of any shares of common stock. In November 2020, we entered into an At-the-Market Issuance Sales Agreement (the 2021 ATM) with the same terms and agents (each a 2021 Agent and collectively, the 2021 Agents) as the 2020 ATM. The 2021 ATM has replaced the 2020 ATM as the only active ATM program.</w:t>
      </w:r>
    </w:p>
    <w:p>
      <w:pPr>
        <w:spacing w:after="0" w:line="15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We had no activity on the 2021 ATM during the six months ended June 30, 2022 and 2021.</w:t>
      </w:r>
    </w:p>
    <w:p>
      <w:pPr>
        <w:spacing w:after="0" w:line="198" w:lineRule="exact"/>
        <w:rPr>
          <w:sz w:val="20"/>
          <w:szCs w:val="20"/>
          <w:color w:val="auto"/>
        </w:rPr>
      </w:pPr>
    </w:p>
    <w:p>
      <w:pPr>
        <w:jc w:val="both"/>
        <w:ind w:left="60" w:right="59" w:firstLine="492"/>
        <w:spacing w:after="0" w:line="258" w:lineRule="auto"/>
        <w:rPr>
          <w:sz w:val="20"/>
          <w:szCs w:val="20"/>
          <w:color w:val="auto"/>
        </w:rPr>
      </w:pPr>
      <w:r>
        <w:rPr>
          <w:rFonts w:ascii="Times New Roman" w:cs="Times New Roman" w:eastAsia="Times New Roman" w:hAnsi="Times New Roman"/>
          <w:sz w:val="18"/>
          <w:szCs w:val="18"/>
          <w:color w:val="auto"/>
        </w:rPr>
        <w:t>The 2019 WKSI Shelf is currently our only active shelf-registration statement. We may offer any combination of the securities registered under the 2019 WKSI Shelf from time to time in response to market conditions or other circumstances if we believe such a plan of financing is in the best interests of our stockholders. We may need to file additional shelf-registration statements in the future to provide us with the flexibility to raise additional capital to finance our operations as needed.</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202" w:lineRule="exact"/>
        <w:rPr>
          <w:sz w:val="20"/>
          <w:szCs w:val="20"/>
          <w:color w:val="auto"/>
        </w:rPr>
      </w:pPr>
    </w:p>
    <w:p>
      <w:pPr>
        <w:jc w:val="both"/>
        <w:ind w:left="60" w:right="59" w:firstLine="492"/>
        <w:spacing w:after="0" w:line="258" w:lineRule="auto"/>
        <w:rPr>
          <w:sz w:val="20"/>
          <w:szCs w:val="20"/>
          <w:color w:val="auto"/>
        </w:rPr>
      </w:pPr>
      <w:r>
        <w:rPr>
          <w:rFonts w:ascii="Times New Roman" w:cs="Times New Roman" w:eastAsia="Times New Roman" w:hAnsi="Times New Roman"/>
          <w:sz w:val="18"/>
          <w:szCs w:val="18"/>
          <w:color w:val="auto"/>
        </w:rPr>
        <w:t>The TG Therapeutics, Inc. 2022 Incentive Plan (the 2022 Incentive Plan) was approved by stockholders in June 2022 with 17 million shares available to be issued, of which not more than 10 million shares may be issued pursuant to “full-value awards.” Full-value awards include any award other than an option or stock appreciation right and which is settled by the issuance of stock. As of June 30, 2022, 1,003,090 shares of restricted stock and 200,000 options were outstanding and up to an additional 15,796,910 shares were available to be issued under the 2022 Incentive Plan.</w:t>
      </w:r>
    </w:p>
    <w:p>
      <w:pPr>
        <w:spacing w:after="0" w:line="143" w:lineRule="exact"/>
        <w:rPr>
          <w:sz w:val="20"/>
          <w:szCs w:val="20"/>
          <w:color w:val="auto"/>
        </w:rPr>
      </w:pPr>
    </w:p>
    <w:p>
      <w:pPr>
        <w:jc w:val="both"/>
        <w:ind w:left="60" w:right="59" w:firstLine="492"/>
        <w:spacing w:after="0" w:line="261" w:lineRule="auto"/>
        <w:rPr>
          <w:sz w:val="20"/>
          <w:szCs w:val="20"/>
          <w:color w:val="auto"/>
        </w:rPr>
      </w:pPr>
      <w:r>
        <w:rPr>
          <w:rFonts w:ascii="Times New Roman" w:cs="Times New Roman" w:eastAsia="Times New Roman" w:hAnsi="Times New Roman"/>
          <w:sz w:val="18"/>
          <w:szCs w:val="18"/>
          <w:color w:val="auto"/>
        </w:rPr>
        <w:t>The TG Therapeutics, Inc. Amended and Restated 2012 Incentive Plan (the 2012 Incentive Plan) was approved by stockholders in June 2020. As of June 30, 2022, 10,501,767 shares of restricted stock and 3,025,515 options were outstanding, and no additional shares were available to be issued under the 2012 Incentive Plan as the 2022 Incentive Plan is now the only active incentive plan.</w:t>
      </w:r>
    </w:p>
    <w:p>
      <w:pPr>
        <w:spacing w:after="0" w:line="13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Stock-based compensation expense included in the condensed consolidated statements of operations was $(1.0) million and $16.3 million for the three months ended June 30, 2022 and 2021, respectively, and $1.1 million and $32.9 million for the six months ended June 30, 2022 and 2021, respectively.</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Stock Options and Restricted Stock</w:t>
      </w:r>
    </w:p>
    <w:p>
      <w:pPr>
        <w:spacing w:after="0" w:line="200" w:lineRule="exact"/>
        <w:rPr>
          <w:sz w:val="20"/>
          <w:szCs w:val="20"/>
          <w:color w:val="auto"/>
        </w:rPr>
      </w:pPr>
    </w:p>
    <w:p>
      <w:pPr>
        <w:spacing w:after="0" w:line="21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following table summarizes the activity for stock options and restricted stock for the six months ended June 30,</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2022:</w:t>
      </w:r>
    </w:p>
    <w:p>
      <w:pPr>
        <w:spacing w:after="0" w:line="17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700" w:type="dxa"/>
            <w:vAlign w:val="bottom"/>
          </w:tcPr>
          <w:p>
            <w:pPr>
              <w:spacing w:after="0"/>
              <w:rPr>
                <w:sz w:val="15"/>
                <w:szCs w:val="15"/>
                <w:color w:val="auto"/>
              </w:rPr>
            </w:pPr>
          </w:p>
        </w:tc>
        <w:tc>
          <w:tcPr>
            <w:tcW w:w="174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146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Restricted Stock</w:t>
            </w:r>
          </w:p>
        </w:tc>
      </w:tr>
      <w:tr>
        <w:trPr>
          <w:trHeight w:val="210"/>
        </w:trPr>
        <w:tc>
          <w:tcPr>
            <w:tcW w:w="5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awards outstanding, beginning of year</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2,467,537</w:t>
            </w:r>
          </w:p>
        </w:tc>
        <w:tc>
          <w:tcPr>
            <w:tcW w:w="28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12,032,040</w:t>
            </w:r>
          </w:p>
        </w:tc>
      </w:tr>
      <w:tr>
        <w:trPr>
          <w:trHeight w:val="216"/>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during the year:</w:t>
            </w: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875,000</w:t>
            </w: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3,682,946</w:t>
            </w:r>
          </w:p>
        </w:tc>
      </w:tr>
      <w:tr>
        <w:trPr>
          <w:trHeight w:val="216"/>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Exercised or vested</w:t>
            </w:r>
          </w:p>
        </w:tc>
        <w:tc>
          <w:tcPr>
            <w:tcW w:w="1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(63,455)</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(2,369,743)</w:t>
            </w:r>
          </w:p>
        </w:tc>
      </w:tr>
      <w:tr>
        <w:trPr>
          <w:trHeight w:val="236"/>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Expired or Forfeited</w:t>
            </w:r>
          </w:p>
        </w:tc>
        <w:tc>
          <w:tcPr>
            <w:tcW w:w="1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(53,567)</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(1,840,386)</w:t>
            </w:r>
          </w:p>
        </w:tc>
      </w:tr>
      <w:tr>
        <w:trPr>
          <w:trHeight w:val="203"/>
        </w:trPr>
        <w:tc>
          <w:tcPr>
            <w:tcW w:w="5700" w:type="dxa"/>
            <w:vAlign w:val="bottom"/>
            <w:tcBorders>
              <w:top w:val="single" w:sz="8" w:color="CCEEFF"/>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Equity awards outstanding, end of period</w:t>
            </w:r>
          </w:p>
        </w:tc>
        <w:tc>
          <w:tcPr>
            <w:tcW w:w="14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3,225,515</w:t>
            </w:r>
          </w:p>
        </w:tc>
        <w:tc>
          <w:tcPr>
            <w:tcW w:w="280" w:type="dxa"/>
            <w:vAlign w:val="bottom"/>
            <w:tcBorders>
              <w:top w:val="single" w:sz="8" w:color="CCEEFF"/>
            </w:tcBorders>
          </w:tcPr>
          <w:p>
            <w:pPr>
              <w:spacing w:after="0"/>
              <w:rPr>
                <w:sz w:val="17"/>
                <w:szCs w:val="17"/>
                <w:color w:val="auto"/>
              </w:rPr>
            </w:pPr>
          </w:p>
        </w:tc>
        <w:tc>
          <w:tcPr>
            <w:tcW w:w="14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11,504,857</w:t>
            </w:r>
          </w:p>
        </w:tc>
      </w:tr>
      <w:tr>
        <w:trPr>
          <w:trHeight w:val="20"/>
        </w:trPr>
        <w:tc>
          <w:tcPr>
            <w:tcW w:w="57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As of June 30, 2022, total compensation cost related to unvested awards not yet recognized and the weighted-average periods over which the awards are expected to be recognized were as follows: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44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Restricted Stock</w:t>
            </w:r>
          </w:p>
        </w:tc>
      </w:tr>
      <w:tr>
        <w:trPr>
          <w:trHeight w:val="210"/>
        </w:trPr>
        <w:tc>
          <w:tcPr>
            <w:tcW w:w="6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compensation cost</w:t>
            </w:r>
          </w:p>
        </w:tc>
        <w:tc>
          <w:tcPr>
            <w:tcW w:w="4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2"/>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35,273</w:t>
            </w:r>
          </w:p>
        </w:tc>
      </w:tr>
      <w:tr>
        <w:trPr>
          <w:trHeight w:val="234"/>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weighted-average period in years of compensation cost to be recognized</w:t>
            </w:r>
          </w:p>
        </w:tc>
        <w:tc>
          <w:tcPr>
            <w:tcW w:w="4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bl>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Warrants</w:t>
      </w:r>
    </w:p>
    <w:p>
      <w:pPr>
        <w:spacing w:after="0" w:line="185" w:lineRule="exact"/>
        <w:rPr>
          <w:sz w:val="20"/>
          <w:szCs w:val="20"/>
          <w:color w:val="auto"/>
        </w:rPr>
      </w:pPr>
    </w:p>
    <w:p>
      <w:pPr>
        <w:jc w:val="both"/>
        <w:ind w:left="60" w:right="59" w:firstLine="492"/>
        <w:spacing w:after="0" w:line="261" w:lineRule="auto"/>
        <w:rPr>
          <w:sz w:val="20"/>
          <w:szCs w:val="20"/>
          <w:color w:val="auto"/>
        </w:rPr>
      </w:pPr>
      <w:r>
        <w:rPr>
          <w:rFonts w:ascii="Times New Roman" w:cs="Times New Roman" w:eastAsia="Times New Roman" w:hAnsi="Times New Roman"/>
          <w:sz w:val="18"/>
          <w:szCs w:val="18"/>
          <w:color w:val="auto"/>
        </w:rPr>
        <w:t>The Company’s only outstanding warrants are the warrants issued to Hercules as part of our the Loan Agreement and Amended Loan Agreement (as such terms are defined below) to purchase 147,058 and 115,042 shares of our common stock with exercise prices of $4.08 and $17.95, respectively. See Note 6 for further details. There will not be any ongoing stock compensation expense volatility associated with these warrants.</w:t>
      </w:r>
    </w:p>
    <w:p>
      <w:pPr>
        <w:spacing w:after="0" w:line="1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6 LOAN PAYABLE</w:t>
      </w:r>
    </w:p>
    <w:p>
      <w:pPr>
        <w:spacing w:after="0" w:line="189" w:lineRule="exact"/>
        <w:rPr>
          <w:sz w:val="20"/>
          <w:szCs w:val="20"/>
          <w:color w:val="auto"/>
        </w:rPr>
      </w:pPr>
    </w:p>
    <w:p>
      <w:pPr>
        <w:jc w:val="both"/>
        <w:ind w:left="60" w:right="59" w:firstLine="492"/>
        <w:spacing w:after="0" w:line="255" w:lineRule="auto"/>
        <w:rPr>
          <w:sz w:val="20"/>
          <w:szCs w:val="20"/>
          <w:color w:val="auto"/>
        </w:rPr>
      </w:pPr>
      <w:r>
        <w:rPr>
          <w:rFonts w:ascii="Times New Roman" w:cs="Times New Roman" w:eastAsia="Times New Roman" w:hAnsi="Times New Roman"/>
          <w:sz w:val="18"/>
          <w:szCs w:val="18"/>
          <w:color w:val="auto"/>
        </w:rPr>
        <w:t>On February 28, 2019 (the Closing Date), we entered into a term loan facility with Hercules Capital, Inc. (Hercules or Lender), which provided us with the capacity to borrow up to an aggregate principal amount of $60.0 million (Term Loan), the proceeds of which were used for research and development programs and for general corporate purposes. The Term Loan is governed by a loan and security agreement, dated February 28, 2019 (the Loan Agreement), which provides for up to four separate advances. The first advance of $30.0 million was drawn on the Closing Date. An additional $30.0 million under the Term Loan was previously available upon the completion of different milestones and time points that have now lapsed.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92"/>
        <w:spacing w:after="0" w:line="252" w:lineRule="auto"/>
        <w:rPr>
          <w:sz w:val="20"/>
          <w:szCs w:val="20"/>
          <w:color w:val="auto"/>
        </w:rPr>
      </w:pPr>
      <w:r>
        <w:rPr>
          <w:rFonts w:ascii="Times New Roman" w:cs="Times New Roman" w:eastAsia="Times New Roman" w:hAnsi="Times New Roman"/>
          <w:sz w:val="18"/>
          <w:szCs w:val="18"/>
          <w:color w:val="auto"/>
        </w:rPr>
        <w:t>On December 30, 2021 (the First Amendment Closing Date), the Company entered into an Amended and Restated Loan and Security Agreement (the Amended Loan Agreement) with Hercules Capital, Inc. The Amended Loan Agreement amended the terms of the Loan Agreement to, among other things, (i) increase the aggregate principal amount of the loan, available at the Company’s option, from $60.0 million to $200.0 million (the Amended Term Loan), (ii) issue a first advance of $70.0 million drawn at the First Amendment Closing Date, a portion of which was used to refinance the current outstanding loan balance of approximately $7.8 million and pay for expenses incurred by the Lender in executing the agreements, (iii) change the draw amounts and dates available in subsequent tranches, (iv) extend the maturity date of the facility from the original March 1, 2022 to January 1, 2026, (v) reset and extend the interest only period from April 1, 2021 to February 1, 2025 and extendable to August 1, 2025 subject to the achievement of certain performance milestones, and</w:t>
      </w:r>
    </w:p>
    <w:p>
      <w:pPr>
        <w:spacing w:after="0" w:line="6" w:lineRule="exact"/>
        <w:rPr>
          <w:sz w:val="20"/>
          <w:szCs w:val="20"/>
          <w:color w:val="auto"/>
        </w:rPr>
      </w:pPr>
    </w:p>
    <w:p>
      <w:pPr>
        <w:jc w:val="both"/>
        <w:ind w:left="60" w:right="59" w:hanging="10"/>
        <w:spacing w:after="0" w:line="265" w:lineRule="auto"/>
        <w:tabs>
          <w:tab w:leader="none" w:pos="371"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modify the cash interest rate to be the greater of either (a) the “prime rate” as reported in The Wall Street Journal plus 2.15%, and (b) 5.40%. In addition to the cash interest rate, the principal balance will accrue paid-in-kind interest at a rate of</w:t>
      </w:r>
    </w:p>
    <w:p>
      <w:pPr>
        <w:jc w:val="both"/>
        <w:ind w:left="60" w:right="59"/>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3.45%, which amount will be capitalized and added to the outstanding principal balance of the Amended Term Loan and payable at the maturity date of the Amended Loan Agreement.The performance milestones are based on achievement of certain U.S. Food and Drug Administration approvals and impact the potential extension of the interest only period, access to future advances under the Loan Agreement and minimum cash levels required under the Amended Loan Agreement.</w:t>
      </w:r>
    </w:p>
    <w:p>
      <w:pPr>
        <w:spacing w:after="0" w:line="162" w:lineRule="exact"/>
        <w:rPr>
          <w:sz w:val="20"/>
          <w:szCs w:val="20"/>
          <w:color w:val="auto"/>
        </w:rPr>
      </w:pPr>
    </w:p>
    <w:p>
      <w:pPr>
        <w:jc w:val="both"/>
        <w:ind w:left="60" w:right="59" w:firstLine="492"/>
        <w:spacing w:after="0" w:line="261" w:lineRule="auto"/>
        <w:rPr>
          <w:sz w:val="20"/>
          <w:szCs w:val="20"/>
          <w:color w:val="auto"/>
        </w:rPr>
      </w:pPr>
      <w:r>
        <w:rPr>
          <w:rFonts w:ascii="Times New Roman" w:cs="Times New Roman" w:eastAsia="Times New Roman" w:hAnsi="Times New Roman"/>
          <w:sz w:val="18"/>
          <w:szCs w:val="18"/>
          <w:color w:val="auto"/>
        </w:rPr>
        <w:t>The Amended Loan Agreement contains financial covenants from and after October 15, 2022 that require the Company to maintain certain levels of unrestricted cash and additional financial covenants related to market capitalization and unrestricted cash commencing on July 1, 2023 at any time when the Amended Term Loan advances made under the Amended Loan Agreement are greater than $70 million.</w:t>
      </w:r>
    </w:p>
    <w:p>
      <w:pPr>
        <w:spacing w:after="0" w:line="139" w:lineRule="exact"/>
        <w:rPr>
          <w:sz w:val="20"/>
          <w:szCs w:val="20"/>
          <w:color w:val="auto"/>
        </w:rPr>
      </w:pPr>
    </w:p>
    <w:p>
      <w:pPr>
        <w:jc w:val="both"/>
        <w:ind w:left="60" w:right="59" w:firstLine="492"/>
        <w:spacing w:after="0" w:line="261" w:lineRule="auto"/>
        <w:rPr>
          <w:sz w:val="20"/>
          <w:szCs w:val="20"/>
          <w:color w:val="auto"/>
        </w:rPr>
      </w:pPr>
      <w:r>
        <w:rPr>
          <w:rFonts w:ascii="Times New Roman" w:cs="Times New Roman" w:eastAsia="Times New Roman" w:hAnsi="Times New Roman"/>
          <w:sz w:val="18"/>
          <w:szCs w:val="18"/>
          <w:color w:val="auto"/>
        </w:rPr>
        <w:t>The Amended Loan Agreement also contains warrant coverage of 2.95% of the total amount funded. A warrant was issued by the Company to Hercules to purchase 115,042 shares of common stock with an exercise price of $17.95 for the initial amount funded at closing (the Warrant). The Warrant shall be exercisable for seven years from the date of issuance. Hercules may exercise the Warrant either by (a) cash or check or (b) through a net issuance conversion.</w:t>
      </w:r>
    </w:p>
    <w:p>
      <w:pPr>
        <w:spacing w:after="0" w:line="139" w:lineRule="exact"/>
        <w:rPr>
          <w:sz w:val="20"/>
          <w:szCs w:val="20"/>
          <w:color w:val="auto"/>
        </w:rPr>
      </w:pPr>
    </w:p>
    <w:p>
      <w:pPr>
        <w:jc w:val="both"/>
        <w:ind w:left="60" w:right="79" w:firstLine="492"/>
        <w:spacing w:after="0" w:line="282" w:lineRule="auto"/>
        <w:rPr>
          <w:sz w:val="20"/>
          <w:szCs w:val="20"/>
          <w:color w:val="auto"/>
        </w:rPr>
      </w:pPr>
      <w:r>
        <w:rPr>
          <w:rFonts w:ascii="Times New Roman" w:cs="Times New Roman" w:eastAsia="Times New Roman" w:hAnsi="Times New Roman"/>
          <w:sz w:val="18"/>
          <w:szCs w:val="18"/>
          <w:color w:val="auto"/>
        </w:rPr>
        <w:t>In addition, the Company is required to pay a final payment fee equal to 5.95% of the aggregate principal amount of the Term Loan Advances (as defined in the Loan Agreement).</w:t>
      </w:r>
    </w:p>
    <w:p>
      <w:pPr>
        <w:spacing w:after="0" w:line="135" w:lineRule="exact"/>
        <w:rPr>
          <w:sz w:val="20"/>
          <w:szCs w:val="20"/>
          <w:color w:val="auto"/>
        </w:rPr>
      </w:pPr>
    </w:p>
    <w:p>
      <w:pPr>
        <w:jc w:val="both"/>
        <w:ind w:left="60" w:right="59" w:firstLine="492"/>
        <w:spacing w:after="0" w:line="256" w:lineRule="auto"/>
        <w:rPr>
          <w:sz w:val="20"/>
          <w:szCs w:val="20"/>
          <w:color w:val="auto"/>
        </w:rPr>
      </w:pPr>
      <w:r>
        <w:rPr>
          <w:rFonts w:ascii="Times New Roman" w:cs="Times New Roman" w:eastAsia="Times New Roman" w:hAnsi="Times New Roman"/>
          <w:sz w:val="18"/>
          <w:szCs w:val="18"/>
          <w:color w:val="auto"/>
        </w:rPr>
        <w:t>The Company may, at its option, prepay the Amended Term Loan in full or in part, subject to a prepayment penalty equal to (i) 2.0% of the principal amount prepaid if the prepayment occurs prior to the first anniversary of the First Amendment Closing Date, (ii) 1.5% of the principal amount prepaid if the prepayment occurs on or after the first anniversary and prior to the second anniversary of the First Amendment Closing Date, and (iii) 1.0% of the principal amount prepaid if the prepayment occurs on or after the second anniversary and prior to the third anniversary of the First Amendment Closing Date.</w:t>
      </w:r>
    </w:p>
    <w:p>
      <w:pPr>
        <w:spacing w:after="0" w:line="147" w:lineRule="exact"/>
        <w:rPr>
          <w:sz w:val="20"/>
          <w:szCs w:val="20"/>
          <w:color w:val="auto"/>
        </w:rPr>
      </w:pPr>
    </w:p>
    <w:p>
      <w:pPr>
        <w:jc w:val="both"/>
        <w:ind w:left="60" w:right="59" w:firstLine="492"/>
        <w:spacing w:after="0" w:line="256" w:lineRule="auto"/>
        <w:rPr>
          <w:sz w:val="20"/>
          <w:szCs w:val="20"/>
          <w:color w:val="auto"/>
        </w:rPr>
      </w:pPr>
      <w:r>
        <w:rPr>
          <w:rFonts w:ascii="Times New Roman" w:cs="Times New Roman" w:eastAsia="Times New Roman" w:hAnsi="Times New Roman"/>
          <w:sz w:val="18"/>
          <w:szCs w:val="18"/>
          <w:color w:val="auto"/>
        </w:rPr>
        <w:t>The Company evaluated whether the Amended Term Loan entered into in December 2021 represented a debt modification or extinguishment of the Term Loan in accordance with ASC 470-50, Debt – Modifications and Extinguishments. As a result of the repayment and retirement of the Term Loan, the Term Loan was accounted for by the Company under the extinguishment accounting model. The Company recorded a loss on extinguishment of debt of approximately $0.2 million on the Company’s statement of operations for the twelve months ended December 31, 2021, representing the write-off of deferred financing costs.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firstLine="492"/>
        <w:spacing w:after="0" w:line="282" w:lineRule="auto"/>
        <w:rPr>
          <w:sz w:val="20"/>
          <w:szCs w:val="20"/>
          <w:color w:val="auto"/>
        </w:rPr>
      </w:pPr>
      <w:r>
        <w:rPr>
          <w:rFonts w:ascii="Times New Roman" w:cs="Times New Roman" w:eastAsia="Times New Roman" w:hAnsi="Times New Roman"/>
          <w:sz w:val="18"/>
          <w:szCs w:val="18"/>
          <w:color w:val="auto"/>
        </w:rPr>
        <w:t>The Company estimated the fair value of the Warrant using the Black-Scholes model based on the following key assumptions:</w:t>
      </w:r>
    </w:p>
    <w:p>
      <w:pPr>
        <w:spacing w:after="0" w:line="20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7240" w:type="dxa"/>
            <w:vAlign w:val="bottom"/>
            <w:shd w:val="clear" w:color="auto" w:fill="CCEEFF"/>
          </w:tcPr>
          <w:p>
            <w:pPr>
              <w:spacing w:after="0"/>
              <w:rPr>
                <w:sz w:val="18"/>
                <w:szCs w:val="18"/>
                <w:color w:val="auto"/>
              </w:rPr>
            </w:pPr>
          </w:p>
        </w:tc>
        <w:tc>
          <w:tcPr>
            <w:tcW w:w="1660" w:type="dxa"/>
            <w:vAlign w:val="bottom"/>
            <w:tcBorders>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8"/>
              </w:rPr>
              <w:t>Amended Term Loan</w:t>
            </w:r>
          </w:p>
        </w:tc>
      </w:tr>
      <w:tr>
        <w:trPr>
          <w:trHeight w:val="210"/>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price</w:t>
            </w: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w:t>
            </w:r>
          </w:p>
        </w:tc>
        <w:tc>
          <w:tcPr>
            <w:tcW w:w="220" w:type="dxa"/>
            <w:vAlign w:val="bottom"/>
          </w:tcPr>
          <w:p>
            <w:pPr>
              <w:spacing w:after="0"/>
              <w:rPr>
                <w:sz w:val="18"/>
                <w:szCs w:val="18"/>
                <w:color w:val="auto"/>
              </w:rPr>
            </w:pPr>
          </w:p>
        </w:tc>
      </w:tr>
      <w:tr>
        <w:trPr>
          <w:trHeight w:val="216"/>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share price on date of issuance</w:t>
            </w: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w:t>
            </w:r>
          </w:p>
        </w:tc>
        <w:tc>
          <w:tcPr>
            <w:tcW w:w="220" w:type="dxa"/>
            <w:vAlign w:val="bottom"/>
            <w:shd w:val="clear" w:color="auto" w:fill="CCEEFF"/>
          </w:tcPr>
          <w:p>
            <w:pPr>
              <w:spacing w:after="0"/>
              <w:rPr>
                <w:sz w:val="18"/>
                <w:szCs w:val="18"/>
                <w:color w:val="auto"/>
              </w:rPr>
            </w:pPr>
          </w:p>
        </w:tc>
      </w:tr>
      <w:tr>
        <w:trPr>
          <w:trHeight w:val="216"/>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184.4</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38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Contractual term (in years)</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 years</w:t>
            </w:r>
          </w:p>
        </w:tc>
        <w:tc>
          <w:tcPr>
            <w:tcW w:w="22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jc w:val="both"/>
        <w:ind w:left="60" w:right="59" w:firstLine="492"/>
        <w:spacing w:after="0" w:line="255" w:lineRule="auto"/>
        <w:rPr>
          <w:sz w:val="20"/>
          <w:szCs w:val="20"/>
          <w:color w:val="auto"/>
        </w:rPr>
      </w:pPr>
      <w:r>
        <w:rPr>
          <w:rFonts w:ascii="Times New Roman" w:cs="Times New Roman" w:eastAsia="Times New Roman" w:hAnsi="Times New Roman"/>
          <w:sz w:val="18"/>
          <w:szCs w:val="18"/>
          <w:color w:val="auto"/>
        </w:rPr>
        <w:t>The Company incurred financing expenses of $7.4 million (including the fair value of the Warrant) related to the Amended Loan Agreement which are recorded as debt issuance costs and as an offset to loan payable on the Company’s consolidated balance sheet. The debt issuance costs are being amortized over the term of the debt using the straight-line method, which approximates the effective interest method, and will be included in interest expense in the Company’s consolidated statements of operations. Amortization of debt issuance costs was $0.5 million and $0.2 million for the three months ended June 30, 2022, and 2021, respectively and $0.9 million and $0.5 million for the six months ended June 30, 2022 and 2021, respectively. At June 30, 2022, the remaining unamortized balance of debt issuance costs was $6.5 million.</w:t>
      </w:r>
    </w:p>
    <w:p>
      <w:pPr>
        <w:spacing w:after="0" w:line="18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loan payable as of June 30, 2022 and December 31, 2021, is as follows:</w:t>
      </w:r>
    </w:p>
    <w:p>
      <w:pPr>
        <w:spacing w:after="0" w:line="2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6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8"/>
        </w:trPr>
        <w:tc>
          <w:tcPr>
            <w:tcW w:w="6680" w:type="dxa"/>
            <w:vAlign w:val="bottom"/>
            <w:tcBorders>
              <w:bottom w:val="single" w:sz="8" w:color="CCEEFF"/>
            </w:tcBorders>
          </w:tcPr>
          <w:p>
            <w:pPr>
              <w:ind w:left="20"/>
              <w:spacing w:after="0" w:line="149" w:lineRule="exact"/>
              <w:rPr>
                <w:sz w:val="20"/>
                <w:szCs w:val="20"/>
                <w:color w:val="auto"/>
              </w:rPr>
            </w:pPr>
            <w:r>
              <w:rPr>
                <w:rFonts w:ascii="Times New Roman" w:cs="Times New Roman" w:eastAsia="Times New Roman" w:hAnsi="Times New Roman"/>
                <w:sz w:val="14"/>
                <w:szCs w:val="14"/>
                <w:color w:val="auto"/>
              </w:rPr>
              <w:t>(in thousands)</w:t>
            </w:r>
          </w:p>
        </w:tc>
        <w:tc>
          <w:tcPr>
            <w:tcW w:w="1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13"/>
              <w:spacing w:after="0" w:line="149"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2"/>
              <w:spacing w:after="0" w:line="149"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 payable</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w:t>
            </w:r>
          </w:p>
        </w:tc>
      </w:tr>
      <w:tr>
        <w:trPr>
          <w:trHeight w:val="216"/>
        </w:trPr>
        <w:tc>
          <w:tcPr>
            <w:tcW w:w="6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Add: Accreted Liability of final payment fee</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5,402</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5,140</w:t>
            </w:r>
          </w:p>
        </w:tc>
      </w:tr>
      <w:tr>
        <w:trPr>
          <w:trHeight w:val="210"/>
        </w:trPr>
        <w:tc>
          <w:tcPr>
            <w:tcW w:w="6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75,402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75,140</w:t>
            </w:r>
          </w:p>
        </w:tc>
      </w:tr>
      <w:tr>
        <w:trPr>
          <w:trHeight w:val="216"/>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unamortized debt issuance costs</w:t>
            </w:r>
          </w:p>
        </w:tc>
        <w:tc>
          <w:tcPr>
            <w:tcW w:w="18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(6,455)</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(7,377)</w:t>
            </w:r>
          </w:p>
        </w:tc>
      </w:tr>
      <w:tr>
        <w:trPr>
          <w:trHeight w:val="210"/>
        </w:trPr>
        <w:tc>
          <w:tcPr>
            <w:tcW w:w="66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68,947</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67,763</w:t>
            </w:r>
          </w:p>
        </w:tc>
      </w:tr>
      <w:tr>
        <w:trPr>
          <w:trHeight w:val="216"/>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principal payments</w:t>
            </w:r>
          </w:p>
        </w:tc>
        <w:tc>
          <w:tcPr>
            <w:tcW w:w="18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loan payable</w:t>
            </w: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68,947</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67,763</w:t>
            </w:r>
          </w:p>
        </w:tc>
      </w:tr>
      <w:tr>
        <w:trPr>
          <w:trHeight w:val="216"/>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18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w:t>
            </w:r>
          </w:p>
        </w:tc>
      </w:tr>
      <w:tr>
        <w:trPr>
          <w:trHeight w:val="210"/>
        </w:trPr>
        <w:tc>
          <w:tcPr>
            <w:tcW w:w="6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 payable non-current</w:t>
            </w: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68,947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66,788</w:t>
            </w:r>
          </w:p>
        </w:tc>
      </w:tr>
      <w:tr>
        <w:trPr>
          <w:trHeight w:val="20"/>
        </w:trPr>
        <w:tc>
          <w:tcPr>
            <w:tcW w:w="6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7 LEASES</w:t>
      </w:r>
    </w:p>
    <w:p>
      <w:pPr>
        <w:spacing w:after="0" w:line="202" w:lineRule="exact"/>
        <w:rPr>
          <w:sz w:val="20"/>
          <w:szCs w:val="20"/>
          <w:color w:val="auto"/>
        </w:rPr>
      </w:pPr>
    </w:p>
    <w:p>
      <w:pPr>
        <w:jc w:val="both"/>
        <w:ind w:left="60" w:right="59" w:firstLine="492"/>
        <w:spacing w:after="0" w:line="270" w:lineRule="auto"/>
        <w:rPr>
          <w:sz w:val="20"/>
          <w:szCs w:val="20"/>
          <w:color w:val="auto"/>
        </w:rPr>
      </w:pPr>
      <w:r>
        <w:rPr>
          <w:rFonts w:ascii="Times New Roman" w:cs="Times New Roman" w:eastAsia="Times New Roman" w:hAnsi="Times New Roman"/>
          <w:sz w:val="17"/>
          <w:szCs w:val="17"/>
          <w:color w:val="auto"/>
        </w:rPr>
        <w:t>In October 2014, we entered into an agreement (the Office Agreement) with Fortress Biotech, Inc. (FBIO) to occupy approximately 45% of the 24,000 square feet of New York City office space leased by FBIO. The Office Agreement requires us to pay our respective share of the average annual rent and other costs of the 15-year lease. We approximate an average annual rental obligation of $1.4 million under the Office Agreement. We began to occupy this new space in April 2016, with rental payments beginning in the third quarter of 2016. The initial commitment period of the 45% rate was for a period of three (3) years. We and FBIO currently determine actual office space utilization annually and if our utilization differs from the amount we have been billed, we will either receive credits or be assessed incremental utilization charges. As of June 30, 2022, the allocation rate is 63% and will be evaluated again in September 2022 for the following rent year. Also in connection with this lease, we have pledged $1.3 million to secure a line of credit as a security deposit for the Office Agreement, which has been recorded as restricted cash in the accompanying condensed consolidated balance sheets.</w:t>
      </w:r>
    </w:p>
    <w:p>
      <w:pPr>
        <w:spacing w:after="0" w:line="136" w:lineRule="exact"/>
        <w:rPr>
          <w:sz w:val="20"/>
          <w:szCs w:val="20"/>
          <w:color w:val="auto"/>
        </w:rPr>
      </w:pPr>
    </w:p>
    <w:p>
      <w:pPr>
        <w:jc w:val="both"/>
        <w:ind w:left="60" w:right="59" w:firstLine="492"/>
        <w:spacing w:after="0" w:line="261" w:lineRule="auto"/>
        <w:rPr>
          <w:sz w:val="20"/>
          <w:szCs w:val="20"/>
          <w:color w:val="auto"/>
        </w:rPr>
      </w:pPr>
      <w:r>
        <w:rPr>
          <w:rFonts w:ascii="Times New Roman" w:cs="Times New Roman" w:eastAsia="Times New Roman" w:hAnsi="Times New Roman"/>
          <w:sz w:val="18"/>
          <w:szCs w:val="18"/>
          <w:color w:val="auto"/>
        </w:rPr>
        <w:t>In October 2019, we finalized a five-year lease for office space in New Jersey (the NJ Lease). We approximate an average annual rental obligation of $0.3 million under the NJ Lease. We took possession of this space in October 2019, with rental payments beginning in November 2019. We incurred rent expense of $0.1 million for the six months ended June 30, 2022.</w:t>
      </w:r>
    </w:p>
    <w:p>
      <w:pPr>
        <w:spacing w:after="0" w:line="139" w:lineRule="exact"/>
        <w:rPr>
          <w:sz w:val="20"/>
          <w:szCs w:val="20"/>
          <w:color w:val="auto"/>
        </w:rPr>
      </w:pPr>
    </w:p>
    <w:p>
      <w:pPr>
        <w:jc w:val="both"/>
        <w:ind w:left="60" w:right="59" w:firstLine="492"/>
        <w:spacing w:after="0" w:line="261" w:lineRule="auto"/>
        <w:rPr>
          <w:sz w:val="20"/>
          <w:szCs w:val="20"/>
          <w:color w:val="auto"/>
        </w:rPr>
      </w:pPr>
      <w:r>
        <w:rPr>
          <w:rFonts w:ascii="Times New Roman" w:cs="Times New Roman" w:eastAsia="Times New Roman" w:hAnsi="Times New Roman"/>
          <w:sz w:val="18"/>
          <w:szCs w:val="18"/>
          <w:color w:val="auto"/>
        </w:rPr>
        <w:t>In October 2021, we finalized a five-year lease for office space in North Carolina (the NC Lease). We approximate an average annual rental obligation of $0.2 million under the NC Lease. We took possession of this space in February 2022, with rental payments beginning in April 2022. We incurred rent expense of $0.1 million for the six months ended June 30, 2022.</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60" w:firstLine="492"/>
        <w:spacing w:after="0" w:line="255" w:lineRule="auto"/>
        <w:rPr>
          <w:sz w:val="20"/>
          <w:szCs w:val="20"/>
          <w:color w:val="auto"/>
        </w:rPr>
      </w:pPr>
      <w:r>
        <w:rPr>
          <w:rFonts w:ascii="Times New Roman" w:cs="Times New Roman" w:eastAsia="Times New Roman" w:hAnsi="Times New Roman"/>
          <w:sz w:val="18"/>
          <w:szCs w:val="18"/>
          <w:color w:val="auto"/>
        </w:rPr>
        <w:t>At January 1, 2019, we recognized a lease liability and corresponding Right-of-Use (ROU) asset of $9.5 million and $8.1 million, respectively, based on the present value of the remaining lease payments for all of our leased office spaces, the majority of which is comprised of our New York City office space. The present values of our lease liability and corresponding ROU asset are $11.5 million and $8.8 million, respectively, as of June 30, 2022. Our leases have remaining lease terms of 2 years to 10 years. One lease has a renewal option to extend the lease for an additional term of two years. The following components of lease expense are included in the Company’s condensed consolidated statements of operations for the three and six months ended June 30, 2022 and 2021:</w:t>
      </w:r>
    </w:p>
    <w:p>
      <w:pPr>
        <w:spacing w:after="0" w:line="12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2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3"/>
                <w:szCs w:val="13"/>
                <w:color w:val="auto"/>
              </w:rPr>
            </w:pPr>
          </w:p>
        </w:tc>
        <w:tc>
          <w:tcPr>
            <w:tcW w:w="174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4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60" w:type="dxa"/>
            <w:vAlign w:val="bottom"/>
          </w:tcPr>
          <w:p>
            <w:pPr>
              <w:spacing w:after="0"/>
              <w:rPr>
                <w:sz w:val="15"/>
                <w:szCs w:val="15"/>
                <w:color w:val="auto"/>
              </w:rPr>
            </w:pP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Pr>
          <w:p>
            <w:pPr>
              <w:spacing w:after="0"/>
              <w:rPr>
                <w:sz w:val="15"/>
                <w:szCs w:val="15"/>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15"/>
                <w:szCs w:val="15"/>
                <w:color w:val="auto"/>
              </w:rPr>
            </w:pPr>
          </w:p>
        </w:tc>
        <w:tc>
          <w:tcPr>
            <w:tcW w:w="1080" w:type="dxa"/>
            <w:vAlign w:val="bottom"/>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880" w:type="dxa"/>
            <w:vAlign w:val="bottom"/>
            <w:tcBorders>
              <w:bottom w:val="single" w:sz="8" w:color="CCEEFF"/>
            </w:tcBorders>
            <w:vMerge w:val="continue"/>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6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0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9"/>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1,038</w:t>
            </w:r>
          </w:p>
        </w:tc>
        <w:tc>
          <w:tcPr>
            <w:tcW w:w="1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0" w:type="dxa"/>
            <w:vAlign w:val="bottom"/>
          </w:tcPr>
          <w:p>
            <w:pPr>
              <w:spacing w:after="0"/>
              <w:rPr>
                <w:sz w:val="1"/>
                <w:szCs w:val="1"/>
                <w:color w:val="auto"/>
              </w:rPr>
            </w:pPr>
          </w:p>
        </w:tc>
      </w:tr>
      <w:tr>
        <w:trPr>
          <w:trHeight w:val="210"/>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lease cost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60" w:type="dxa"/>
            <w:vAlign w:val="bottom"/>
          </w:tcPr>
          <w:p>
            <w:pPr>
              <w:spacing w:after="0"/>
              <w:rPr>
                <w:sz w:val="18"/>
                <w:szCs w:val="18"/>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1,038</w:t>
            </w:r>
          </w:p>
        </w:tc>
        <w:tc>
          <w:tcPr>
            <w:tcW w:w="14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60" w:firstLine="492"/>
        <w:spacing w:after="0" w:line="256" w:lineRule="auto"/>
        <w:rPr>
          <w:sz w:val="20"/>
          <w:szCs w:val="20"/>
          <w:color w:val="auto"/>
        </w:rPr>
      </w:pPr>
      <w:r>
        <w:rPr>
          <w:rFonts w:ascii="Times New Roman" w:cs="Times New Roman" w:eastAsia="Times New Roman" w:hAnsi="Times New Roman"/>
          <w:sz w:val="18"/>
          <w:szCs w:val="18"/>
          <w:color w:val="auto"/>
        </w:rPr>
        <w:t>As of June 30, 2022, the weighted-average remaining operating lease term was 6.82 years and the weighted-average discount rate for operating leases was 9.94%. Cash paid for amounts included in the measurement of operating lease liabilities during the six months ended June 30, 2022 was $1.0 million.The balance sheet classification of lease liabilities was as follows:</w:t>
      </w:r>
    </w:p>
    <w:tbl>
      <w:tblPr>
        <w:tblLayout w:type="fixed"/>
        <w:tblInd w:w="40" w:type="dxa"/>
        <w:tblCellMar>
          <w:top w:w="0" w:type="dxa"/>
          <w:left w:w="0" w:type="dxa"/>
          <w:bottom w:w="0" w:type="dxa"/>
          <w:right w:w="0" w:type="dxa"/>
        </w:tblCellMar>
      </w:tblPr>
      <w:tr>
        <w:trPr>
          <w:trHeight w:val="150"/>
        </w:trPr>
        <w:tc>
          <w:tcPr>
            <w:tcW w:w="6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40" w:type="dxa"/>
            <w:vAlign w:val="bottom"/>
          </w:tcPr>
          <w:p>
            <w:pPr>
              <w:spacing w:after="0"/>
              <w:rPr>
                <w:sz w:val="13"/>
                <w:szCs w:val="13"/>
                <w:color w:val="auto"/>
              </w:rPr>
            </w:pPr>
          </w:p>
        </w:tc>
        <w:tc>
          <w:tcPr>
            <w:tcW w:w="800" w:type="dxa"/>
            <w:vAlign w:val="bottom"/>
          </w:tcPr>
          <w:p>
            <w:pPr>
              <w:jc w:val="right"/>
              <w:ind w:right="137"/>
              <w:spacing w:after="0" w:line="150" w:lineRule="exact"/>
              <w:rPr>
                <w:sz w:val="20"/>
                <w:szCs w:val="20"/>
                <w:color w:val="auto"/>
              </w:rPr>
            </w:pPr>
            <w:r>
              <w:rPr>
                <w:rFonts w:ascii="Times New Roman" w:cs="Times New Roman" w:eastAsia="Times New Roman" w:hAnsi="Times New Roman"/>
                <w:sz w:val="14"/>
                <w:szCs w:val="14"/>
                <w:b w:val="1"/>
                <w:bCs w:val="1"/>
                <w:color w:val="auto"/>
              </w:rPr>
              <w:t>June 30,</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820" w:type="dxa"/>
            <w:vAlign w:val="bottom"/>
            <w:tcBorders>
              <w:bottom w:val="single" w:sz="8" w:color="CCEEFF"/>
            </w:tcBorders>
            <w:gridSpan w:val="2"/>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209"/>
        </w:trPr>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Lease liability current portion</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liability non-current</w:t>
            </w: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9,847</w:t>
            </w:r>
          </w:p>
        </w:tc>
        <w:tc>
          <w:tcPr>
            <w:tcW w:w="0" w:type="dxa"/>
            <w:vAlign w:val="bottom"/>
          </w:tcPr>
          <w:p>
            <w:pPr>
              <w:spacing w:after="0"/>
              <w:rPr>
                <w:sz w:val="1"/>
                <w:szCs w:val="1"/>
                <w:color w:val="auto"/>
              </w:rPr>
            </w:pPr>
          </w:p>
        </w:tc>
      </w:tr>
      <w:tr>
        <w:trPr>
          <w:trHeight w:val="209"/>
        </w:trPr>
        <w:tc>
          <w:tcPr>
            <w:tcW w:w="68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Total lease liability</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11,457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11,284</w:t>
            </w:r>
          </w:p>
        </w:tc>
        <w:tc>
          <w:tcPr>
            <w:tcW w:w="0" w:type="dxa"/>
            <w:vAlign w:val="bottom"/>
          </w:tcPr>
          <w:p>
            <w:pPr>
              <w:spacing w:after="0"/>
              <w:rPr>
                <w:sz w:val="1"/>
                <w:szCs w:val="1"/>
                <w:color w:val="auto"/>
              </w:rPr>
            </w:pPr>
          </w:p>
        </w:tc>
      </w:tr>
      <w:tr>
        <w:trPr>
          <w:trHeight w:val="20"/>
        </w:trPr>
        <w:tc>
          <w:tcPr>
            <w:tcW w:w="6820" w:type="dxa"/>
            <w:vAlign w:val="bottom"/>
            <w:gridSpan w:val="2"/>
            <w:vMerge w:val="restart"/>
          </w:tcPr>
          <w:p>
            <w:pPr>
              <w:ind w:left="500"/>
              <w:spacing w:after="0"/>
              <w:rPr>
                <w:sz w:val="20"/>
                <w:szCs w:val="20"/>
                <w:color w:val="auto"/>
              </w:rPr>
            </w:pPr>
            <w:r>
              <w:rPr>
                <w:rFonts w:ascii="Times New Roman" w:cs="Times New Roman" w:eastAsia="Times New Roman" w:hAnsi="Times New Roman"/>
                <w:sz w:val="18"/>
                <w:szCs w:val="18"/>
                <w:color w:val="auto"/>
              </w:rPr>
              <w:t>As of June 30, 2022, the maturities of lease liabilities were as follows:</w:t>
            </w: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82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6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w w:val="97"/>
              </w:rPr>
              <w:t>Operating</w:t>
            </w:r>
          </w:p>
        </w:tc>
        <w:tc>
          <w:tcPr>
            <w:tcW w:w="0" w:type="dxa"/>
            <w:vAlign w:val="bottom"/>
          </w:tcPr>
          <w:p>
            <w:pPr>
              <w:spacing w:after="0"/>
              <w:rPr>
                <w:sz w:val="1"/>
                <w:szCs w:val="1"/>
                <w:color w:val="auto"/>
              </w:rPr>
            </w:pPr>
          </w:p>
        </w:tc>
      </w:tr>
      <w:tr>
        <w:trPr>
          <w:trHeight w:val="173"/>
        </w:trPr>
        <w:tc>
          <w:tcPr>
            <w:tcW w:w="6820" w:type="dxa"/>
            <w:vAlign w:val="bottom"/>
            <w:tcBorders>
              <w:bottom w:val="single" w:sz="8" w:color="CCEEFF"/>
            </w:tcBorders>
            <w:gridSpan w:val="2"/>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0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0" w:type="dxa"/>
            <w:vAlign w:val="bottom"/>
          </w:tcPr>
          <w:p>
            <w:pPr>
              <w:spacing w:after="0"/>
              <w:rPr>
                <w:sz w:val="1"/>
                <w:szCs w:val="1"/>
                <w:color w:val="auto"/>
              </w:rPr>
            </w:pPr>
          </w:p>
        </w:tc>
      </w:tr>
      <w:tr>
        <w:trPr>
          <w:trHeight w:val="210"/>
        </w:trPr>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2022</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0" w:type="dxa"/>
            <w:vAlign w:val="bottom"/>
          </w:tcPr>
          <w:p>
            <w:pPr>
              <w:spacing w:after="0"/>
              <w:rPr>
                <w:sz w:val="1"/>
                <w:szCs w:val="1"/>
                <w:color w:val="auto"/>
              </w:rPr>
            </w:pPr>
          </w:p>
        </w:tc>
      </w:tr>
      <w:tr>
        <w:trPr>
          <w:trHeight w:val="216"/>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4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2,125</w:t>
            </w: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4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2,162</w:t>
            </w:r>
          </w:p>
        </w:tc>
        <w:tc>
          <w:tcPr>
            <w:tcW w:w="0" w:type="dxa"/>
            <w:vAlign w:val="bottom"/>
          </w:tcPr>
          <w:p>
            <w:pPr>
              <w:spacing w:after="0"/>
              <w:rPr>
                <w:sz w:val="1"/>
                <w:szCs w:val="1"/>
                <w:color w:val="auto"/>
              </w:rPr>
            </w:pPr>
          </w:p>
        </w:tc>
      </w:tr>
      <w:tr>
        <w:trPr>
          <w:trHeight w:val="216"/>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1,899</w:t>
            </w: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1,932</w:t>
            </w:r>
          </w:p>
        </w:tc>
        <w:tc>
          <w:tcPr>
            <w:tcW w:w="0" w:type="dxa"/>
            <w:vAlign w:val="bottom"/>
          </w:tcPr>
          <w:p>
            <w:pPr>
              <w:spacing w:after="0"/>
              <w:rPr>
                <w:sz w:val="1"/>
                <w:szCs w:val="1"/>
                <w:color w:val="auto"/>
              </w:rPr>
            </w:pPr>
          </w:p>
        </w:tc>
      </w:tr>
      <w:tr>
        <w:trPr>
          <w:trHeight w:val="216"/>
        </w:trPr>
        <w:tc>
          <w:tcPr>
            <w:tcW w:w="6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After 2027</w:t>
            </w:r>
          </w:p>
        </w:tc>
        <w:tc>
          <w:tcPr>
            <w:tcW w:w="14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8,121</w:t>
            </w:r>
          </w:p>
        </w:tc>
        <w:tc>
          <w:tcPr>
            <w:tcW w:w="0" w:type="dxa"/>
            <w:vAlign w:val="bottom"/>
          </w:tcPr>
          <w:p>
            <w:pPr>
              <w:spacing w:after="0"/>
              <w:rPr>
                <w:sz w:val="1"/>
                <w:szCs w:val="1"/>
                <w:color w:val="auto"/>
              </w:rPr>
            </w:pPr>
          </w:p>
        </w:tc>
      </w:tr>
      <w:tr>
        <w:trPr>
          <w:trHeight w:val="209"/>
        </w:trPr>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17,289</w:t>
            </w:r>
          </w:p>
        </w:tc>
        <w:tc>
          <w:tcPr>
            <w:tcW w:w="0" w:type="dxa"/>
            <w:vAlign w:val="bottom"/>
          </w:tcPr>
          <w:p>
            <w:pPr>
              <w:spacing w:after="0"/>
              <w:rPr>
                <w:sz w:val="1"/>
                <w:szCs w:val="1"/>
                <w:color w:val="auto"/>
              </w:rPr>
            </w:pPr>
          </w:p>
        </w:tc>
      </w:tr>
      <w:tr>
        <w:trPr>
          <w:trHeight w:val="216"/>
        </w:trPr>
        <w:tc>
          <w:tcPr>
            <w:tcW w:w="6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interest</w:t>
            </w:r>
          </w:p>
        </w:tc>
        <w:tc>
          <w:tcPr>
            <w:tcW w:w="14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(5,832)</w:t>
            </w:r>
          </w:p>
        </w:tc>
        <w:tc>
          <w:tcPr>
            <w:tcW w:w="0" w:type="dxa"/>
            <w:vAlign w:val="bottom"/>
          </w:tcPr>
          <w:p>
            <w:pPr>
              <w:spacing w:after="0"/>
              <w:rPr>
                <w:sz w:val="1"/>
                <w:szCs w:val="1"/>
                <w:color w:val="auto"/>
              </w:rPr>
            </w:pPr>
          </w:p>
        </w:tc>
      </w:tr>
      <w:tr>
        <w:trPr>
          <w:trHeight w:val="209"/>
        </w:trPr>
        <w:tc>
          <w:tcPr>
            <w:tcW w:w="6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11,457</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240" w:type="dxa"/>
            <w:vAlign w:val="bottom"/>
            <w:tcBorders>
              <w:bottom w:val="single" w:sz="8" w:color="auto"/>
            </w:tcBorders>
          </w:tcPr>
          <w:p>
            <w:pPr>
              <w:spacing w:after="0"/>
              <w:rPr>
                <w:sz w:val="7"/>
                <w:szCs w:val="7"/>
                <w:color w:val="auto"/>
              </w:rPr>
            </w:pPr>
          </w:p>
        </w:tc>
        <w:tc>
          <w:tcPr>
            <w:tcW w:w="4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80" w:right="340" w:hanging="330"/>
        <w:spacing w:after="0" w:line="258" w:lineRule="auto"/>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our leases do not provide an implicit rate, we use our incremental borrowing rate based on the information available at commencement date and considering the term of the lease to determine the present value of lease payments. We used the incremental borrowing rate of 10.25% on February 28, 2019, for operating leases that commenced prior to that date through December 31, 2021. We used an incremental borrowing rate of 5.65% for the NC lease.</w:t>
      </w:r>
    </w:p>
    <w:p>
      <w:pPr>
        <w:spacing w:after="0" w:line="200" w:lineRule="exact"/>
        <w:rPr>
          <w:sz w:val="20"/>
          <w:szCs w:val="20"/>
          <w:color w:val="auto"/>
        </w:rPr>
      </w:pPr>
    </w:p>
    <w:p>
      <w:pPr>
        <w:spacing w:after="0" w:line="3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20"/>
          </w:cols>
          <w:pgMar w:left="1440" w:top="513" w:right="1439"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8 LICENSE AGREEMENTS</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TG-1101 (Ublituximab)</w:t>
      </w:r>
    </w:p>
    <w:p>
      <w:pPr>
        <w:spacing w:after="0" w:line="189" w:lineRule="exact"/>
        <w:rPr>
          <w:sz w:val="20"/>
          <w:szCs w:val="20"/>
          <w:color w:val="auto"/>
        </w:rPr>
      </w:pPr>
    </w:p>
    <w:p>
      <w:pPr>
        <w:jc w:val="both"/>
        <w:ind w:left="60" w:right="59" w:firstLine="492"/>
        <w:spacing w:after="0" w:line="256" w:lineRule="auto"/>
        <w:rPr>
          <w:sz w:val="20"/>
          <w:szCs w:val="20"/>
          <w:color w:val="auto"/>
        </w:rPr>
      </w:pPr>
      <w:r>
        <w:rPr>
          <w:rFonts w:ascii="Times New Roman" w:cs="Times New Roman" w:eastAsia="Times New Roman" w:hAnsi="Times New Roman"/>
          <w:sz w:val="18"/>
          <w:szCs w:val="18"/>
          <w:color w:val="auto"/>
        </w:rPr>
        <w:t>In January 2012, we entered into an exclusive license agreement with LFB Biotechnologies, GTC Biotherapeutics and LFB/GTC LLC, all wholly-owned subsidiaries of LFB Group, relating to the development of ublituximab (the LFB License Agreement). Under the terms of the LFB License Agreement, we have acquired the exclusive worldwide rights (exclusive of France/Belgium) for the development and commercialization of ublituximab. As of June 30, 2022, we have incurred approximately $13.0 million in expense related to the achievement of certain milestones of the LFB License Agreement.</w:t>
      </w:r>
    </w:p>
    <w:p>
      <w:pPr>
        <w:spacing w:after="0" w:line="187" w:lineRule="exact"/>
        <w:rPr>
          <w:sz w:val="20"/>
          <w:szCs w:val="20"/>
          <w:color w:val="auto"/>
        </w:rPr>
      </w:pPr>
    </w:p>
    <w:p>
      <w:pPr>
        <w:jc w:val="both"/>
        <w:ind w:left="60" w:right="59" w:firstLine="492"/>
        <w:spacing w:after="0" w:line="256" w:lineRule="auto"/>
        <w:rPr>
          <w:sz w:val="20"/>
          <w:szCs w:val="20"/>
          <w:color w:val="auto"/>
        </w:rPr>
      </w:pPr>
      <w:r>
        <w:rPr>
          <w:rFonts w:ascii="Times New Roman" w:cs="Times New Roman" w:eastAsia="Times New Roman" w:hAnsi="Times New Roman"/>
          <w:sz w:val="18"/>
          <w:szCs w:val="18"/>
          <w:color w:val="auto"/>
        </w:rPr>
        <w:t>LFB Group is eligible to receive future payments of up to an aggregate of approximately $18.0 million upon our successful achievement of certain regulatory milestones, in addition to royalty payments on net sales of ublituximab at a royalty rate that escalates from mid-single digits to high-single digits. The license will terminate on a country-by-country basis upon the expiration of the last licensed patent right or 15 years after the first commercial sale of a product in such country, unless the agreement is earlier terminated (i) by LFB if the Company challenges any of the licensed patent rights, (ii) by either party due to a breach of the agreement, or (iii) by either party in the event of the insolvency of the other party.</w:t>
      </w:r>
    </w:p>
    <w:p>
      <w:pPr>
        <w:spacing w:after="0" w:line="187" w:lineRule="exact"/>
        <w:rPr>
          <w:sz w:val="20"/>
          <w:szCs w:val="20"/>
          <w:color w:val="auto"/>
        </w:rPr>
      </w:pPr>
    </w:p>
    <w:p>
      <w:pPr>
        <w:jc w:val="both"/>
        <w:ind w:left="60" w:right="59" w:firstLine="492"/>
        <w:spacing w:after="0" w:line="258" w:lineRule="auto"/>
        <w:rPr>
          <w:sz w:val="20"/>
          <w:szCs w:val="20"/>
          <w:color w:val="auto"/>
        </w:rPr>
      </w:pPr>
      <w:r>
        <w:rPr>
          <w:rFonts w:ascii="Times New Roman" w:cs="Times New Roman" w:eastAsia="Times New Roman" w:hAnsi="Times New Roman"/>
          <w:sz w:val="18"/>
          <w:szCs w:val="18"/>
          <w:color w:val="auto"/>
        </w:rPr>
        <w:t>In November 2012, we entered into an exclusive (within the territory) sublicense agreement with Ildong Pharmaceutical Co. Ltd. (Ildong) relating to the development and commercialization of ublituximab in South Korea and Southeast Asia. Under the terms of the sublicense agreement, Ildong has been granted a royalty bearing, exclusive right, including the right to grant sublicenses, to develop and commercialize ublituximab in South Korea, Taiwan, Singapore, Indonesia, Malaysia, Thailand, Philippines, Vietnam, and Myanmar.</w:t>
      </w:r>
    </w:p>
    <w:p>
      <w:pPr>
        <w:spacing w:after="0" w:line="143" w:lineRule="exact"/>
        <w:rPr>
          <w:sz w:val="20"/>
          <w:szCs w:val="20"/>
          <w:color w:val="auto"/>
        </w:rPr>
      </w:pPr>
    </w:p>
    <w:p>
      <w:pPr>
        <w:jc w:val="both"/>
        <w:ind w:left="60" w:right="59" w:firstLine="492"/>
        <w:spacing w:after="0" w:line="254" w:lineRule="auto"/>
        <w:rPr>
          <w:sz w:val="20"/>
          <w:szCs w:val="20"/>
          <w:color w:val="auto"/>
        </w:rPr>
      </w:pPr>
      <w:r>
        <w:rPr>
          <w:rFonts w:ascii="Times New Roman" w:cs="Times New Roman" w:eastAsia="Times New Roman" w:hAnsi="Times New Roman"/>
          <w:sz w:val="18"/>
          <w:szCs w:val="18"/>
          <w:color w:val="auto"/>
        </w:rPr>
        <w:t>An upfront payment of $2.0 million, which was received in December 2012, net of $0.3 million of income tax withholdings, is being recognized as license revenue on a straight-line basis over the life of the agreement, which is through the expiration of the last licensed patent right or 15 years after the first commercial sale of a product in such country, unless the agreement is earlier terminated, and represents the estimated period over which we will have certain ongoing responsibilities under the sublicense agreement. We recorded license revenue of approximately $38,000 for each of the three months ended June 30, 2022 and 2021, and approximately $76,000 for each of the six months ended June 30, 2022 and 2021. At June 30, 2022 and December 31, 2021, we have deferred revenue of approximately $0.5 million and $0.6 million, respectively, associated with this $2 million payment (approximately $0.2 million of which has been classified in current liabilities at June 30, 2022 and December 31, 2021).</w:t>
      </w:r>
    </w:p>
    <w:p>
      <w:pPr>
        <w:spacing w:after="0" w:line="161" w:lineRule="exact"/>
        <w:rPr>
          <w:sz w:val="20"/>
          <w:szCs w:val="20"/>
          <w:color w:val="auto"/>
        </w:rPr>
      </w:pPr>
    </w:p>
    <w:p>
      <w:pPr>
        <w:jc w:val="both"/>
        <w:ind w:left="60" w:right="59" w:firstLine="492"/>
        <w:spacing w:after="0" w:line="266" w:lineRule="auto"/>
        <w:rPr>
          <w:sz w:val="20"/>
          <w:szCs w:val="20"/>
          <w:color w:val="auto"/>
        </w:rPr>
      </w:pPr>
      <w:r>
        <w:rPr>
          <w:rFonts w:ascii="Times New Roman" w:cs="Times New Roman" w:eastAsia="Times New Roman" w:hAnsi="Times New Roman"/>
          <w:sz w:val="18"/>
          <w:szCs w:val="18"/>
          <w:color w:val="auto"/>
        </w:rPr>
        <w:t>We may receive up to an additional $5.0 million in payments upon the achievement of pre-specified milestones. In addition, upon commercialization, Ildong will make royalty payments to us on net sales of ublituximab in the sublicense territory.</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TGR-1202 (Umbralisib or UKONIQ)</w:t>
      </w:r>
    </w:p>
    <w:p>
      <w:pPr>
        <w:spacing w:after="0" w:line="189" w:lineRule="exact"/>
        <w:rPr>
          <w:sz w:val="20"/>
          <w:szCs w:val="20"/>
          <w:color w:val="auto"/>
        </w:rPr>
      </w:pPr>
    </w:p>
    <w:p>
      <w:pPr>
        <w:jc w:val="both"/>
        <w:ind w:left="60" w:right="59" w:firstLine="492"/>
        <w:spacing w:after="0" w:line="258" w:lineRule="auto"/>
        <w:rPr>
          <w:sz w:val="20"/>
          <w:szCs w:val="20"/>
          <w:color w:val="auto"/>
        </w:rPr>
      </w:pPr>
      <w:r>
        <w:rPr>
          <w:rFonts w:ascii="Times New Roman" w:cs="Times New Roman" w:eastAsia="Times New Roman" w:hAnsi="Times New Roman"/>
          <w:sz w:val="18"/>
          <w:szCs w:val="18"/>
          <w:color w:val="auto"/>
        </w:rPr>
        <w:t>In September 2014, we exercised our option to license the global rights to umbralisib, thereby entering into an exclusive licensing agreement (the Umbralisib License) with Rhizen Pharmaceuticals, SA (Rhizen) for the development and commercialization of umbralisib. Prior to this, we had been jointly developing umbralisib in a 50:50 joint venture with Rhizen. As of June 30, 2022, we have incurred approximately $24.0 million in expense related to the achievement of certain milestones of the Umbralisib License.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92"/>
        <w:spacing w:after="0" w:line="252" w:lineRule="auto"/>
        <w:rPr>
          <w:sz w:val="20"/>
          <w:szCs w:val="20"/>
          <w:color w:val="auto"/>
        </w:rPr>
      </w:pPr>
      <w:r>
        <w:rPr>
          <w:rFonts w:ascii="Times New Roman" w:cs="Times New Roman" w:eastAsia="Times New Roman" w:hAnsi="Times New Roman"/>
          <w:sz w:val="18"/>
          <w:szCs w:val="18"/>
          <w:color w:val="auto"/>
        </w:rPr>
        <w:t>Rhizen will be eligible to receive additional approval and sales-based milestone payments in the aggregate of approximately $150.0 million payable upon approval in multiple jurisdictions for up to two oncology indications and one non-oncology indication and attaining certain sales milestones. In addition, if umbralisib is co-formulated with another drug to create a new product (a New Product), Rhizen will be eligible to receive similar regulatory approval and sales-based milestone payments for such New Product. Additionally, Rhizen receives tiered royalties that escalate from high single digits to low double digits on any net sales of umbralisib and any New Product. During the three months ended June 30, 2022 the worldwide royalty due under the Umbralisib License recorded by the Company in cost of product revenue based on U.S. sales of UKONIQ was immaterial. During the six months ended June 30, 2022, the Company recorded $0.2 million of royalties due under the Umbralisib License in cost of product revenue. As of June 30, 2022, $0.1 million in royalties were payable under the Umbralisib License and as of December 31, 2021, $0.2 million in royalties were payable under the Umbralisib License. Rhizen will also be eligible to participate in sublicensing revenue, if any, based on a percentage that decreases as a function of the number of patients treated in clinical trials following the exercise of the license option. Rhizen will retain global manufacturing rights to umbralisib, provided that they are price competitive with alternative manufacturers. The license will terminate on a country-by-country basis upon the expiration of the last licensed patent right or any other exclusivity right in such country, unless the agreement is earlier terminated (i) by us for any reason, or (ii) by either party due to a breach of the agreement.</w:t>
      </w:r>
    </w:p>
    <w:p>
      <w:pPr>
        <w:spacing w:after="0" w:line="1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9 RELATED PARTY TRANSACTIONS</w:t>
      </w:r>
    </w:p>
    <w:p>
      <w:pPr>
        <w:spacing w:after="0" w:line="202"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In July 2015, we entered into a Shared Services Agreement (the Shared Services Agreement) with FBIO to share the cost of certain services such as facilities use, personnel costs and other overhead and administrative costs. The Shared Services Agreement requires us to pay our respective share of services utilized. In connection with the Shared Services Agreement, we incurred expenses of approximately $0.3 million and $0.2 million for the three months ended June 30, 2022 and 2021, respectively, and expenses of approximately $0.4 million for each of the six months ended June 30, 2022 and 2021, primarily related to shared personnel. Mr. Weiss, our Chairman and Chief Executive Officer, also serves as a director and Executive Vice Chairman, Strategic Development of FBIO.</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Please refer to Note 7 – Leases for details regarding the Office Agreement with FBIO.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32" w:lineRule="exact"/>
        <w:rPr>
          <w:sz w:val="20"/>
          <w:szCs w:val="20"/>
          <w:color w:val="auto"/>
        </w:rPr>
      </w:pPr>
    </w:p>
    <w:p>
      <w:pPr>
        <w:jc w:val="both"/>
        <w:ind w:left="60" w:right="59" w:firstLine="486"/>
        <w:spacing w:after="0" w:line="255" w:lineRule="auto"/>
        <w:rPr>
          <w:sz w:val="20"/>
          <w:szCs w:val="20"/>
          <w:color w:val="auto"/>
        </w:rPr>
      </w:pPr>
      <w:r>
        <w:rPr>
          <w:rFonts w:ascii="Times New Roman" w:cs="Times New Roman" w:eastAsia="Times New Roman" w:hAnsi="Times New Roman"/>
          <w:sz w:val="18"/>
          <w:szCs w:val="18"/>
          <w:color w:val="auto"/>
        </w:rPr>
        <w:t>The following discussion and analysis contain forward-looking statements about our plans and expectations of what may happen in the future. Forward-looking statements are based on a number of assumptions and estimates that are inherently subject to significant risks and uncertainties, and our results could differ materially from the results anticipated by our forward-looking statements as a result of many known or unknown factors, including, but not limited to, those factors discussed in Risk Factors. Additionally, many of these risks and uncertainties are currently elevated by and may or will continue to be elevated by the COVID-19 pandemic. See also the Special Cautionary Notice Regarding Forward-Looking Statements set forth at the beginning of this report.</w:t>
      </w:r>
    </w:p>
    <w:p>
      <w:pPr>
        <w:spacing w:after="0" w:line="189" w:lineRule="exact"/>
        <w:rPr>
          <w:sz w:val="20"/>
          <w:szCs w:val="20"/>
          <w:color w:val="auto"/>
        </w:rPr>
      </w:pPr>
    </w:p>
    <w:p>
      <w:pPr>
        <w:jc w:val="both"/>
        <w:ind w:left="60" w:right="59" w:firstLine="486"/>
        <w:spacing w:after="0" w:line="261" w:lineRule="auto"/>
        <w:rPr>
          <w:sz w:val="20"/>
          <w:szCs w:val="20"/>
          <w:color w:val="auto"/>
        </w:rPr>
      </w:pPr>
      <w:r>
        <w:rPr>
          <w:rFonts w:ascii="Times New Roman" w:cs="Times New Roman" w:eastAsia="Times New Roman" w:hAnsi="Times New Roman"/>
          <w:sz w:val="18"/>
          <w:szCs w:val="18"/>
          <w:color w:val="auto"/>
        </w:rPr>
        <w:t>You should read the following discussion and analysis in conjunction with the unaudited, condensed, consolidated financial statements and the related footnotes thereto appearing elsewhere in this report, and in conjunction with management’s discussion and analysis and the audited consolidated financial statements included in our Annual Report on Form 10-K for the year ended December 31, 2021.</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TG Therapeutics is a biopharmaceutical company focused on the acquisition, development and commercialization of novel treatments for B-cell diseases. In addition to a research pipeline including several investigational medicines, TG has completed a Phase 3 program for ublituximab, an investigational glycoengineered monoclonal antibody, to treat patients with relapsing forms of multiple sclerosis (RMS). We also actively evaluate complementary products, technologies and companies for in-licensing, partnership, acquisition and/or investment opportunities.</w:t>
      </w:r>
    </w:p>
    <w:p>
      <w:pPr>
        <w:spacing w:after="0" w:line="166"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UNITY-CLL Phase 3 Trial &amp; Withdrawal of the BLA/sNDA Submission for U2 to Treat Patients with CLL/SLL and Withdrawal of UKONIQ from Sale</w:t>
      </w:r>
    </w:p>
    <w:p>
      <w:pPr>
        <w:spacing w:after="0" w:line="145"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UNITY-CLL, a global, Phase 3, randomized, controlled clinical trial, compared the combination of ublituximab and UKONIQ® (umbralisib) (combination referred to as U2), to an active control arm of obinutuzumab plus chlorambucil in patients with both treatment-naïve and relapsed or refractory chronic lymphocytic leukemia (CLL). The trial met its primary endpoint, and based on those results, a Biologics License Application (BLA) and supplemental New Drug Application (sNDA) were submitted to the U.S. Food and Drug Administration (FDA) for U2 to treat patients with CLL/small lymphocytic lymphoma (SLL).</w:t>
      </w:r>
    </w:p>
    <w:p>
      <w:pPr>
        <w:spacing w:after="0" w:line="187"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As previously disclosed, on April 15, 2022, we announced that pursuant to an information request made by the FDA, updated overall survival data were collected that showed an increasing imbalance in favor of the control arm, differing from the improved results provided to the FDA in February 2022. Based on these new data, we decided to withdraw the pending BLA/sNDA for U2 to treat CLL/SLL. We also announced the voluntary withdrawal of UKONIQ from sale for its approved indications. Our decision to withdraw UKONIQ from sale was primarily based on the withdrawal of the BLA and sNDA for U2 in CLL.</w:t>
      </w:r>
    </w:p>
    <w:p>
      <w:pPr>
        <w:spacing w:after="0" w:line="18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For more information, please refer to our Quarterly Report on Form 10-Q for the quarter ended March 31, 2022.</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PRODUCTS UNDER DEVELOPMENT</w:t>
      </w:r>
    </w:p>
    <w:p>
      <w:pPr>
        <w:spacing w:after="0" w:line="229" w:lineRule="exact"/>
        <w:rPr>
          <w:sz w:val="20"/>
          <w:szCs w:val="20"/>
          <w:color w:val="auto"/>
        </w:rPr>
      </w:pPr>
    </w:p>
    <w:p>
      <w:pPr>
        <w:jc w:val="both"/>
        <w:ind w:left="60" w:right="59" w:firstLine="634"/>
        <w:spacing w:after="0" w:line="254" w:lineRule="auto"/>
        <w:rPr>
          <w:sz w:val="20"/>
          <w:szCs w:val="20"/>
          <w:color w:val="auto"/>
        </w:rPr>
      </w:pPr>
      <w:r>
        <w:rPr>
          <w:rFonts w:ascii="Times New Roman" w:cs="Times New Roman" w:eastAsia="Times New Roman" w:hAnsi="Times New Roman"/>
          <w:sz w:val="18"/>
          <w:szCs w:val="18"/>
          <w:color w:val="auto"/>
        </w:rPr>
        <w:t>We have leveraged our B-cell platform to develop a drug pipeline of small molecule kinase inhibitors and intravenously delivered immunotherapies that leverage the patients’ own immune system. In connection with the April 2022 withdrawal of the Biologics License Application (BLA) and supplemental New Drug Application (sNDA) for U2 (a combination therapy of ublituximab and umbralisib) to treat patients with chronic lymphocytic leukemia (CLL)/small lymphocytic lymphoma (SLL) and the withdrawal of UKONIQ (umbralisib) from sale in its approved indications of relapsed/refractory marginal zone lymphoma (MZL) and follicular lymphoma (FL), we are re-evaluating all our current oncology studies and products under development for oncology indications, including umbralisib +/- ublituximab and have paused or closed a number of trials and programs related to these indications. The following table summarizes our current clinical stage pipeline:</w:t>
      </w:r>
    </w:p>
    <w:p>
      <w:pPr>
        <w:spacing w:after="0" w:line="187" w:lineRule="exact"/>
        <w:rPr>
          <w:sz w:val="20"/>
          <w:szCs w:val="20"/>
          <w:color w:val="auto"/>
        </w:rPr>
      </w:pPr>
    </w:p>
    <w:tbl>
      <w:tblPr>
        <w:tblLayout w:type="fixed"/>
        <w:tblInd w:w="70" w:type="dxa"/>
        <w:tblCellMar>
          <w:top w:w="0" w:type="dxa"/>
          <w:left w:w="0" w:type="dxa"/>
          <w:bottom w:w="0" w:type="dxa"/>
          <w:right w:w="0" w:type="dxa"/>
        </w:tblCellMar>
      </w:tblPr>
      <w:tr>
        <w:trPr>
          <w:trHeight w:val="221"/>
        </w:trPr>
        <w:tc>
          <w:tcPr>
            <w:tcW w:w="3240" w:type="dxa"/>
            <w:vAlign w:val="bottom"/>
            <w:tcBorders>
              <w:top w:val="single" w:sz="8" w:color="auto"/>
              <w:left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Clinical Drug Candidate:</w:t>
            </w:r>
          </w:p>
        </w:tc>
        <w:tc>
          <w:tcPr>
            <w:tcW w:w="294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Initial Target Disease</w:t>
            </w:r>
          </w:p>
        </w:tc>
        <w:tc>
          <w:tcPr>
            <w:tcW w:w="274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Stage of Development</w:t>
            </w:r>
          </w:p>
        </w:tc>
      </w:tr>
      <w:tr>
        <w:trPr>
          <w:trHeight w:val="238"/>
        </w:trPr>
        <w:tc>
          <w:tcPr>
            <w:tcW w:w="3240" w:type="dxa"/>
            <w:vAlign w:val="bottom"/>
            <w:tcBorders>
              <w:left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(molecular target)</w:t>
            </w:r>
          </w:p>
        </w:tc>
        <w:tc>
          <w:tcPr>
            <w:tcW w:w="2940" w:type="dxa"/>
            <w:vAlign w:val="bottom"/>
            <w:tcBorders>
              <w:right w:val="single" w:sz="8" w:color="auto"/>
            </w:tcBorders>
          </w:tcPr>
          <w:p>
            <w:pPr>
              <w:spacing w:after="0"/>
              <w:rPr>
                <w:sz w:val="20"/>
                <w:szCs w:val="20"/>
                <w:color w:val="auto"/>
              </w:rPr>
            </w:pPr>
          </w:p>
        </w:tc>
        <w:tc>
          <w:tcPr>
            <w:tcW w:w="2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(trial name)</w:t>
            </w:r>
          </w:p>
        </w:tc>
      </w:tr>
      <w:tr>
        <w:trPr>
          <w:trHeight w:val="94"/>
        </w:trPr>
        <w:tc>
          <w:tcPr>
            <w:tcW w:w="3240" w:type="dxa"/>
            <w:vAlign w:val="bottom"/>
            <w:tcBorders>
              <w:left w:val="single" w:sz="8" w:color="auto"/>
              <w:bottom w:val="single" w:sz="8" w:color="auto"/>
              <w:right w:val="single" w:sz="8" w:color="auto"/>
            </w:tcBorders>
            <w:gridSpan w:val="2"/>
          </w:tcPr>
          <w:p>
            <w:pPr>
              <w:spacing w:after="0"/>
              <w:rPr>
                <w:sz w:val="8"/>
                <w:szCs w:val="8"/>
                <w:color w:val="auto"/>
              </w:rPr>
            </w:pPr>
          </w:p>
        </w:tc>
        <w:tc>
          <w:tcPr>
            <w:tcW w:w="2940" w:type="dxa"/>
            <w:vAlign w:val="bottom"/>
            <w:tcBorders>
              <w:bottom w:val="single" w:sz="8" w:color="auto"/>
              <w:right w:val="single" w:sz="8" w:color="auto"/>
            </w:tcBorders>
          </w:tcPr>
          <w:p>
            <w:pPr>
              <w:spacing w:after="0"/>
              <w:rPr>
                <w:sz w:val="8"/>
                <w:szCs w:val="8"/>
                <w:color w:val="auto"/>
              </w:rPr>
            </w:pPr>
          </w:p>
        </w:tc>
        <w:tc>
          <w:tcPr>
            <w:tcW w:w="2740" w:type="dxa"/>
            <w:vAlign w:val="bottom"/>
            <w:tcBorders>
              <w:bottom w:val="single" w:sz="8" w:color="auto"/>
              <w:right w:val="single" w:sz="8" w:color="auto"/>
            </w:tcBorders>
          </w:tcPr>
          <w:p>
            <w:pPr>
              <w:spacing w:after="0"/>
              <w:rPr>
                <w:sz w:val="8"/>
                <w:szCs w:val="8"/>
                <w:color w:val="auto"/>
              </w:rPr>
            </w:pPr>
          </w:p>
        </w:tc>
      </w:tr>
      <w:tr>
        <w:trPr>
          <w:trHeight w:val="205"/>
        </w:trPr>
        <w:tc>
          <w:tcPr>
            <w:tcW w:w="3240" w:type="dxa"/>
            <w:vAlign w:val="bottom"/>
            <w:tcBorders>
              <w:left w:val="single" w:sz="8" w:color="auto"/>
              <w:right w:val="single" w:sz="8" w:color="auto"/>
            </w:tcBorders>
            <w:gridSpan w:val="2"/>
          </w:tcPr>
          <w:p>
            <w:pPr>
              <w:ind w:left="20"/>
              <w:spacing w:after="0" w:line="205" w:lineRule="exact"/>
              <w:rPr>
                <w:sz w:val="20"/>
                <w:szCs w:val="20"/>
                <w:color w:val="auto"/>
              </w:rPr>
            </w:pPr>
            <w:r>
              <w:rPr>
                <w:rFonts w:ascii="Times New Roman" w:cs="Times New Roman" w:eastAsia="Times New Roman" w:hAnsi="Times New Roman"/>
                <w:sz w:val="18"/>
                <w:szCs w:val="18"/>
                <w:color w:val="auto"/>
              </w:rPr>
              <w:t>Ublituximab (anti-CD20 mAb)</w:t>
            </w:r>
          </w:p>
        </w:tc>
        <w:tc>
          <w:tcPr>
            <w:tcW w:w="2940" w:type="dxa"/>
            <w:vAlign w:val="bottom"/>
            <w:tcBorders>
              <w:right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Relapsing Forms of Multiple Sclerosis</w:t>
            </w:r>
          </w:p>
        </w:tc>
        <w:tc>
          <w:tcPr>
            <w:tcW w:w="2740" w:type="dxa"/>
            <w:vAlign w:val="bottom"/>
            <w:tcBorders>
              <w:right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Phase 3 trials (ULTIMATE I and II)</w:t>
            </w:r>
          </w:p>
        </w:tc>
      </w:tr>
      <w:tr>
        <w:trPr>
          <w:trHeight w:val="234"/>
        </w:trPr>
        <w:tc>
          <w:tcPr>
            <w:tcW w:w="700" w:type="dxa"/>
            <w:vAlign w:val="bottom"/>
            <w:tcBorders>
              <w:left w:val="single" w:sz="8" w:color="auto"/>
            </w:tcBorders>
          </w:tcPr>
          <w:p>
            <w:pPr>
              <w:spacing w:after="0"/>
              <w:rPr>
                <w:sz w:val="20"/>
                <w:szCs w:val="20"/>
                <w:color w:val="auto"/>
              </w:rPr>
            </w:pPr>
          </w:p>
        </w:tc>
        <w:tc>
          <w:tcPr>
            <w:tcW w:w="2540" w:type="dxa"/>
            <w:vAlign w:val="bottom"/>
            <w:tcBorders>
              <w:right w:val="single" w:sz="8" w:color="auto"/>
            </w:tcBorders>
          </w:tcPr>
          <w:p>
            <w:pPr>
              <w:spacing w:after="0"/>
              <w:rPr>
                <w:sz w:val="20"/>
                <w:szCs w:val="20"/>
                <w:color w:val="auto"/>
              </w:rPr>
            </w:pPr>
          </w:p>
        </w:tc>
        <w:tc>
          <w:tcPr>
            <w:tcW w:w="29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(RMS)</w:t>
            </w:r>
          </w:p>
        </w:tc>
        <w:tc>
          <w:tcPr>
            <w:tcW w:w="2740" w:type="dxa"/>
            <w:vAlign w:val="bottom"/>
            <w:tcBorders>
              <w:right w:val="single" w:sz="8" w:color="auto"/>
            </w:tcBorders>
          </w:tcPr>
          <w:p>
            <w:pPr>
              <w:spacing w:after="0"/>
              <w:rPr>
                <w:sz w:val="20"/>
                <w:szCs w:val="20"/>
                <w:color w:val="auto"/>
              </w:rPr>
            </w:pPr>
          </w:p>
        </w:tc>
      </w:tr>
      <w:tr>
        <w:trPr>
          <w:trHeight w:val="94"/>
        </w:trPr>
        <w:tc>
          <w:tcPr>
            <w:tcW w:w="3240" w:type="dxa"/>
            <w:vAlign w:val="bottom"/>
            <w:tcBorders>
              <w:left w:val="single" w:sz="8" w:color="auto"/>
              <w:bottom w:val="single" w:sz="8" w:color="auto"/>
              <w:right w:val="single" w:sz="8" w:color="auto"/>
            </w:tcBorders>
            <w:gridSpan w:val="2"/>
          </w:tcPr>
          <w:p>
            <w:pPr>
              <w:spacing w:after="0"/>
              <w:rPr>
                <w:sz w:val="8"/>
                <w:szCs w:val="8"/>
                <w:color w:val="auto"/>
              </w:rPr>
            </w:pPr>
          </w:p>
        </w:tc>
        <w:tc>
          <w:tcPr>
            <w:tcW w:w="2940" w:type="dxa"/>
            <w:vAlign w:val="bottom"/>
            <w:tcBorders>
              <w:bottom w:val="single" w:sz="8" w:color="auto"/>
              <w:right w:val="single" w:sz="8" w:color="auto"/>
            </w:tcBorders>
          </w:tcPr>
          <w:p>
            <w:pPr>
              <w:spacing w:after="0"/>
              <w:rPr>
                <w:sz w:val="8"/>
                <w:szCs w:val="8"/>
                <w:color w:val="auto"/>
              </w:rPr>
            </w:pPr>
          </w:p>
        </w:tc>
        <w:tc>
          <w:tcPr>
            <w:tcW w:w="2740" w:type="dxa"/>
            <w:vAlign w:val="bottom"/>
            <w:tcBorders>
              <w:bottom w:val="single" w:sz="8" w:color="auto"/>
              <w:right w:val="single" w:sz="8" w:color="auto"/>
            </w:tcBorders>
          </w:tcPr>
          <w:p>
            <w:pPr>
              <w:spacing w:after="0"/>
              <w:rPr>
                <w:sz w:val="8"/>
                <w:szCs w:val="8"/>
                <w:color w:val="auto"/>
              </w:rPr>
            </w:pPr>
          </w:p>
        </w:tc>
      </w:tr>
      <w:tr>
        <w:trPr>
          <w:trHeight w:val="228"/>
        </w:trPr>
        <w:tc>
          <w:tcPr>
            <w:tcW w:w="3240" w:type="dxa"/>
            <w:vAlign w:val="bottom"/>
            <w:tcBorders>
              <w:left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Cosibelimab/TG-1501 (anti-PDL1 mAb)</w:t>
            </w:r>
          </w:p>
        </w:tc>
        <w:tc>
          <w:tcPr>
            <w:tcW w:w="29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B-cell cancers</w:t>
            </w:r>
          </w:p>
        </w:tc>
        <w:tc>
          <w:tcPr>
            <w:tcW w:w="2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Phase 1 trial</w:t>
            </w:r>
          </w:p>
        </w:tc>
      </w:tr>
      <w:tr>
        <w:trPr>
          <w:trHeight w:val="76"/>
        </w:trPr>
        <w:tc>
          <w:tcPr>
            <w:tcW w:w="700" w:type="dxa"/>
            <w:vAlign w:val="bottom"/>
            <w:tcBorders>
              <w:left w:val="single" w:sz="8" w:color="auto"/>
              <w:bottom w:val="single" w:sz="8" w:color="auto"/>
            </w:tcBorders>
          </w:tcPr>
          <w:p>
            <w:pPr>
              <w:spacing w:after="0"/>
              <w:rPr>
                <w:sz w:val="6"/>
                <w:szCs w:val="6"/>
                <w:color w:val="auto"/>
              </w:rPr>
            </w:pPr>
          </w:p>
        </w:tc>
        <w:tc>
          <w:tcPr>
            <w:tcW w:w="2540" w:type="dxa"/>
            <w:vAlign w:val="bottom"/>
            <w:tcBorders>
              <w:bottom w:val="single" w:sz="8" w:color="auto"/>
              <w:right w:val="single" w:sz="8" w:color="auto"/>
            </w:tcBorders>
          </w:tcPr>
          <w:p>
            <w:pPr>
              <w:spacing w:after="0"/>
              <w:rPr>
                <w:sz w:val="6"/>
                <w:szCs w:val="6"/>
                <w:color w:val="auto"/>
              </w:rPr>
            </w:pPr>
          </w:p>
        </w:tc>
        <w:tc>
          <w:tcPr>
            <w:tcW w:w="2940" w:type="dxa"/>
            <w:vAlign w:val="bottom"/>
            <w:tcBorders>
              <w:bottom w:val="single" w:sz="8" w:color="auto"/>
              <w:right w:val="single" w:sz="8" w:color="auto"/>
            </w:tcBorders>
          </w:tcPr>
          <w:p>
            <w:pPr>
              <w:spacing w:after="0"/>
              <w:rPr>
                <w:sz w:val="6"/>
                <w:szCs w:val="6"/>
                <w:color w:val="auto"/>
              </w:rPr>
            </w:pPr>
          </w:p>
        </w:tc>
        <w:tc>
          <w:tcPr>
            <w:tcW w:w="2740" w:type="dxa"/>
            <w:vAlign w:val="bottom"/>
            <w:tcBorders>
              <w:bottom w:val="single" w:sz="8" w:color="auto"/>
              <w:right w:val="single" w:sz="8" w:color="auto"/>
            </w:tcBorders>
          </w:tcPr>
          <w:p>
            <w:pPr>
              <w:spacing w:after="0"/>
              <w:rPr>
                <w:sz w:val="6"/>
                <w:szCs w:val="6"/>
                <w:color w:val="auto"/>
              </w:rPr>
            </w:pPr>
          </w:p>
        </w:tc>
      </w:tr>
      <w:tr>
        <w:trPr>
          <w:trHeight w:val="228"/>
        </w:trPr>
        <w:tc>
          <w:tcPr>
            <w:tcW w:w="70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9"/>
              </w:rPr>
              <w:t>TG-1701</w:t>
            </w:r>
          </w:p>
        </w:tc>
        <w:tc>
          <w:tcPr>
            <w:tcW w:w="25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(BTK inhibitor)</w:t>
            </w:r>
          </w:p>
        </w:tc>
        <w:tc>
          <w:tcPr>
            <w:tcW w:w="29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B-cell cancers</w:t>
            </w:r>
          </w:p>
        </w:tc>
        <w:tc>
          <w:tcPr>
            <w:tcW w:w="2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Phase 1 trial</w:t>
            </w:r>
          </w:p>
        </w:tc>
      </w:tr>
      <w:tr>
        <w:trPr>
          <w:trHeight w:val="76"/>
        </w:trPr>
        <w:tc>
          <w:tcPr>
            <w:tcW w:w="700" w:type="dxa"/>
            <w:vAlign w:val="bottom"/>
            <w:tcBorders>
              <w:left w:val="single" w:sz="8" w:color="auto"/>
              <w:bottom w:val="single" w:sz="8" w:color="auto"/>
            </w:tcBorders>
          </w:tcPr>
          <w:p>
            <w:pPr>
              <w:spacing w:after="0"/>
              <w:rPr>
                <w:sz w:val="6"/>
                <w:szCs w:val="6"/>
                <w:color w:val="auto"/>
              </w:rPr>
            </w:pPr>
          </w:p>
        </w:tc>
        <w:tc>
          <w:tcPr>
            <w:tcW w:w="2540" w:type="dxa"/>
            <w:vAlign w:val="bottom"/>
            <w:tcBorders>
              <w:bottom w:val="single" w:sz="8" w:color="auto"/>
              <w:right w:val="single" w:sz="8" w:color="auto"/>
            </w:tcBorders>
          </w:tcPr>
          <w:p>
            <w:pPr>
              <w:spacing w:after="0"/>
              <w:rPr>
                <w:sz w:val="6"/>
                <w:szCs w:val="6"/>
                <w:color w:val="auto"/>
              </w:rPr>
            </w:pPr>
          </w:p>
        </w:tc>
        <w:tc>
          <w:tcPr>
            <w:tcW w:w="2940" w:type="dxa"/>
            <w:vAlign w:val="bottom"/>
            <w:tcBorders>
              <w:bottom w:val="single" w:sz="8" w:color="auto"/>
              <w:right w:val="single" w:sz="8" w:color="auto"/>
            </w:tcBorders>
          </w:tcPr>
          <w:p>
            <w:pPr>
              <w:spacing w:after="0"/>
              <w:rPr>
                <w:sz w:val="6"/>
                <w:szCs w:val="6"/>
                <w:color w:val="auto"/>
              </w:rPr>
            </w:pPr>
          </w:p>
        </w:tc>
        <w:tc>
          <w:tcPr>
            <w:tcW w:w="2740" w:type="dxa"/>
            <w:vAlign w:val="bottom"/>
            <w:tcBorders>
              <w:bottom w:val="single" w:sz="8" w:color="auto"/>
              <w:right w:val="single" w:sz="8" w:color="auto"/>
            </w:tcBorders>
          </w:tcPr>
          <w:p>
            <w:pPr>
              <w:spacing w:after="0"/>
              <w:rPr>
                <w:sz w:val="6"/>
                <w:szCs w:val="6"/>
                <w:color w:val="auto"/>
              </w:rPr>
            </w:pPr>
          </w:p>
        </w:tc>
      </w:tr>
      <w:tr>
        <w:trPr>
          <w:trHeight w:val="205"/>
        </w:trPr>
        <w:tc>
          <w:tcPr>
            <w:tcW w:w="700" w:type="dxa"/>
            <w:vAlign w:val="bottom"/>
            <w:tcBorders>
              <w:left w:val="single" w:sz="8" w:color="auto"/>
            </w:tcBorders>
          </w:tcPr>
          <w:p>
            <w:pPr>
              <w:ind w:left="20"/>
              <w:spacing w:after="0" w:line="205" w:lineRule="exact"/>
              <w:rPr>
                <w:sz w:val="20"/>
                <w:szCs w:val="20"/>
                <w:color w:val="auto"/>
              </w:rPr>
            </w:pPr>
            <w:r>
              <w:rPr>
                <w:rFonts w:ascii="Times New Roman" w:cs="Times New Roman" w:eastAsia="Times New Roman" w:hAnsi="Times New Roman"/>
                <w:sz w:val="18"/>
                <w:szCs w:val="18"/>
                <w:color w:val="auto"/>
                <w:w w:val="99"/>
              </w:rPr>
              <w:t>TG-1801</w:t>
            </w:r>
          </w:p>
        </w:tc>
        <w:tc>
          <w:tcPr>
            <w:tcW w:w="2540" w:type="dxa"/>
            <w:vAlign w:val="bottom"/>
            <w:tcBorders>
              <w:right w:val="single" w:sz="8" w:color="auto"/>
            </w:tcBorders>
          </w:tcPr>
          <w:p>
            <w:pPr>
              <w:ind w:left="20"/>
              <w:spacing w:after="0" w:line="205" w:lineRule="exact"/>
              <w:rPr>
                <w:sz w:val="20"/>
                <w:szCs w:val="20"/>
                <w:color w:val="auto"/>
              </w:rPr>
            </w:pPr>
            <w:r>
              <w:rPr>
                <w:rFonts w:ascii="Times New Roman" w:cs="Times New Roman" w:eastAsia="Times New Roman" w:hAnsi="Times New Roman"/>
                <w:sz w:val="18"/>
                <w:szCs w:val="18"/>
                <w:color w:val="auto"/>
              </w:rPr>
              <w:t>(anti-CD47/CD19 bispecific</w:t>
            </w:r>
          </w:p>
        </w:tc>
        <w:tc>
          <w:tcPr>
            <w:tcW w:w="2940" w:type="dxa"/>
            <w:vAlign w:val="bottom"/>
            <w:tcBorders>
              <w:right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B-cell cancers</w:t>
            </w:r>
          </w:p>
        </w:tc>
        <w:tc>
          <w:tcPr>
            <w:tcW w:w="2740" w:type="dxa"/>
            <w:vAlign w:val="bottom"/>
            <w:tcBorders>
              <w:right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Phase 1 trial</w:t>
            </w:r>
          </w:p>
        </w:tc>
      </w:tr>
      <w:tr>
        <w:trPr>
          <w:trHeight w:val="234"/>
        </w:trPr>
        <w:tc>
          <w:tcPr>
            <w:tcW w:w="70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mAb)</w:t>
            </w:r>
          </w:p>
        </w:tc>
        <w:tc>
          <w:tcPr>
            <w:tcW w:w="2540" w:type="dxa"/>
            <w:vAlign w:val="bottom"/>
            <w:tcBorders>
              <w:bottom w:val="single" w:sz="8" w:color="auto"/>
              <w:right w:val="single" w:sz="8" w:color="auto"/>
            </w:tcBorders>
          </w:tcPr>
          <w:p>
            <w:pPr>
              <w:spacing w:after="0"/>
              <w:rPr>
                <w:sz w:val="20"/>
                <w:szCs w:val="20"/>
                <w:color w:val="auto"/>
              </w:rPr>
            </w:pPr>
          </w:p>
        </w:tc>
        <w:tc>
          <w:tcPr>
            <w:tcW w:w="2940" w:type="dxa"/>
            <w:vAlign w:val="bottom"/>
            <w:tcBorders>
              <w:bottom w:val="single" w:sz="8" w:color="auto"/>
              <w:right w:val="single" w:sz="8" w:color="auto"/>
            </w:tcBorders>
          </w:tcPr>
          <w:p>
            <w:pPr>
              <w:spacing w:after="0"/>
              <w:rPr>
                <w:sz w:val="20"/>
                <w:szCs w:val="20"/>
                <w:color w:val="auto"/>
              </w:rPr>
            </w:pPr>
          </w:p>
        </w:tc>
        <w:tc>
          <w:tcPr>
            <w:tcW w:w="2740" w:type="dxa"/>
            <w:vAlign w:val="bottom"/>
            <w:tcBorders>
              <w:bottom w:val="single" w:sz="8" w:color="auto"/>
              <w:right w:val="single" w:sz="8" w:color="auto"/>
            </w:tcBorders>
          </w:tcPr>
          <w:p>
            <w:pPr>
              <w:spacing w:after="0"/>
              <w:rPr>
                <w:sz w:val="20"/>
                <w:szCs w:val="20"/>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Current Phase 3 ULTIMATE Program in Relapsing Forms of Multiple Sclerosis:</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ULTIMATE I and ULTIMATE II are two independent Phase 3 trials. Each trial is a global, randomized, multi-center, double-blinded, double-dummy, active-controlled study comparing the efficacy and safety/tolerability of ublituximab (450mg dose administered by one-hour intravenous infusion every 6 months, following a day 1 infusion of 150mg over four hours and a day 15 infusion of 450mg over one hour) versus teriflunomide (14mg oral tablets taken once daily) in subjects with RMS. These trials were conducted under a special protocol assessment (SPA) with the FDA. The ULTIMATE I and II trials were led by Lawrence Steinman, MD, Zimmermann Professor of Neurology &amp; Neurological Sciences, and Pediatrics at Stanford University. Full enrollment was completed in October 2018, with approximately 1,100 subjects enrolled in both studies combined.</w:t>
      </w:r>
    </w:p>
    <w:p>
      <w:pPr>
        <w:spacing w:after="0" w:line="192" w:lineRule="exact"/>
        <w:rPr>
          <w:sz w:val="20"/>
          <w:szCs w:val="20"/>
          <w:color w:val="auto"/>
        </w:rPr>
      </w:pPr>
    </w:p>
    <w:p>
      <w:pPr>
        <w:jc w:val="both"/>
        <w:ind w:left="800" w:right="79" w:hanging="318"/>
        <w:spacing w:after="0" w:line="258" w:lineRule="auto"/>
        <w:tabs>
          <w:tab w:leader="none" w:pos="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2021, data from the ULTIMATE I and II trials were presented at the American Academy of Neurology Annual meeting. Both studies met their primary endpoint with ublituximab treatment demonstrating a statistically significant reduction in annualized relapse rate (ARR) over a 96-week period (p&lt;0.005 in each trial). Key secondary MRI endpoints were also met. Additional data from these trials have been presented at various other medical meetings.</w:t>
      </w:r>
    </w:p>
    <w:p>
      <w:pPr>
        <w:spacing w:after="0" w:line="210" w:lineRule="exact"/>
        <w:rPr>
          <w:rFonts w:ascii="Times New Roman" w:cs="Times New Roman" w:eastAsia="Times New Roman" w:hAnsi="Times New Roman"/>
          <w:sz w:val="18"/>
          <w:szCs w:val="18"/>
          <w:color w:val="auto"/>
        </w:rPr>
      </w:pPr>
    </w:p>
    <w:p>
      <w:pPr>
        <w:jc w:val="both"/>
        <w:ind w:left="800" w:right="79" w:hanging="318"/>
        <w:spacing w:after="0" w:line="239" w:lineRule="auto"/>
        <w:tabs>
          <w:tab w:leader="none" w:pos="80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On December 14, 2021, we announced that the FDA accepted a BLA for ublituximab as a treatment for patients with RMS and notified the Company that it is not currently planning to hold an advisory committee meeting to discuss this application.</w:t>
      </w:r>
    </w:p>
    <w:p>
      <w:pPr>
        <w:spacing w:after="0" w:line="200" w:lineRule="exact"/>
        <w:rPr>
          <w:rFonts w:ascii="Times New Roman" w:cs="Times New Roman" w:eastAsia="Times New Roman" w:hAnsi="Times New Roman"/>
          <w:sz w:val="22"/>
          <w:szCs w:val="22"/>
          <w:color w:val="auto"/>
        </w:rPr>
      </w:pPr>
    </w:p>
    <w:p>
      <w:pPr>
        <w:spacing w:after="0" w:line="215" w:lineRule="exact"/>
        <w:rPr>
          <w:rFonts w:ascii="Times New Roman" w:cs="Times New Roman" w:eastAsia="Times New Roman" w:hAnsi="Times New Roman"/>
          <w:sz w:val="22"/>
          <w:szCs w:val="22"/>
          <w:color w:val="auto"/>
        </w:rPr>
      </w:pPr>
    </w:p>
    <w:p>
      <w:pPr>
        <w:jc w:val="both"/>
        <w:ind w:left="800" w:right="79" w:hanging="318"/>
        <w:spacing w:after="0" w:line="261" w:lineRule="auto"/>
        <w:tabs>
          <w:tab w:leader="none" w:pos="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31, 2022, we announced that the FDA extended the Prescription Drug User Fee Act (PDUFA) goal date to December 28, 2022 for the BLA for ublituximab as a treatment for patients with RMS, to allow time to review a submission provided by the Company in response to an FDA information request and which the FDA deemed a major amendment.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following table summarizes the results of operations for the three months ended June 30, 2022 and 2021:</w:t>
      </w:r>
    </w:p>
    <w:p>
      <w:pPr>
        <w:spacing w:after="0" w:line="259"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5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0" w:type="dxa"/>
            <w:vAlign w:val="bottom"/>
            <w:gridSpan w:val="4"/>
          </w:tcPr>
          <w:p>
            <w:pPr>
              <w:jc w:val="center"/>
              <w:ind w:left="75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5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0" w:type="dxa"/>
            <w:vAlign w:val="bottom"/>
            <w:gridSpan w:val="4"/>
          </w:tcPr>
          <w:p>
            <w:pPr>
              <w:jc w:val="center"/>
              <w:ind w:left="75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100" w:type="dxa"/>
            <w:vAlign w:val="bottom"/>
            <w:vMerge w:val="restart"/>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Product revenue, net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License Revenue</w:t>
            </w:r>
          </w:p>
        </w:tc>
        <w:tc>
          <w:tcPr>
            <w:tcW w:w="2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product revenue</w:t>
            </w: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Noncash compensation</w:t>
            </w: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research and development</w:t>
            </w:r>
          </w:p>
        </w:tc>
        <w:tc>
          <w:tcPr>
            <w:tcW w:w="26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24,546</w:t>
            </w:r>
          </w:p>
        </w:tc>
        <w:tc>
          <w:tcPr>
            <w:tcW w:w="2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w:t>
            </w:r>
          </w:p>
        </w:tc>
        <w:tc>
          <w:tcPr>
            <w:tcW w:w="2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26,874</w:t>
            </w:r>
          </w:p>
        </w:tc>
        <w:tc>
          <w:tcPr>
            <w:tcW w:w="2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Noncash compensation</w:t>
            </w:r>
          </w:p>
        </w:tc>
        <w:tc>
          <w:tcPr>
            <w:tcW w:w="2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(3,304)</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selling, general and administrative</w:t>
            </w:r>
          </w:p>
        </w:tc>
        <w:tc>
          <w:tcPr>
            <w:tcW w:w="260" w:type="dxa"/>
            <w:vAlign w:val="bottom"/>
            <w:tcBorders>
              <w:bottom w:val="single" w:sz="8" w:color="CCEEFF"/>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15,942</w:t>
            </w:r>
          </w:p>
        </w:tc>
        <w:tc>
          <w:tcPr>
            <w:tcW w:w="2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general and administrative</w:t>
            </w:r>
          </w:p>
        </w:tc>
        <w:tc>
          <w:tcPr>
            <w:tcW w:w="260" w:type="dxa"/>
            <w:vAlign w:val="bottom"/>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60" w:type="dxa"/>
            <w:vAlign w:val="bottom"/>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39,535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income</w:t>
            </w:r>
          </w:p>
        </w:tc>
        <w:tc>
          <w:tcPr>
            <w:tcW w:w="260" w:type="dxa"/>
            <w:vAlign w:val="bottom"/>
          </w:tcPr>
          <w:p>
            <w:pPr>
              <w:spacing w:after="0"/>
              <w:rPr>
                <w:sz w:val="18"/>
                <w:szCs w:val="18"/>
                <w:color w:val="auto"/>
              </w:rPr>
            </w:pPr>
          </w:p>
        </w:tc>
        <w:tc>
          <w:tcPr>
            <w:tcW w:w="1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(1,448)</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expense, net</w:t>
            </w:r>
          </w:p>
        </w:tc>
        <w:tc>
          <w:tcPr>
            <w:tcW w:w="26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(40,510)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(78,497)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ind w:left="60" w:right="59"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Product revenue, net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 revenue, net for the three months ended June 30, 2022 was $0.6 million compared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$1.5 million for the three months ended June 30, 2021. Product revenue, net consisted of net product sales of UKONIQ in the United States. In February 2021, we began commercial sales of UKONIQ within the U.S. following FDA approval. Effective May 31, 2022, UKONIQ was officially withdrawn from the market, therefore, subsequent to May 31, 2022, there will be no product revenue, net related to UKONIQ. There may be immaterial amounts of product revenue, net recorded in subsequent quarters due to gross-to-net sales adjustments as the currently outstanding related accrued liabilities are settled.</w:t>
      </w:r>
    </w:p>
    <w:p>
      <w:pPr>
        <w:spacing w:after="0" w:line="182" w:lineRule="exact"/>
        <w:rPr>
          <w:sz w:val="20"/>
          <w:szCs w:val="20"/>
          <w:color w:val="auto"/>
        </w:rPr>
      </w:pPr>
    </w:p>
    <w:p>
      <w:pPr>
        <w:jc w:val="both"/>
        <w:ind w:left="60" w:right="59"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License revenue</w:t>
      </w:r>
      <w:r>
        <w:rPr>
          <w:rFonts w:ascii="Times New Roman" w:cs="Times New Roman" w:eastAsia="Times New Roman" w:hAnsi="Times New Roman"/>
          <w:sz w:val="18"/>
          <w:szCs w:val="18"/>
          <w:color w:val="auto"/>
        </w:rPr>
        <w:t>. License revenue was less than $0.1 million for both the three months ended June 30, 2022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June 30, 2021. License revenue for both the three months ended June 30, 2022 and June 30, 2021 is comprised of recognition of a portion of the upfront payment from the ublituximab sublicense agreement with Ildong.</w:t>
      </w:r>
    </w:p>
    <w:p>
      <w:pPr>
        <w:spacing w:after="0" w:line="171" w:lineRule="exact"/>
        <w:rPr>
          <w:sz w:val="20"/>
          <w:szCs w:val="20"/>
          <w:color w:val="auto"/>
        </w:rPr>
      </w:pPr>
    </w:p>
    <w:p>
      <w:pPr>
        <w:jc w:val="both"/>
        <w:ind w:left="60" w:right="79"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Cost of Product Revenue. </w:t>
      </w:r>
      <w:r>
        <w:rPr>
          <w:rFonts w:ascii="Times New Roman" w:cs="Times New Roman" w:eastAsia="Times New Roman" w:hAnsi="Times New Roman"/>
          <w:sz w:val="18"/>
          <w:szCs w:val="18"/>
          <w:color w:val="auto"/>
        </w:rPr>
        <w:t>Cost of product revenue for the three months ended June 30, 2022 was approximately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$23,000 compared to approximately $0.2 million for the three months ended June 30, 2021. Due to the stoppage of product sales resulting from the market withdrawal of UKONIQ, subsequent to the quarter ended June 30, 2022, we expect the cost of product revenue to be immaterial.</w:t>
      </w:r>
    </w:p>
    <w:p>
      <w:pPr>
        <w:spacing w:after="0" w:line="176" w:lineRule="exact"/>
        <w:rPr>
          <w:sz w:val="20"/>
          <w:szCs w:val="20"/>
          <w:color w:val="auto"/>
        </w:rPr>
      </w:pPr>
    </w:p>
    <w:p>
      <w:pPr>
        <w:jc w:val="both"/>
        <w:ind w:left="60" w:right="59"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Noncash Compensation Expense (Research and Development). </w:t>
      </w:r>
      <w:r>
        <w:rPr>
          <w:rFonts w:ascii="Times New Roman" w:cs="Times New Roman" w:eastAsia="Times New Roman" w:hAnsi="Times New Roman"/>
          <w:sz w:val="18"/>
          <w:szCs w:val="18"/>
          <w:color w:val="auto"/>
        </w:rPr>
        <w:t>Noncash compensation expense (research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development) related to equity incentive grants totaled $2.3 million for the three months ended June 30, 2022, as compared to $7.0 million during the comparable period ended June 30, 2021. The decrease in noncash compensation expense was primarily due to forfeitures of restricted stock as a result of a decrease in headcount during the three months ended June 30, 2022.</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Other Research and Development Expense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Other research and development expense decreased for the three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months ended June 30, 2022 by approximately $13.3 million to $24.5 million as compared to the comparable period ended June 30, 2021. The decrease in research and development expense is primarily attributable to a decrease in license milestones of $4.0 million, a $4.3 million decrease in clinical trial expense, and an approximately $3.8 million decrease in personnel costs as a result of a decrease in headcount during the three months ended June 30, 2022.</w:t>
      </w:r>
    </w:p>
    <w:p>
      <w:pPr>
        <w:spacing w:after="0" w:line="179" w:lineRule="exact"/>
        <w:rPr>
          <w:sz w:val="20"/>
          <w:szCs w:val="20"/>
          <w:color w:val="auto"/>
        </w:rPr>
      </w:pPr>
    </w:p>
    <w:p>
      <w:pPr>
        <w:jc w:val="both"/>
        <w:ind w:left="60" w:right="59"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Noncash Compensation Expense (Selling, General and Administrative). </w:t>
      </w:r>
      <w:r>
        <w:rPr>
          <w:rFonts w:ascii="Times New Roman" w:cs="Times New Roman" w:eastAsia="Times New Roman" w:hAnsi="Times New Roman"/>
          <w:sz w:val="18"/>
          <w:szCs w:val="18"/>
          <w:color w:val="auto"/>
        </w:rPr>
        <w:t>Noncash compensation expense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(selling, general and administrative) related to equity incentive grants totaled $(3.3) million for the three months ended June 30, 2022, as compared to $9.3 million during the comparable period ended June 30, 2021. The decrease in noncash compensation expense was primarily related to forfeitures of stock as a result of a decrease in headcount during the three months ended June 30, 2022.</w:t>
      </w:r>
    </w:p>
    <w:p>
      <w:pPr>
        <w:spacing w:after="0" w:line="179" w:lineRule="exact"/>
        <w:rPr>
          <w:sz w:val="20"/>
          <w:szCs w:val="20"/>
          <w:color w:val="auto"/>
        </w:rPr>
      </w:pPr>
    </w:p>
    <w:p>
      <w:pPr>
        <w:jc w:val="both"/>
        <w:ind w:left="60" w:right="59"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Selling, General and Administrative. </w:t>
      </w:r>
      <w:r>
        <w:rPr>
          <w:rFonts w:ascii="Times New Roman" w:cs="Times New Roman" w:eastAsia="Times New Roman" w:hAnsi="Times New Roman"/>
          <w:sz w:val="18"/>
          <w:szCs w:val="18"/>
          <w:color w:val="auto"/>
        </w:rPr>
        <w:t>Other selling, general and administrative expenses decreased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three months ended June 30, 2022 by approximately $8.8 million to $15.9 million as compared to the comparable period ended June 30, 2021. The decrease was due primarily to decreased other selling, general and administrative costs associated with the marketing of UKONIQ during the period ended June 30, 2022, as well as decreased headcount over that period.</w:t>
      </w:r>
    </w:p>
    <w:p>
      <w:pPr>
        <w:spacing w:after="0" w:line="179" w:lineRule="exact"/>
        <w:rPr>
          <w:sz w:val="20"/>
          <w:szCs w:val="20"/>
          <w:color w:val="auto"/>
        </w:rPr>
      </w:pPr>
    </w:p>
    <w:p>
      <w:pPr>
        <w:jc w:val="both"/>
        <w:ind w:left="60" w:right="59"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w:t>
      </w:r>
      <w:r>
        <w:rPr>
          <w:rFonts w:ascii="Times New Roman" w:cs="Times New Roman" w:eastAsia="Times New Roman" w:hAnsi="Times New Roman"/>
          <w:sz w:val="18"/>
          <w:szCs w:val="18"/>
          <w:color w:val="auto"/>
        </w:rPr>
        <w:t>Interest expense increased by $1.4 million to $3.0 million for the three months ended June 30,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2022, as compared to $1.6 million for the three months ended June 30, 2021. The increase is mainly due to greater interest expense related to the Amended Loan Agreement entered into in December 2021.</w:t>
      </w:r>
    </w:p>
    <w:p>
      <w:pPr>
        <w:spacing w:after="0" w:line="171" w:lineRule="exact"/>
        <w:rPr>
          <w:sz w:val="20"/>
          <w:szCs w:val="20"/>
          <w:color w:val="auto"/>
        </w:rPr>
      </w:pPr>
    </w:p>
    <w:p>
      <w:pPr>
        <w:jc w:val="both"/>
        <w:ind w:left="60" w:right="59"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Income. </w:t>
      </w:r>
      <w:r>
        <w:rPr>
          <w:rFonts w:ascii="Times New Roman" w:cs="Times New Roman" w:eastAsia="Times New Roman" w:hAnsi="Times New Roman"/>
          <w:sz w:val="18"/>
          <w:szCs w:val="18"/>
          <w:color w:val="auto"/>
        </w:rPr>
        <w:t>Other income increased by $0.8 million to $1.4 million for the three months ended June 30, 2022.</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increase is mainly due to a research &amp; development tax credit refund received by our Australian subsidiary during the three months ended June 30, 2022.</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summarizes the results of operations for the six months ended June 30, 2022 and 2021:</w:t>
      </w:r>
    </w:p>
    <w:p>
      <w:pPr>
        <w:spacing w:after="0" w:line="273"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5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00" w:type="dxa"/>
            <w:vAlign w:val="bottom"/>
            <w:gridSpan w:val="4"/>
          </w:tcPr>
          <w:p>
            <w:pPr>
              <w:jc w:val="center"/>
              <w:ind w:left="592"/>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5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00" w:type="dxa"/>
            <w:vAlign w:val="bottom"/>
            <w:gridSpan w:val="4"/>
          </w:tcPr>
          <w:p>
            <w:pPr>
              <w:jc w:val="center"/>
              <w:ind w:left="57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160" w:type="dxa"/>
            <w:vAlign w:val="bottom"/>
            <w:vMerge w:val="restart"/>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Product revenue, net</w:t>
            </w:r>
          </w:p>
        </w:tc>
        <w:tc>
          <w:tcPr>
            <w:tcW w:w="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2,534</w:t>
            </w:r>
          </w:p>
        </w:tc>
        <w:tc>
          <w:tcPr>
            <w:tcW w:w="2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License Revenue</w:t>
            </w:r>
          </w:p>
        </w:tc>
        <w:tc>
          <w:tcPr>
            <w:tcW w:w="2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product revenue</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Noncash compensation</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research and development</w:t>
            </w:r>
          </w:p>
        </w:tc>
        <w:tc>
          <w:tcPr>
            <w:tcW w:w="2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70,693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74,916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Noncash compensation</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(3,077)</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selling, general and administrative</w:t>
            </w:r>
          </w:p>
        </w:tc>
        <w:tc>
          <w:tcPr>
            <w:tcW w:w="2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36,324</w:t>
            </w:r>
          </w:p>
        </w:tc>
        <w:tc>
          <w:tcPr>
            <w:tcW w:w="2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selling, general and administrative</w:t>
            </w:r>
          </w:p>
        </w:tc>
        <w:tc>
          <w:tcPr>
            <w:tcW w:w="2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33,247</w:t>
            </w:r>
          </w:p>
        </w:tc>
        <w:tc>
          <w:tcPr>
            <w:tcW w:w="2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4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108,423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income</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(1,971)</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expense, net</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3,710</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(109,523)</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(169,125)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jc w:val="both"/>
        <w:ind w:left="60" w:right="59"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Product revenue, net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 revenue, net for the six months ended June 30, 2022 was $2.5 million compared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$2.3 million for the six months ended June 30, 2021. Subsequent to May 31, 2022 there will be no product revenue, net recorded related to new product sales of UKONIQ. There may be immaterial amounts of product revenue, net recorded in subsequent quarters due to gross-to-net sales adjustments as the currently outstanding related accrued liabilities are settled.</w:t>
      </w:r>
    </w:p>
    <w:p>
      <w:pPr>
        <w:spacing w:after="0" w:line="176" w:lineRule="exact"/>
        <w:rPr>
          <w:sz w:val="20"/>
          <w:szCs w:val="20"/>
          <w:color w:val="auto"/>
        </w:rPr>
      </w:pPr>
    </w:p>
    <w:p>
      <w:pPr>
        <w:jc w:val="both"/>
        <w:ind w:left="60" w:right="59"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License revenue</w:t>
      </w:r>
      <w:r>
        <w:rPr>
          <w:rFonts w:ascii="Times New Roman" w:cs="Times New Roman" w:eastAsia="Times New Roman" w:hAnsi="Times New Roman"/>
          <w:sz w:val="18"/>
          <w:szCs w:val="18"/>
          <w:color w:val="auto"/>
        </w:rPr>
        <w:t>. License revenue was less than $0.1 million for both the six months ended June 30, 2022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June 30, 2021. License revenue for both the six months ended June 30, 2022 and June 30, 2021 is comprised of recognition of a portion of the upfront payment from the ublituximab sublicense agreement with Ildong.</w:t>
      </w:r>
    </w:p>
    <w:p>
      <w:pPr>
        <w:spacing w:after="0" w:line="171" w:lineRule="exact"/>
        <w:rPr>
          <w:sz w:val="20"/>
          <w:szCs w:val="20"/>
          <w:color w:val="auto"/>
        </w:rPr>
      </w:pPr>
    </w:p>
    <w:p>
      <w:pPr>
        <w:jc w:val="both"/>
        <w:ind w:left="60" w:right="59"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Cost of Product Revenue. </w:t>
      </w:r>
      <w:r>
        <w:rPr>
          <w:rFonts w:ascii="Times New Roman" w:cs="Times New Roman" w:eastAsia="Times New Roman" w:hAnsi="Times New Roman"/>
          <w:sz w:val="18"/>
          <w:szCs w:val="18"/>
          <w:color w:val="auto"/>
        </w:rPr>
        <w:t>Cost of product revenue for both the six month periods ended June 30, 2022 and June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30, 2021 was $0.3 million. Cost of product revenue consists primarily of freight and royalties on net sales of UKONIQ owed to our licensing partner. Subsequent to the quarter ended June 30, 2022, we expect the cost of product revenue to be immaterial due to the stoppage of product sales resulting from the market withdrawal of UKONIQ.</w:t>
      </w:r>
    </w:p>
    <w:p>
      <w:pPr>
        <w:spacing w:after="0" w:line="176" w:lineRule="exact"/>
        <w:rPr>
          <w:sz w:val="20"/>
          <w:szCs w:val="20"/>
          <w:color w:val="auto"/>
        </w:rPr>
      </w:pPr>
    </w:p>
    <w:p>
      <w:pPr>
        <w:jc w:val="both"/>
        <w:ind w:left="60" w:right="59"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Noncash Compensation Expense (Research and Development). </w:t>
      </w:r>
      <w:r>
        <w:rPr>
          <w:rFonts w:ascii="Times New Roman" w:cs="Times New Roman" w:eastAsia="Times New Roman" w:hAnsi="Times New Roman"/>
          <w:sz w:val="18"/>
          <w:szCs w:val="18"/>
          <w:color w:val="auto"/>
        </w:rPr>
        <w:t>Noncash compensation expense (research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development) related to equity incentive grants totaled $4.2 million for the six months ended June 30, 2022, as compared to $14.5 million during the comparable period ended June 30, 2021. The decrease in noncash compensation expense was primarily due to forfeitures of restricted stock as a result of a decrease in headcount during the six months ended June 30, 2022.</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Other Research and Development Expense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Other research and development expense decreased for the six</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months ended June 30, 2022 by approximately $22.7 million to $70.7 million as compared to the comparable period ended June 30, 2021. The decrease in research and development expense is primarily attributable to a decrease in license milestones of $18.0 million, and a $12.9 million decrease in clinical trial expense, partially offset by an increase in manufacturing expense of $15.3 million. The increase in manufacturing expense was primarily due to a one-time charge to expense advanced payments related to clinical and commercial batches of UKONIQ as a result of the voluntary withdrawal from the market.</w:t>
      </w:r>
    </w:p>
    <w:p>
      <w:pPr>
        <w:spacing w:after="0" w:line="183" w:lineRule="exact"/>
        <w:rPr>
          <w:sz w:val="20"/>
          <w:szCs w:val="20"/>
          <w:color w:val="auto"/>
        </w:rPr>
      </w:pPr>
    </w:p>
    <w:p>
      <w:pPr>
        <w:jc w:val="both"/>
        <w:ind w:left="60" w:right="59"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Noncash Compensation Expense (Selling, General and Administrative). </w:t>
      </w:r>
      <w:r>
        <w:rPr>
          <w:rFonts w:ascii="Times New Roman" w:cs="Times New Roman" w:eastAsia="Times New Roman" w:hAnsi="Times New Roman"/>
          <w:sz w:val="18"/>
          <w:szCs w:val="18"/>
          <w:color w:val="auto"/>
        </w:rPr>
        <w:t>Noncash compensation expense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(selling, general and administrative) related to equity incentive grants totaled $(3.1) million for the six months ended June 30, 2022, as compared to $18.4 million during the comparable period ended June 30, 2021. The decrease in noncash compensation expense was primarily related to forfeitures of stock as a result of a decrease in headcount during the six months ended June 30, 2022.</w:t>
      </w:r>
    </w:p>
    <w:p>
      <w:pPr>
        <w:spacing w:after="0" w:line="179" w:lineRule="exact"/>
        <w:rPr>
          <w:sz w:val="20"/>
          <w:szCs w:val="20"/>
          <w:color w:val="auto"/>
        </w:rPr>
      </w:pPr>
    </w:p>
    <w:p>
      <w:pPr>
        <w:jc w:val="both"/>
        <w:ind w:left="60" w:right="59"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Selling, General and Administrative. </w:t>
      </w:r>
      <w:r>
        <w:rPr>
          <w:rFonts w:ascii="Times New Roman" w:cs="Times New Roman" w:eastAsia="Times New Roman" w:hAnsi="Times New Roman"/>
          <w:sz w:val="18"/>
          <w:szCs w:val="18"/>
          <w:color w:val="auto"/>
        </w:rPr>
        <w:t>Other selling, general and administrative expenses decreased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six months ended June 30, 2022 by approximately $6.1 million to $36.3 million as compared to the comparable period ended June 30, 2021. The decrease was due primarily to decreased other selling, general and administrative costs associated with the marketing of UKONIQ during the period ended June 30, 2022, as well as decreased headcount over that same period.</w:t>
      </w:r>
    </w:p>
    <w:p>
      <w:pPr>
        <w:spacing w:after="0" w:line="179" w:lineRule="exact"/>
        <w:rPr>
          <w:sz w:val="20"/>
          <w:szCs w:val="20"/>
          <w:color w:val="auto"/>
        </w:rPr>
      </w:pPr>
    </w:p>
    <w:p>
      <w:pPr>
        <w:jc w:val="both"/>
        <w:ind w:left="60" w:right="59"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w:t>
      </w:r>
      <w:r>
        <w:rPr>
          <w:rFonts w:ascii="Times New Roman" w:cs="Times New Roman" w:eastAsia="Times New Roman" w:hAnsi="Times New Roman"/>
          <w:sz w:val="18"/>
          <w:szCs w:val="18"/>
          <w:color w:val="auto"/>
        </w:rPr>
        <w:t>Interest expense increased by $2.2 million to $5.7 million for the six months ended June 30,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2022, as compared to $3.5 million for the six months ended June 30, 2021. The increase is mainly due to greater interest expense related to the Amended Loan Agreement entered into in December 2021.</w:t>
      </w:r>
    </w:p>
    <w:p>
      <w:pPr>
        <w:spacing w:after="0" w:line="171" w:lineRule="exact"/>
        <w:rPr>
          <w:sz w:val="20"/>
          <w:szCs w:val="20"/>
          <w:color w:val="auto"/>
        </w:rPr>
      </w:pPr>
    </w:p>
    <w:p>
      <w:pPr>
        <w:jc w:val="both"/>
        <w:ind w:left="60" w:right="59"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Income. </w:t>
      </w:r>
      <w:r>
        <w:rPr>
          <w:rFonts w:ascii="Times New Roman" w:cs="Times New Roman" w:eastAsia="Times New Roman" w:hAnsi="Times New Roman"/>
          <w:sz w:val="18"/>
          <w:szCs w:val="18"/>
          <w:color w:val="auto"/>
        </w:rPr>
        <w:t>Other income increased by $0.9 million to $2.0 million for the six months ended June 30, 2022.</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increase is mainly due to a research &amp; development tax credit refund received by our Australian subsidiary during the six months ended June 30, 2022.</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89" w:lineRule="exact"/>
        <w:rPr>
          <w:sz w:val="20"/>
          <w:szCs w:val="20"/>
          <w:color w:val="auto"/>
        </w:rPr>
      </w:pPr>
    </w:p>
    <w:p>
      <w:pPr>
        <w:jc w:val="both"/>
        <w:ind w:left="60" w:right="59" w:firstLine="492"/>
        <w:spacing w:after="0" w:line="254" w:lineRule="auto"/>
        <w:rPr>
          <w:sz w:val="20"/>
          <w:szCs w:val="20"/>
          <w:color w:val="auto"/>
        </w:rPr>
      </w:pPr>
      <w:r>
        <w:rPr>
          <w:rFonts w:ascii="Times New Roman" w:cs="Times New Roman" w:eastAsia="Times New Roman" w:hAnsi="Times New Roman"/>
          <w:sz w:val="18"/>
          <w:szCs w:val="18"/>
          <w:color w:val="auto"/>
        </w:rPr>
        <w:t>Our major sources of cash have been proceeds from private placement and public offering of equity securities, and from our loan and security agreements executed with Hercules Capital, Inc. (Hercules) (see Note 6 for more information). Since inception, we have incurred significant operating losses. Substantially all our operating losses have resulted from costs incurred in connection with our research and development programs and from selling, general and administrative costs associated with our operations, including our commercialization activities. We expect to continue to incur significant expenses and operating losses for the foreseeable future. Because we have withdrawn UKONIQ (umbralisib) from sale, we have no marketed products currently. We expect to continue to incur significant research and development expenses and we expect to continue to incur significant commercialization and outsourced-manufacturing expenses as we plan for the possible commercialization of ublituximab in RMS.</w:t>
      </w:r>
    </w:p>
    <w:p>
      <w:pPr>
        <w:spacing w:after="0" w:line="148" w:lineRule="exact"/>
        <w:rPr>
          <w:sz w:val="20"/>
          <w:szCs w:val="20"/>
          <w:color w:val="auto"/>
        </w:rPr>
      </w:pPr>
    </w:p>
    <w:p>
      <w:pPr>
        <w:jc w:val="both"/>
        <w:ind w:left="60" w:right="59" w:firstLine="492"/>
        <w:spacing w:after="0" w:line="256" w:lineRule="auto"/>
        <w:rPr>
          <w:sz w:val="20"/>
          <w:szCs w:val="20"/>
          <w:color w:val="auto"/>
        </w:rPr>
      </w:pPr>
      <w:r>
        <w:rPr>
          <w:rFonts w:ascii="Times New Roman" w:cs="Times New Roman" w:eastAsia="Times New Roman" w:hAnsi="Times New Roman"/>
          <w:sz w:val="18"/>
          <w:szCs w:val="18"/>
          <w:color w:val="auto"/>
        </w:rPr>
        <w:t>We evaluated whether there are any conditions and events, considered in the aggregate, that raise substantial doubt about our ability to continue as a going concern within one year beyond the filing of this Quarterly Report on Form 10-Q. As of June 30, 2022, we had $231.8 million in cash and cash equivalents and investment securities. Based on our available cash resources and cash flow projections as of the date the consolidated financial statements were available for issuance, we believe that our cash and cash equivalents, and investment securities as of June 30, 2022 will provide sufficient liquidity for more than a twelve-month period from the date of filing of this Quarterly Report on Form 10-Q.</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92"/>
        <w:spacing w:after="0" w:line="254" w:lineRule="auto"/>
        <w:rPr>
          <w:sz w:val="20"/>
          <w:szCs w:val="20"/>
          <w:color w:val="auto"/>
        </w:rPr>
      </w:pPr>
      <w:r>
        <w:rPr>
          <w:rFonts w:ascii="Times New Roman" w:cs="Times New Roman" w:eastAsia="Times New Roman" w:hAnsi="Times New Roman"/>
          <w:sz w:val="18"/>
          <w:szCs w:val="18"/>
          <w:color w:val="auto"/>
        </w:rPr>
        <w:t>The actual amount of cash that we will need to operate is subject to many factors, including, but not limited to, the costs and timing of clinical and commercial manufacturing supply arrangements for each product and product candidate, and the costs of expanding our sales, distribution and other commercialization capabilities. Because of the numerous risks and uncertainties associated with developing pharmaceuticals, we are unable to predict when we will become profitable, if at all. Even if we do become profitable, we may not be able to sustain or increase our profitability on a quarterly or annual basis. Our ability to become profitable depends upon our ability to generate substantial revenue. We are dependent upon significant future financing to provide the cash necessary to execute our long-term operations. However, the Company cannot be certain that additional financing will be available when needed or that, if available, financing will be obtained on terms favorable to the Company or its existing stockholders.</w:t>
      </w:r>
    </w:p>
    <w:p>
      <w:pPr>
        <w:spacing w:after="0" w:line="15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Discussion of Cash Flows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summarizes our cash flows for the six months ended June 30, 2022 and 2021:</w:t>
      </w:r>
    </w:p>
    <w:p>
      <w:pPr>
        <w:spacing w:after="0" w:line="259"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5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80" w:type="dxa"/>
            <w:vAlign w:val="bottom"/>
            <w:gridSpan w:val="3"/>
          </w:tcPr>
          <w:p>
            <w:pPr>
              <w:jc w:val="center"/>
              <w:ind w:left="35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00" w:type="dxa"/>
            <w:vAlign w:val="bottom"/>
          </w:tcPr>
          <w:p>
            <w:pPr>
              <w:spacing w:after="0"/>
              <w:rPr>
                <w:sz w:val="18"/>
                <w:szCs w:val="18"/>
                <w:color w:val="auto"/>
              </w:rPr>
            </w:pPr>
          </w:p>
        </w:tc>
        <w:tc>
          <w:tcPr>
            <w:tcW w:w="1160" w:type="dxa"/>
            <w:vAlign w:val="bottom"/>
            <w:vMerge w:val="restart"/>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199"/>
        </w:trPr>
        <w:tc>
          <w:tcPr>
            <w:tcW w:w="5140" w:type="dxa"/>
            <w:vAlign w:val="bottom"/>
            <w:tcBorders>
              <w:bottom w:val="single" w:sz="8" w:color="CCEEFF"/>
            </w:tcBorders>
            <w:vMerge w:val="continue"/>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12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(117,805)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(141,524)</w:t>
            </w:r>
          </w:p>
        </w:tc>
        <w:tc>
          <w:tcPr>
            <w:tcW w:w="0" w:type="dxa"/>
            <w:vAlign w:val="bottom"/>
          </w:tcPr>
          <w:p>
            <w:pPr>
              <w:spacing w:after="0"/>
              <w:rPr>
                <w:sz w:val="1"/>
                <w:szCs w:val="1"/>
                <w:color w:val="auto"/>
              </w:rPr>
            </w:pPr>
          </w:p>
        </w:tc>
      </w:tr>
      <w:tr>
        <w:trPr>
          <w:trHeight w:val="216"/>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12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(33,292)</w:t>
            </w:r>
          </w:p>
        </w:tc>
        <w:tc>
          <w:tcPr>
            <w:tcW w:w="80" w:type="dxa"/>
            <w:vAlign w:val="bottom"/>
          </w:tcPr>
          <w:p>
            <w:pPr>
              <w:spacing w:after="0"/>
              <w:rPr>
                <w:sz w:val="18"/>
                <w:szCs w:val="18"/>
                <w:color w:val="auto"/>
              </w:rPr>
            </w:pPr>
          </w:p>
        </w:tc>
        <w:tc>
          <w:tcPr>
            <w:tcW w:w="4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(2,989)</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12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(715)</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(7,217)</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0" w:right="79" w:firstLine="492"/>
        <w:spacing w:after="0" w:line="261" w:lineRule="auto"/>
        <w:rPr>
          <w:sz w:val="20"/>
          <w:szCs w:val="20"/>
          <w:color w:val="auto"/>
        </w:rPr>
      </w:pPr>
      <w:r>
        <w:rPr>
          <w:rFonts w:ascii="Times New Roman" w:cs="Times New Roman" w:eastAsia="Times New Roman" w:hAnsi="Times New Roman"/>
          <w:sz w:val="18"/>
          <w:szCs w:val="18"/>
          <w:color w:val="auto"/>
        </w:rPr>
        <w:t>Cash used in operating activities for the six months ended June 30, 2022 was $117.8 million as compared to $141.5 million for the six months ended June 30, 2021. The decrease in net cash used in operating activities was due primarily to greater expenditures associated with our license milestone payments and clinical trial expense during the six months ended June 30, 2021.</w:t>
      </w:r>
    </w:p>
    <w:p>
      <w:pPr>
        <w:spacing w:after="0" w:line="139" w:lineRule="exact"/>
        <w:rPr>
          <w:sz w:val="20"/>
          <w:szCs w:val="20"/>
          <w:color w:val="auto"/>
        </w:rPr>
      </w:pPr>
    </w:p>
    <w:p>
      <w:pPr>
        <w:jc w:val="both"/>
        <w:ind w:left="60" w:right="59" w:firstLine="492"/>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for the six months ended June 30, 2022, was $33.3 million as compared to cash used in investing activities of $3.0 million for the six months ended June 30, 2021. The increase in net cash used in investing activities was primarily due to greater investment in short-term and long-term securities during the six months ended June 30, 2022.</w:t>
      </w:r>
    </w:p>
    <w:p>
      <w:pPr>
        <w:spacing w:after="0" w:line="153" w:lineRule="exact"/>
        <w:rPr>
          <w:sz w:val="20"/>
          <w:szCs w:val="20"/>
          <w:color w:val="auto"/>
        </w:rPr>
      </w:pPr>
    </w:p>
    <w:p>
      <w:pPr>
        <w:jc w:val="both"/>
        <w:ind w:left="60" w:right="59" w:firstLine="492"/>
        <w:spacing w:after="0" w:line="258" w:lineRule="auto"/>
        <w:rPr>
          <w:sz w:val="20"/>
          <w:szCs w:val="20"/>
          <w:color w:val="auto"/>
        </w:rPr>
      </w:pPr>
      <w:r>
        <w:rPr>
          <w:rFonts w:ascii="Times New Roman" w:cs="Times New Roman" w:eastAsia="Times New Roman" w:hAnsi="Times New Roman"/>
          <w:sz w:val="18"/>
          <w:szCs w:val="18"/>
          <w:color w:val="auto"/>
        </w:rPr>
        <w:t>Net cash used in financing activities for the six months ended June 30, 2022, was $0.7 million as compared to net cash used in financing activities of $7.2 million for the six months ended June 30, 2021. The decrease in net cash used in financing activities was primarily due to the principal payments on our loan payable made during the six months ended June 30, 2021. Under the Amended Loan Agreement, the only amount paid during the six months ended June 30, 2022 was a $1.0 million end of term fee.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02" w:lineRule="exact"/>
        <w:rPr>
          <w:sz w:val="20"/>
          <w:szCs w:val="20"/>
          <w:color w:val="auto"/>
        </w:rPr>
      </w:pPr>
    </w:p>
    <w:p>
      <w:pPr>
        <w:jc w:val="both"/>
        <w:ind w:left="60" w:right="59" w:firstLine="492"/>
        <w:spacing w:after="0" w:line="261" w:lineRule="auto"/>
        <w:rPr>
          <w:sz w:val="20"/>
          <w:szCs w:val="20"/>
          <w:color w:val="auto"/>
        </w:rPr>
      </w:pPr>
      <w:r>
        <w:rPr>
          <w:rFonts w:ascii="Times New Roman" w:cs="Times New Roman" w:eastAsia="Times New Roman" w:hAnsi="Times New Roman"/>
          <w:sz w:val="18"/>
          <w:szCs w:val="18"/>
          <w:color w:val="auto"/>
        </w:rPr>
        <w:t>We have not entered into any transactions with unconsolidated entities whereby we have financial guarantees, subordinated retained interests, derivative instruments or other contingent arrangements that expose us to material continuing risks, contingent liabilities, or any other obligations under a variable interest in an unconsolidated entity that provides us with financing, liquidity, market risk or credit risk support.</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POLICIES AND ACCOUNTING ESTIMATES</w:t>
      </w:r>
    </w:p>
    <w:p>
      <w:pPr>
        <w:spacing w:after="0" w:line="18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A critical accounting policy is one that is both important to the portrayal of our financial condition and results of operation and requires management's most difficult, subjective or complex judgments, often as a result of the need to make estimates about the effect of matters that are inherently uncertain. For a description of our significant accounting policies, refer to "Part II, Item 8. Financial Statements and Supplementary Data, Note 1 – Organization and Summary of Significant Accounting Policies" in our 2021 Annual Report on Form 10-K. Of these policies, the following are considered critical to an understanding of our Unaudited Condensed Consolidated Financial Statements as they require the application of the most difficult, subjective and complex judgments: stock-based compensation expenses, and fair value measurement of financial liabilities. Refer to “Note 2 – Revenue Recognition”, "Note 4 - Fair Value Measurements" and "Note 5 – Stockholders’ Equity" respectively, for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jc w:val="both"/>
        <w:ind w:left="60" w:right="59" w:firstLine="492"/>
        <w:spacing w:after="0" w:line="282" w:lineRule="auto"/>
        <w:rPr>
          <w:sz w:val="20"/>
          <w:szCs w:val="20"/>
          <w:color w:val="auto"/>
        </w:rPr>
      </w:pPr>
      <w:r>
        <w:rPr>
          <w:rFonts w:ascii="Times New Roman" w:cs="Times New Roman" w:eastAsia="Times New Roman" w:hAnsi="Times New Roman"/>
          <w:sz w:val="18"/>
          <w:szCs w:val="18"/>
          <w:color w:val="auto"/>
        </w:rPr>
        <w:t>Our exposure to market risk has not changed materially since our disclosure in Item 7A, "Quantitative and Qualitative Disclosures About Market Risk" in our Annual Report on Form 10-K for the year ended December 31, 2021.</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ind w:left="60" w:right="59" w:firstLine="492"/>
        <w:spacing w:after="0" w:line="255" w:lineRule="auto"/>
        <w:rPr>
          <w:sz w:val="20"/>
          <w:szCs w:val="20"/>
          <w:color w:val="auto"/>
        </w:rPr>
      </w:pPr>
      <w:r>
        <w:rPr>
          <w:rFonts w:ascii="Times New Roman" w:cs="Times New Roman" w:eastAsia="Times New Roman" w:hAnsi="Times New Roman"/>
          <w:sz w:val="18"/>
          <w:szCs w:val="18"/>
          <w:color w:val="auto"/>
        </w:rPr>
        <w:t>As of June 30, 2022, management carried out, under the supervision and with the participation of our Chief Executive Officer and Chief Financial Officer, an evaluation of the effectiveness of the design and operation of our disclosure controls and procedures (as defined in Rules 13a-15(e) and 15d-15(e) under the Exchange Act). Our disclosure controls and procedures are designed to provide reasonable assurance that information we are required to disclose in the reports that we file or submit under the Exchange Act is recorded, processed, summarized and reported within the time periods specified in applicable rules and forms. Based upon that evaluation, our Chief Executive Officer and Chief Financial Officer concluded that, as of June 30, 2022, our disclosure controls and procedures were effective.</w:t>
      </w:r>
    </w:p>
    <w:p>
      <w:pPr>
        <w:spacing w:after="0" w:line="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Internal Control Over Financial Reporting</w:t>
      </w:r>
    </w:p>
    <w:p>
      <w:pPr>
        <w:spacing w:after="0" w:line="121" w:lineRule="exact"/>
        <w:rPr>
          <w:sz w:val="20"/>
          <w:szCs w:val="20"/>
          <w:color w:val="auto"/>
        </w:rPr>
      </w:pPr>
    </w:p>
    <w:p>
      <w:pPr>
        <w:jc w:val="both"/>
        <w:ind w:left="60" w:right="79" w:firstLine="492"/>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during the quarter ended June 30, 2022 that materially affected, or are reasonably likely to materially affect, our internal control over financial reporting.</w:t>
      </w:r>
    </w:p>
    <w:p>
      <w:pPr>
        <w:spacing w:after="0" w:line="2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8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July 2022, a putative securities class action (the Class Action Lawsuit) complaint was filed in the US District Court for the Southern District of New York against the Company and two of its officers, purportedly on behalf of all shareholders who purchased or otherwise acquired TG Therapeutics common stock between January 15, 2020 and May 31, 2022 (the Class Period). The case is captioned Shapiro v. TG Therapeutics, Inc., et al., Case No. 1:22-cv-06106. The complaint alleges that the Company and the named officers violated the federal securities laws by allegedly making materially false and misleading statements throughout the Class Period concerning the Company’s business and operations relating to Ublituximab and Umbralisib, and seeks monetary damages. The Class Action Lawsuit is in the early stages, and the Company intends to vigorously contest the claims in the complaint.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ind w:left="60" w:right="59" w:firstLine="492"/>
        <w:spacing w:after="0" w:line="256" w:lineRule="auto"/>
        <w:rPr>
          <w:sz w:val="20"/>
          <w:szCs w:val="20"/>
          <w:color w:val="auto"/>
        </w:rPr>
      </w:pPr>
      <w:r>
        <w:rPr>
          <w:rFonts w:ascii="Times New Roman" w:cs="Times New Roman" w:eastAsia="Times New Roman" w:hAnsi="Times New Roman"/>
          <w:sz w:val="18"/>
          <w:szCs w:val="18"/>
          <w:i w:val="1"/>
          <w:iCs w:val="1"/>
          <w:color w:val="auto"/>
        </w:rPr>
        <w:t>You should carefully consider the following risk factors and the other information contained elsewhere in this Quarterly Report before making an investment in our securities. If any of the following risks occur, our business, financial condition or operating results could be materially harmed. An investment in our securities is speculative in nature, involves a high degree of risk, and should not be made by an investor who cannot bear the economic risk of its investment for an indefinite period of time and who cannot afford the loss of its entire investment. The risks described below are not the only ones that our business faces. Additional risks not currently known to us or that we currently deem to be immaterial may adversely impact our business in the future.</w:t>
      </w:r>
    </w:p>
    <w:p>
      <w:pPr>
        <w:spacing w:after="0" w:line="1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Drug Development and Regulatory Approval</w:t>
      </w:r>
    </w:p>
    <w:p>
      <w:pPr>
        <w:spacing w:after="0" w:line="198"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regulatory approval for our product candidates and ultimately cannot commercialize one or more of them, or experience significant delays in doing so, our business will be materially harmed.</w:t>
      </w:r>
    </w:p>
    <w:p>
      <w:pPr>
        <w:spacing w:after="0" w:line="172"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We have invested substantially all of our efforts and financial resources in the identification, pre-clinical and clinical development of umbralisib as monotherapy and in combination with ublituximab in hematologic conditions (U2), ublituximab in RMS and our other product candidates, including cosibelimab, TG-1701 and TG-1801, and building a commercial infrastructure. On April 15, 2022, we announced our voluntary withdrawal of the pending BLA and sNDA for U2 to treat CLL and SLL and the voluntary withdrawal of UKONIQ (umbralisib) from sale for the approved indications. Our decision was based on updated overall survival data collected in response to an FDA information request that showed that a possible increased risk of death in patients receiving U2 compared to the control arm of obinutuzumab plus chlorambucil. Furthermore, on May 27, 2022, the FDA issued a notice in the Federal Register officially withdrawing approval of the NDA for UKONIQ, effective May 31, 2022. We completed the voluntary withdrawal of UKONIQ from sale as of the effective date of the FDA’s notice. Although we are currently planning to continue to follow patients in the UNITY-CLL study to understand the overall survival data as it matures, there is a risk that we decide not to continue to do so. Moreover, we are still assessing the impact of the withdrawal of the BLA and sNDA for U2 and the withdrawal of UKONIQ from sale on our oncology research and development programs. We may determine that there is not a regulatory path forward for UKONIQ as monotherapy or in combination with ublituximab in any hematologic conditions, including CLL, and may stop development of UKONIQ, ublituximab, and our other product candidates for oncology indications. If we were to do so, our oncology pipeline would have little, if any, value, which would have a material and adverse effect on our business, financial condition, and results of operations.</w:t>
      </w:r>
    </w:p>
    <w:p>
      <w:pPr>
        <w:spacing w:after="0" w:line="193"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Our ability to generate revenues from product sales will depend on the approval and successful commercialization of ublituximab in RMS. Each of our other product candidates will require additional non-clinical or clinical development, regulatory approval, and sufficient clinical and commercial supply. The success of our development programs and achievement of regulatory approval of our product candidates will depend on several factors, including the following:</w:t>
      </w:r>
    </w:p>
    <w:p>
      <w:pPr>
        <w:spacing w:after="0" w:line="180" w:lineRule="exact"/>
        <w:rPr>
          <w:sz w:val="20"/>
          <w:szCs w:val="20"/>
          <w:color w:val="auto"/>
        </w:rPr>
      </w:pPr>
    </w:p>
    <w:p>
      <w:pPr>
        <w:jc w:val="both"/>
        <w:ind w:left="1040" w:right="79" w:hanging="315"/>
        <w:spacing w:after="0" w:line="257" w:lineRule="auto"/>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completion of our clinical programs with positive results that support a finding of effectiveness and an acceptable safety profile of our product candidates in the intended populations within the timeframes we have projected;</w:t>
      </w:r>
    </w:p>
    <w:p>
      <w:pPr>
        <w:spacing w:after="0" w:line="1" w:lineRule="exact"/>
        <w:rPr>
          <w:rFonts w:ascii="Times New Roman" w:cs="Times New Roman" w:eastAsia="Times New Roman" w:hAnsi="Times New Roman"/>
          <w:sz w:val="18"/>
          <w:szCs w:val="18"/>
          <w:color w:val="auto"/>
        </w:rPr>
      </w:pPr>
    </w:p>
    <w:p>
      <w:pPr>
        <w:ind w:left="1040" w:right="79" w:hanging="315"/>
        <w:spacing w:after="0" w:line="250" w:lineRule="auto"/>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INDs and clinical trial applications (CTAs), being cleared/approved such that our product candidates can commence clinical trials;</w:t>
      </w:r>
    </w:p>
    <w:p>
      <w:pPr>
        <w:ind w:left="1040" w:right="79" w:hanging="315"/>
        <w:spacing w:after="0" w:line="250" w:lineRule="auto"/>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initiation and completion of preclinical studies and successful initiation of, enrollment in and completion of clinical trials;</w:t>
      </w:r>
    </w:p>
    <w:p>
      <w:pPr>
        <w:ind w:left="1040" w:right="79" w:hanging="315"/>
        <w:spacing w:after="0" w:line="250" w:lineRule="auto"/>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sufficiency of our financial and other resources to complete the necessary preclinical studies and clinical trials;</w:t>
      </w:r>
    </w:p>
    <w:p>
      <w:pPr>
        <w:ind w:left="1040" w:hanging="315"/>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regulatory approvals from applicable regulatory authorities for our product candidates;</w:t>
      </w:r>
    </w:p>
    <w:p>
      <w:pPr>
        <w:spacing w:after="0" w:line="9" w:lineRule="exact"/>
        <w:rPr>
          <w:rFonts w:ascii="Times New Roman" w:cs="Times New Roman" w:eastAsia="Times New Roman" w:hAnsi="Times New Roman"/>
          <w:sz w:val="18"/>
          <w:szCs w:val="18"/>
          <w:color w:val="auto"/>
        </w:rPr>
      </w:pPr>
    </w:p>
    <w:p>
      <w:pPr>
        <w:ind w:left="1040" w:right="79" w:hanging="315"/>
        <w:spacing w:after="0" w:line="250" w:lineRule="auto"/>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commercially viable arrangements with third-party manufacturers for clinical supply and commercial manufacturing; and</w:t>
      </w:r>
    </w:p>
    <w:p>
      <w:pPr>
        <w:ind w:left="1040" w:right="79" w:hanging="315"/>
        <w:spacing w:after="0" w:line="260" w:lineRule="auto"/>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 or regulatory exclusivity for our product candidates.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left="60" w:right="59" w:firstLine="648"/>
        <w:spacing w:after="0" w:line="250" w:lineRule="auto"/>
        <w:rPr>
          <w:sz w:val="20"/>
          <w:szCs w:val="20"/>
          <w:color w:val="auto"/>
        </w:rPr>
      </w:pPr>
      <w:r>
        <w:rPr>
          <w:rFonts w:ascii="Times New Roman" w:cs="Times New Roman" w:eastAsia="Times New Roman" w:hAnsi="Times New Roman"/>
          <w:sz w:val="18"/>
          <w:szCs w:val="18"/>
          <w:color w:val="auto"/>
        </w:rPr>
        <w:t>If we do not achieve one or more of these factors in a timely manner or at all, we could experience significant delays in our clinical programs and regulatory submission timelines and may not be able to obtain regulatory approval for our product candidates.</w:t>
      </w:r>
    </w:p>
    <w:p>
      <w:pPr>
        <w:spacing w:after="0" w:line="159"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Clinical drug development involves a lengthy and expensive process, with an uncertain outcome. We may incur additional costs or experience delays in completing, or ultimately be unable to complete, the development and commercialization of our product candidates.</w:t>
      </w:r>
    </w:p>
    <w:p>
      <w:pPr>
        <w:spacing w:after="0" w:line="107" w:lineRule="exact"/>
        <w:rPr>
          <w:sz w:val="20"/>
          <w:szCs w:val="20"/>
          <w:color w:val="auto"/>
        </w:rPr>
      </w:pPr>
    </w:p>
    <w:p>
      <w:pPr>
        <w:jc w:val="both"/>
        <w:ind w:left="60" w:right="59" w:firstLine="648"/>
        <w:spacing w:after="0" w:line="272" w:lineRule="auto"/>
        <w:rPr>
          <w:sz w:val="20"/>
          <w:szCs w:val="20"/>
          <w:color w:val="auto"/>
        </w:rPr>
      </w:pPr>
      <w:r>
        <w:rPr>
          <w:rFonts w:ascii="Times New Roman" w:cs="Times New Roman" w:eastAsia="Times New Roman" w:hAnsi="Times New Roman"/>
          <w:sz w:val="17"/>
          <w:szCs w:val="17"/>
          <w:color w:val="auto"/>
        </w:rPr>
        <w:t>Before obtaining marketing approval from regulatory authorities for the sale of any product candidate, we must complete pre-clinical studies and then conduct extensive clinical trials to demonstrate the safety and efficacy of our product candidates in humans. Clinical testing is expensive, difficult to design and implement, can take many years to complete and is uncertain as to outcome. It is impossible to predict when or if our product candidates will prove effective and safe in humans or will receive regulatory approval or will have a differentiated safety and tolerability profile. A failure of one or more clinical trials can occur at any stage of testing. Accordingly, our ongoing trials and future clinical trials may not be successful. Even if our clinical trials produce positive results, there can be no guarantee that the positive outcomes will be replicated in future studies either within the same indication as previously evaluated or in alternate indications and settings.</w:t>
      </w:r>
    </w:p>
    <w:p>
      <w:pPr>
        <w:spacing w:after="0" w:line="104" w:lineRule="exact"/>
        <w:rPr>
          <w:sz w:val="20"/>
          <w:szCs w:val="20"/>
          <w:color w:val="auto"/>
        </w:rPr>
      </w:pPr>
    </w:p>
    <w:p>
      <w:pPr>
        <w:jc w:val="both"/>
        <w:ind w:left="60" w:right="59" w:firstLine="486"/>
        <w:spacing w:after="0" w:line="261" w:lineRule="auto"/>
        <w:rPr>
          <w:sz w:val="20"/>
          <w:szCs w:val="20"/>
          <w:color w:val="auto"/>
        </w:rPr>
      </w:pPr>
      <w:r>
        <w:rPr>
          <w:rFonts w:ascii="Times New Roman" w:cs="Times New Roman" w:eastAsia="Times New Roman" w:hAnsi="Times New Roman"/>
          <w:sz w:val="18"/>
          <w:szCs w:val="18"/>
          <w:color w:val="auto"/>
        </w:rPr>
        <w:t>Successful completion of our clinical trials is a prerequisite to submitting an NDA or a BLA to the FDA and a Marketing Authorization Application (MAA) to the European Medicines Agency (EMA) for each product candidate and, consequently, the ultimate approval and commercial marketing of our product candidates. We do not know whether any of our ongoing or future clinical trials for our product candidates will be completed on schedule, if at all.</w:t>
      </w:r>
    </w:p>
    <w:p>
      <w:pPr>
        <w:spacing w:after="0" w:line="112"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Whether or not and how quickly we complete clinical trials depends in part upon the rate at which we are able to engage clinical research/trial sites and, thereafter, the rate of enrollment of patients, and the rate at which we collect, clean, lock and analyze the clinical trial database. Patient enrollment is a function of many factors, including the size of the patient population, the proximity of patients to clinical sites, the eligibility criteria for the study, the existence of competitive clinical trials, and whether existing or new drugs are approved for the indication we are studying. We are aware that other companies are currently conducting or planning clinical trials that seek to enroll patients with the same diseases that we are studying. We may experience unforeseen events, such as the COVID-19 pandemic, that could delay or prevent our ability to complete current clinical trials, initiate new trials, receive marketing approval or commercialize our product candidates, including:</w:t>
      </w:r>
    </w:p>
    <w:p>
      <w:pPr>
        <w:spacing w:after="0" w:line="107" w:lineRule="exact"/>
        <w:rPr>
          <w:sz w:val="20"/>
          <w:szCs w:val="20"/>
          <w:color w:val="auto"/>
        </w:rPr>
      </w:pPr>
    </w:p>
    <w:p>
      <w:pPr>
        <w:ind w:left="1040" w:right="79" w:hanging="315"/>
        <w:spacing w:after="0" w:line="238" w:lineRule="auto"/>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regulatory authorities may require us to submit additional data or impose other requirements before permitting us to initiate a clinical trial;</w:t>
      </w:r>
    </w:p>
    <w:p>
      <w:pPr>
        <w:jc w:val="both"/>
        <w:ind w:left="1040" w:right="79" w:hanging="315"/>
        <w:spacing w:after="0" w:line="228" w:lineRule="auto"/>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regulatory authorities or institutional review boards (IRBs) or ethics committees (ECs) may not authorize us or our investigators to commence a clinical trial or conduct a clinical trial at a prospective trial site or in a country; we may experience delays in reaching, or fail to reach, agreement on acceptable terms with prospective trial sites and prospective clinical research organizations (CROs), the terms of which can be subject to extensive negotiation and may vary significantly among different CROs and trial sites;</w:t>
      </w:r>
    </w:p>
    <w:p>
      <w:pPr>
        <w:spacing w:after="0" w:line="2" w:lineRule="exact"/>
        <w:rPr>
          <w:rFonts w:ascii="Times New Roman" w:cs="Times New Roman" w:eastAsia="Times New Roman" w:hAnsi="Times New Roman"/>
          <w:sz w:val="18"/>
          <w:szCs w:val="18"/>
          <w:color w:val="auto"/>
        </w:rPr>
      </w:pPr>
    </w:p>
    <w:p>
      <w:pPr>
        <w:jc w:val="both"/>
        <w:ind w:left="1040" w:right="79" w:hanging="315"/>
        <w:spacing w:after="0" w:line="229" w:lineRule="auto"/>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drug candidates may produce negative or inconclusive results, and we may decide, or regulatory authorities may require us, to conduct additional pre-clinical studies or clinical trials or we may decide to abandon drug development programs;</w:t>
      </w:r>
    </w:p>
    <w:p>
      <w:pPr>
        <w:spacing w:after="0" w:line="1" w:lineRule="exact"/>
        <w:rPr>
          <w:rFonts w:ascii="Times New Roman" w:cs="Times New Roman" w:eastAsia="Times New Roman" w:hAnsi="Times New Roman"/>
          <w:sz w:val="18"/>
          <w:szCs w:val="18"/>
          <w:color w:val="auto"/>
        </w:rPr>
      </w:pPr>
    </w:p>
    <w:p>
      <w:pPr>
        <w:jc w:val="both"/>
        <w:ind w:left="1040" w:right="79" w:hanging="315"/>
        <w:spacing w:after="0" w:line="229" w:lineRule="auto"/>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of our drug candidates may be larger than we anticipate, and enrollment in these clinical trials may be slower than we anticipate or participants may drop out of these clinical trials or fail to return for post-treatment follow-up at a higher rate than we anticipate;</w:t>
      </w:r>
    </w:p>
    <w:p>
      <w:pPr>
        <w:spacing w:after="0" w:line="1" w:lineRule="exact"/>
        <w:rPr>
          <w:rFonts w:ascii="Times New Roman" w:cs="Times New Roman" w:eastAsia="Times New Roman" w:hAnsi="Times New Roman"/>
          <w:sz w:val="18"/>
          <w:szCs w:val="18"/>
          <w:color w:val="auto"/>
        </w:rPr>
      </w:pPr>
    </w:p>
    <w:p>
      <w:pPr>
        <w:jc w:val="both"/>
        <w:ind w:left="1040" w:right="79" w:hanging="315"/>
        <w:spacing w:after="0" w:line="229" w:lineRule="auto"/>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including our clinical trial sites, may fail to comply with regulatory requirements or meet their contractual obligations to us in a timely manner, or at all, or may deviate from the clinical trial protocol or drop out of the trial, which may require that we add new clinical trial sites or investigators;</w:t>
      </w:r>
    </w:p>
    <w:p>
      <w:pPr>
        <w:spacing w:after="0" w:line="1" w:lineRule="exact"/>
        <w:rPr>
          <w:rFonts w:ascii="Times New Roman" w:cs="Times New Roman" w:eastAsia="Times New Roman" w:hAnsi="Times New Roman"/>
          <w:sz w:val="18"/>
          <w:szCs w:val="18"/>
          <w:color w:val="auto"/>
        </w:rPr>
      </w:pPr>
    </w:p>
    <w:p>
      <w:pPr>
        <w:jc w:val="both"/>
        <w:ind w:left="1040" w:right="79" w:hanging="315"/>
        <w:spacing w:after="0" w:line="229" w:lineRule="auto"/>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elect to or regulatory authorities or IRBs or ECs may require that we or our investigators suspend or terminate clinical research for various reasons, including noncompliance with regulatory requirements or a finding that the participants are being exposed to unacceptable health risks;</w:t>
      </w:r>
    </w:p>
    <w:p>
      <w:pPr>
        <w:spacing w:after="0" w:line="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product candidates may be greater than we anticipate;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left="1040" w:right="79" w:hanging="315"/>
        <w:spacing w:after="0" w:line="236" w:lineRule="auto"/>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product candidates or other materials necessary to conduct clinical trials of our product candidates may be insufficient or inadequate, including, without limitation, as a result of disruptions to our supply chains caused by global health crises, such as the COVID-19 pandemic, international conflicts, or natural disasters;</w:t>
      </w:r>
    </w:p>
    <w:p>
      <w:pPr>
        <w:spacing w:after="0" w:line="2" w:lineRule="exact"/>
        <w:rPr>
          <w:rFonts w:ascii="Times New Roman" w:cs="Times New Roman" w:eastAsia="Times New Roman" w:hAnsi="Times New Roman"/>
          <w:sz w:val="18"/>
          <w:szCs w:val="18"/>
          <w:color w:val="auto"/>
        </w:rPr>
      </w:pPr>
    </w:p>
    <w:p>
      <w:pPr>
        <w:ind w:left="1040" w:right="79" w:hanging="315"/>
        <w:spacing w:after="0" w:line="226" w:lineRule="auto"/>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revise the requirements for approving our product candidates, or such requirements may not be as we anticipate; and</w:t>
      </w:r>
    </w:p>
    <w:p>
      <w:pPr>
        <w:spacing w:after="0" w:line="1" w:lineRule="exact"/>
        <w:rPr>
          <w:rFonts w:ascii="Times New Roman" w:cs="Times New Roman" w:eastAsia="Times New Roman" w:hAnsi="Times New Roman"/>
          <w:sz w:val="18"/>
          <w:szCs w:val="18"/>
          <w:color w:val="auto"/>
        </w:rPr>
      </w:pPr>
    </w:p>
    <w:p>
      <w:pPr>
        <w:jc w:val="both"/>
        <w:ind w:left="1040" w:right="79" w:hanging="315"/>
        <w:spacing w:after="0" w:line="234" w:lineRule="auto"/>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have undesirable side effects or other unexpected characteristics, causing us or our investigators, regulatory authorities, IRBs or ECs to suspend or terminate the trials, or reports may arise from pre-clinical or clinical testing of other therapies in the same or a similar class that raise safety or efficacy concerns about our product candidates.</w:t>
      </w:r>
    </w:p>
    <w:p>
      <w:pPr>
        <w:spacing w:after="0" w:line="185"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We also could encounter delays if a clinical trial is suspended or terminated by us, by the IRBs of the institutions in which such trials are being conducted, by the Data and Safety Monitoring Board (DSMB) for such trial or by the FDA or other regulatory authorities. Such regulatory authorities may impose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For example, in January 2022, the FDA imposed a partial clinical hold on the Company’s clinical trials investigating UKONIQ and ublituximab in CLL and NHL as a result of concerns from an initial overall survival analysis from the UNITY-CLL study that showed a possible increased risk of death in patients receiving U2 compared to the control arm of obinutuzumab plus chlorambucil. This partial clinical hold remains in place. In addition to the FDA, the DSMB for our clinical trials may recommend modification to the study design or closure of the study entirely based on the DSMB’s interpretation of the benefit-risk of the study. While we develop charters that guide the nature of the DSMB meetings, their analysis and interpretation of study data occurs independently from us and is wholly within their control. Even if the DSMB finds no safety concerns and recommends no modifications to the ongoing study, this does not mean the safety profile reported in the study may support a marketing approval or commercial acceptance if marketing approval is granted. Many of the factors that cause, or lead to, a delay in the commencement or completion of clinical trials may also ultimately lead to the denial of regulatory approval of our product candidates.</w:t>
      </w:r>
    </w:p>
    <w:p>
      <w:pPr>
        <w:spacing w:after="0" w:line="192"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Negative or inconclusive results from the clinical trials we conduct, unanticipated adverse medical events, or changes in regulatory policy could cause us to have to repeat or terminate the clinical trials. If we are required to repeat or conduct additional clinical trials or other testing of our drug candidates beyond those that we currently contemplate, if we are unable to successfully complete clinical trials of our drug candidates or other testing, if the results of these trials or tests are not positive or are only modestly positive or if there are safety concerns, we may:</w:t>
      </w:r>
    </w:p>
    <w:p>
      <w:pPr>
        <w:spacing w:after="0" w:line="183" w:lineRule="exact"/>
        <w:rPr>
          <w:sz w:val="20"/>
          <w:szCs w:val="20"/>
          <w:color w:val="auto"/>
        </w:rPr>
      </w:pPr>
    </w:p>
    <w:p>
      <w:pPr>
        <w:ind w:left="1040" w:hanging="315"/>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marketing approval for our product candidates;</w:t>
      </w:r>
    </w:p>
    <w:p>
      <w:pPr>
        <w:spacing w:after="0" w:line="2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obtain marketing approval at all;</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marketing approval in some countries and not others;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for indications or patient populations that are not as broad as intended or desired;</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post-marketing requirements or post-marketing commitments;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increased pricing pressure; or</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the drug removed from the market after obtaining marketing approval.</w:t>
      </w:r>
    </w:p>
    <w:p>
      <w:pPr>
        <w:spacing w:after="0" w:line="207"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In addition, changes in regulatory policy could cause us to have to repeat or conduct additional clinical trials or change our clinical development strategy. For example, in April 2022, the FDA convened an Oncologic Drug Advisory Committee (ODAC) meeting to discuss the PI3K inhibitor class. The ODAC voted in favor of requiring randomized data to support the evaluation of benefit-risk of PI3K drug candidates in patients with hematologic malignancies. The vote of the ODAC and the views expressed by FDA during the meeting will likely impact future development, if any, of UKONIQ in hematologic malignancies.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Our drug development costs will also increase if we experience delays in testing or regulatory approvals. Certain clinical trials are designed to continue until a pre-determined number of events have occurred in the patients enrolled. Trials such as this are subject to delays stemming from patient withdrawal and from lower-than-expected event rates. Significant clinical trial delays could also shorten any periods during which we may have the exclusive right to commercialize our product candidates or allow our competitors to bring products to market before we do and impair our ability to successfully commercialize our product candidates. Any delays in our pre-clinical or future clinical development programs may harm our business, financial condition and prospects significantly. We may also incur additional costs if enrollment is increased.</w:t>
      </w:r>
    </w:p>
    <w:p>
      <w:pPr>
        <w:spacing w:after="0" w:line="192" w:lineRule="exact"/>
        <w:rPr>
          <w:sz w:val="20"/>
          <w:szCs w:val="20"/>
          <w:color w:val="auto"/>
        </w:rPr>
      </w:pPr>
    </w:p>
    <w:p>
      <w:pPr>
        <w:jc w:val="both"/>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In addition, principal investigators for our clinical trials may serve as scientific advisors or consultants to us from time to time and receive compensation in connection with such services. If these relationships and any related compensation result in perceived or actual conflicts of interest, the integrity of the data generated at the applicable clinical trial site, or the FDA’s willingness to accept such data, may be jeopardized.</w:t>
      </w:r>
    </w:p>
    <w:p>
      <w:pPr>
        <w:spacing w:after="0" w:line="176"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cause undesirable side effects that could delay or prevent their regulatory approval, or impact their availability and commercial potential after approval.</w:t>
      </w:r>
    </w:p>
    <w:p>
      <w:pPr>
        <w:spacing w:after="0" w:line="15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Unacceptable or undesirable adverse events caused by any of our product candidates that we take into clinical trials could cause either us, a DSMB, or regulatory authorities to interrupt, delay, modify or halt clinical trials and could result in a more restrictive label or the delay or denial of regulatory approval by the FDA or other regulatory authorities. This, in turn, could prevent us from commercializing the affected product candidate and generating revenues from its sale.</w:t>
      </w:r>
    </w:p>
    <w:p>
      <w:pPr>
        <w:spacing w:after="0" w:line="180"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As is the case with all drugs, it is likely that there will be side effects associated with the use of our drug candidates. Results of our trials could reveal a higher than expected and unacceptable severity and prevalence of side effects. In such an event, our trials could be suspended or terminated and the FDA or comparable foreign regulatory authorities could order us to cease further development of or deny approval of our drug candidates for any or all targeted indications. The drug-related side effects could also affect patient recruitment or the ability of enrolled patients to complete the trial or result in potential product liability claims. In addition, data may emerge, from confirmatory or other post-marketing studies, or from pharmacovigilance reporting, as products are used more widely, or for a longer duration, after approval that may affect the commercial potential of our products. Any of these occurrences may harm our business, financial condition and prospects significantly.</w:t>
      </w:r>
    </w:p>
    <w:p>
      <w:pPr>
        <w:spacing w:after="0" w:line="188"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Many compounds that initially showed promise in early-stage testing have later been found to cause side effects that prevented further development of the compound. Further, early clinical trials by their nature utilize a small sample of the potential patient population. With a limited number of patients and limited duration of exposure, rare and serious side effects of our drug candidates may only be uncovered when a significantly larger number of patients are exposed to the drug candidate in Phase 3 or registration-directed trials or when the drug candidate is on the market. If any of our product candidates cause unacceptable adverse events in clinical trials, we may not be able to obtain marketing approval and generate revenues from its sale, or even if approved for sale may lack differentiation from competitive products, which could have a material adverse impact on our business and operations.</w:t>
      </w:r>
    </w:p>
    <w:p>
      <w:pPr>
        <w:spacing w:after="0" w:line="192"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Many of our clinical studies have involved combinations of UKONIQ, which was recently withdrawn from the market, and ublituximab in hematologic conditions, which may cause unforeseen toxicities, or impact the severity, duration, and incidence of adverse events observed compared to those seen in the single-agent studies of these agents. With multi-drug combinations, it is often difficult to interpret or properly assign attribution of an adverse event to any one particular agent, introducing the risk that toxicity caused by a component of a combination regimen could have a material adverse impact on the development or regulatory review of the other component of the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product candidates we may advance through clinical development are subject to extensive regulation, which can be costly and time consuming, cause unanticipated delays or prevent the receipt of the required approvals.</w:t>
      </w:r>
    </w:p>
    <w:p>
      <w:pPr>
        <w:spacing w:after="0" w:line="15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clinical development, manufacturing, labeling, packaging, storage, record-keeping, advertising, promotion, import, export, marketing and distribution, and pharmacovigilance and adverse event reporting of our product candidates or any future product candidates are subject to extensive regulation by the FDA in the United States and by comparable regulatory authorities worldwide. In the United States, we are not permitted to market a product candidate until we receive approval of a BLA or NDA from the FDA. The process of obtaining a BLA or NDA approval is expensive, often takes many years, and can vary substantially based upon the type, complexity and novelty of the products involved. In addition, approval policies or regulations may change over time. If we fail to gain approval to commercialize our product candidates from the FDA and other foreign regulatory authorities in the timelines we project or at all, we may be unable to generate the revenues that we may project or generate revenues at levels sufficient to sustain our business.</w:t>
      </w:r>
    </w:p>
    <w:p>
      <w:pPr>
        <w:spacing w:after="0" w:line="188"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FDA and foreign regulatory authorities have substantial discretion in the pharmaceutical product approval process, including the ability to delay, limit or deny approval of a product candidate for many reasons. During the regulatory review process, the FDA or other regulatory authorities may disagree with or not accept our clinical trial design, may have questions about the potential impact of our study design on conclusions that can be drawn from the data, may interpret results differently than we do, may apply the results of our trials in one disease to the review of a regulatory application for a different disease even if the doses and therapeutic areas are distinct, and may change its view on the criteria that must be met for approval. This could happen even for a protocol that has received a SPA. For example, in May 2022, the FDA extended the PDUFA goal date to December 28, 2022, for the BLA for ublituximab as a treatment for patients with RMS. There is no guarantee that the FDA will not further delay, limit or deny approval of a product candidate.</w:t>
      </w:r>
    </w:p>
    <w:p>
      <w:pPr>
        <w:spacing w:after="0" w:line="194"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Furthermore, some of our clinical trials may be conducted as open-label studies, meaning that trial participants, investigators, site staff, some employees of our CROs, and our field-level employees (e.g., clinical research associates and monitors), among others, have knowledge of treatment arm assignments on a patient-level, which has the potential to introduce bias into study conduct. Further, even when our clinical trials are double-blind, double-dummy studies, unblinding of treatment arm assignment may occur from time to time, for example, on the occurrence of unexpected safety events which may necessitate understanding of study treatment. While we believe we have put in place adequate firewalls to prevent inappropriate unblinding of study data consistent with standard industry practice for these types of studies, no assurance can be given that issues related to study conduct will not be raised. The FDA may raise issues of safety, study conduct, bias, deviation from the protocol, statistical power, patient completion rates, changes in scientific or medical parameters or internal inconsistencies in the study design or data prior to making its final decision. The FDA may also seek the guidance of an outside advisory committee in evaluating (among other things) clinical data and safety and effectiveness considerations prior to making its final decision. These issues could cause a delay in the FDA’s review, lead the FDA to deny approval, or lead the Company to withdraw a regulatory application, as was the case with the BLA and sNDA for U2 in CLL and SLL.</w:t>
      </w:r>
    </w:p>
    <w:p>
      <w:pPr>
        <w:spacing w:after="0" w:line="197"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Other reasons that the FDA or regulatory authorities around the world may delay, limit or deny approval of a product candidate, include:</w:t>
      </w:r>
    </w:p>
    <w:p>
      <w:pPr>
        <w:spacing w:after="0" w:line="162" w:lineRule="exact"/>
        <w:rPr>
          <w:sz w:val="20"/>
          <w:szCs w:val="20"/>
          <w:color w:val="auto"/>
        </w:rPr>
      </w:pPr>
    </w:p>
    <w:p>
      <w:pPr>
        <w:ind w:left="1040" w:right="79" w:hanging="315"/>
        <w:spacing w:after="0" w:line="261"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or comparable foreign regulatory authorities that a product candidate is tolerable and effective for an indication;</w:t>
      </w:r>
    </w:p>
    <w:p>
      <w:pPr>
        <w:ind w:left="1040" w:right="79" w:hanging="315"/>
        <w:spacing w:after="0" w:line="250"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not accept clinical data from trials conducted by individual investigators or in countries where the standard of care is potentially different from that of the United States;</w:t>
      </w:r>
    </w:p>
    <w:p>
      <w:pPr>
        <w:ind w:left="1040" w:right="79" w:hanging="315"/>
        <w:spacing w:after="0" w:line="250"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or comparable foreign regulatory authorities for approval;</w:t>
      </w:r>
    </w:p>
    <w:p>
      <w:pPr>
        <w:ind w:left="1040" w:right="79" w:hanging="315"/>
        <w:spacing w:after="0" w:line="250"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a product candidate’s clinical and other benefits outweigh its safety risks;</w:t>
      </w:r>
    </w:p>
    <w:p>
      <w:pPr>
        <w:ind w:left="1040" w:right="79" w:hanging="315"/>
        <w:spacing w:after="0" w:line="250"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interpretation of data from preclinical studies and/or clinical trials;</w:t>
      </w:r>
    </w:p>
    <w:p>
      <w:pPr>
        <w:jc w:val="both"/>
        <w:ind w:left="1040" w:right="79" w:hanging="315"/>
        <w:spacing w:after="0" w:line="255"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our product candidates may not be sufficient to support the submission of a BLA, NDA or other marketing authorization submission to obtain regulatory approval in the United States or elsewhere;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040" w:right="79" w:hanging="315"/>
        <w:spacing w:after="0" w:line="257"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not approve the manufacturing processes or facilities of third-party manufacturers with which we or our collaborators currently contract for clinical supplies and plan to contract for commercial supplies;</w:t>
      </w:r>
    </w:p>
    <w:p>
      <w:pPr>
        <w:spacing w:after="0" w:line="1" w:lineRule="exact"/>
        <w:rPr>
          <w:rFonts w:ascii="Times New Roman" w:cs="Times New Roman" w:eastAsia="Times New Roman" w:hAnsi="Times New Roman"/>
          <w:sz w:val="18"/>
          <w:szCs w:val="18"/>
          <w:color w:val="auto"/>
        </w:rPr>
      </w:pPr>
    </w:p>
    <w:p>
      <w:pPr>
        <w:jc w:val="both"/>
        <w:ind w:left="1040" w:right="79" w:hanging="315"/>
        <w:spacing w:after="0" w:line="250"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course of review, the FDA or foreign regulatory authorities may raise issues and request or require additional preclinical, clinical, chemistry, manufacturing, and control (CMC), or other data and information, and the development and provision of these data and information may be time consuming. We may not be able to generate the data within the time period necessary to obtain approval within the established regulatory review timelines, such as by a PDUFA goal date or at all to satisfy the FDA or foreign regulatory authorities;</w:t>
      </w:r>
    </w:p>
    <w:p>
      <w:pPr>
        <w:spacing w:after="0" w:line="1" w:lineRule="exact"/>
        <w:rPr>
          <w:rFonts w:ascii="Times New Roman" w:cs="Times New Roman" w:eastAsia="Times New Roman" w:hAnsi="Times New Roman"/>
          <w:sz w:val="18"/>
          <w:szCs w:val="18"/>
          <w:color w:val="auto"/>
        </w:rPr>
      </w:pPr>
    </w:p>
    <w:p>
      <w:pPr>
        <w:ind w:left="1040" w:right="79" w:hanging="315"/>
        <w:spacing w:after="0" w:line="250"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comparable foreign regulatory authorities may significantly change in a manner rendering our clinical data insufficient for approval; or</w:t>
      </w:r>
    </w:p>
    <w:p>
      <w:pPr>
        <w:jc w:val="both"/>
        <w:ind w:left="1040" w:right="79" w:hanging="315"/>
        <w:spacing w:after="0" w:line="255"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or delays in the operations of the FDA and foreign regulatory authorities as a result of global health crises, such as the COVID-19 pandemic, international conflict, or national disasters may negatively impact review, inspection, and approval timelines.</w:t>
      </w:r>
    </w:p>
    <w:p>
      <w:pPr>
        <w:spacing w:after="0" w:line="186"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Even if we succeed in obtaining regulatory approval for any of our product candidates, the FDA may require post-marketing studies, including additional clinical trials such as those necessary to assess drug interactions or activity of a product in specific populations, which may be costly. The outcomes of post-marketing studies may impact product labeling and therefore, there can be no guarantee that the product attributes contained in the initial prescribing information will be maintained as future studies produce data. This includes, without limitation, additional results from studies evaluating drug-drug interactions and patients with certain comorbidities that may restrict the use of an approved product in select populations or introduce dose modifications or contraindicated concomitant medications that have the potential to impact the utility of a product or its perceived product profile among prescribers. Post-marketing studies may also lead to the introduction of new warnings in the product prescribing information. The FDA may require adoption of a REMS program requiring prescriber training or a post-marketing registry or may restrict the marketing and dissemination of our products. Finally, failure to complete a post-marketing commitment by the applicable post-marketing milestone date may lead to withdrawal of the product or indication. Any requirements to conduct post-approval studies or fulfill special post-approval requirements could impact our ability to commercialize our product candidates and increase our costs.</w:t>
      </w:r>
    </w:p>
    <w:p>
      <w:pPr>
        <w:spacing w:after="0" w:line="183" w:lineRule="exact"/>
        <w:rPr>
          <w:sz w:val="20"/>
          <w:szCs w:val="20"/>
          <w:color w:val="auto"/>
        </w:rPr>
      </w:pPr>
    </w:p>
    <w:p>
      <w:pPr>
        <w:jc w:val="both"/>
        <w:ind w:left="60" w:right="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Because results of preclinical studies and early clinical trials are not necessarily predictive of future results, any product candidate we advance may not have favorable results in later clinical trials or receive regulatory approval. Moreover, interim, “top-line,” and preliminary data from our clinical trials that we announce or publish may change, or the perceived product profile may be negatively impacted, as more patient data or additional endpoints (including efficacy and safety) are analyzed.</w:t>
      </w:r>
    </w:p>
    <w:p>
      <w:pPr>
        <w:spacing w:after="0" w:line="116"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Pharmaceutical development has inherent risks. The outcome of preclinical development testing and early clinical trials may not be predictive of the outcome of later clinical trials, and interim results of a clinical trial do not necessarily predict final results. Moreover, preclinical and clinical data are often susceptible to varying interpretations and analyses, and many companies have believed their product candidates performed satisfactorily in preclinical studies and clinical trials have nonetheless failed to obtain marketing approval. Once a product candidate has displayed sufficient preclinical data to warrant clinical investigation, we will be required to demonstrate, through adequate and well-controlled clinical trials, that our product candidates are effective with a favorable benefit-risk profile for use in populations for their target indications before we can seek regulatory approvals for their commercial sale. Many drug candidates fail in the early stages of clinical development for safety and tolerability issues or for insufficient clinical activity, despite promising pre-clinical results. Accordingly, no assurance can be made that a safe and efficacious dose can be found for these compounds or that they will ever enter into advanced clinical trials alone or in combination with other product candidates. Moreover, success in early clinical trials does not mean that later clinical trials will be successful because product candidates in later-stage clinical trials may fail to demonstrate sufficient safety or efficacy despite having progressed through initial clinical testing. Companies frequently experience significant setbacks in advanced clinical trials, even after earlier clinical trials have shown promising results. There is an extremely high rate of failure of pharmaceutical candidates proceeding through clinical trials.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Individually reported outcomes of patients treated in clinical trials may not be representative of the entire population of treated patients in such studies. In addition, larger scale Phase 3 studies, which are often conducted internationally, are inherently subject to increased operational risks compared to earlier stage studies, including the risk that the results could vary on a region to region or country to country basis, which could materially adversely affect the outcome of the study or the opinion of the validity of the study results by applicable regulatory agencies.</w:t>
      </w:r>
    </w:p>
    <w:p>
      <w:pPr>
        <w:spacing w:after="0" w:line="170"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From time to time, we may publicly disclose top-line or preliminary data from our clinical trials, which is based on a preliminary analysis of available data, and the results and related findings and conclusions are subject to change following a more comprehensive review of the data related to the particular study or trial. We also make assumptions, estimations, calculations and conclusions as part of our analyses of such data, and we may not have received or had the opportunity to fully and carefully evaluate all data from the particular study or trial, including all endpoints and safety data. As a result, top-line or preliminary results that we report may differ from future results of the same studies, or different conclusions or considerations may qualify such results once additional data have been received and fully evaluated. Top-line or preliminary data also remain subject to audit and verification procedures that may result in the final data being materially different from the topline, interim, or preliminary data we previously published. When providing top-line results, we may disclose the primary endpoint of a study before all secondary endpoints have been fully analyzed. A positive primary endpoint does not translate to all, or any, secondary endpoints being met. As a result, top-line and preliminary data should be viewed with caution until the final data are available, including data from the full safety analysis and the final analysis of all endpoints.</w:t>
      </w:r>
    </w:p>
    <w:p>
      <w:pPr>
        <w:spacing w:after="0" w:line="187"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Further, 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For example, time-to-event based endpoints such as duration of response (DOR) and progression-free survival (PFS) have the potential to change with longer follow-up. In addition, as patients continue on therapy, there can be no assurance given that the final safety data from studies, once fully analyzed, will be consistent with prior safety data presented, will be differentiated from other similar agents in the same class, will support continued development, or will be favorable enough to support regulatory approvals for the indications studied. 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The information we choose to publicly disclose regarding a particular study or clinical trial is based on what is typically extensive information, and regulators or others may not agree with what we determine is material or otherwise appropriate information to include in our disclosure. If the interim, top-line or preliminary data that we report differ from final results, or if others, including regulatory authorities, disagree with the conclusions we have reached, our ability to obtain approval for, or successfully commercialize, our product candidates may be harmed, which could harm our business, operating results, prospects or financial condition.</w:t>
      </w:r>
    </w:p>
    <w:p>
      <w:pPr>
        <w:spacing w:after="0" w:line="195"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Many of the results reported in our early clinical trials rely on local investigator-assessed efficacy outcomes which may be subject to greater variability or subjectivity than results assessed in a blinded, independent, centrally reviewed manner, often required of later phase, adequate and well-controlled registration-directed clinical trials. If the results from our registration-directed trials are different from the results found in the earlier studies, we may need to terminate or revise our clinical development plan, which could extend the time for conducting our development program and could have a material adverse effect on our business.</w:t>
      </w:r>
    </w:p>
    <w:p>
      <w:pPr>
        <w:spacing w:after="0" w:line="183"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Breakthrough Therapy or Fast Track designation by the FDA may not actually lead to a faster development or regulatory review or approval process.</w:t>
      </w:r>
    </w:p>
    <w:p>
      <w:pPr>
        <w:spacing w:after="0" w:line="15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We may seek Breakthrough Therapy or Fast Track designation for some of our drug candidates. If a drug is intended for the treatment of a serious or life-threatening condition, and the drug demonstrates the potential to address an unmet medical need for this condition, the Sponsor may apply for Fast Track designation or Breakthrough Therapy designation, the latter of which has more significant requirements. The FDA has broad discretion whether or not to grant these designations, so even if we believe a particular drug candidate is eligible for such a designation, we cannot be sure that the FDA would decide to grant it. Even if we receive Breakthrough Therapy or Fast Track designation for a drug candidate, we may not experience a faster development process, review or approval compared to conventional FDA</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procedures. A drug that receives Fast Track designation is eligible for more frequent interactions with the FDA, priority review if relevant criteria are met, and rolling submission of the BLA or NDA. Even if rolling review is allowed, there is no guarantee that the FDA will have commenced or completed review of the BLA or NDA modules submitted earlier in the rolling review process. Neither Breakthrough Therapy nor Fast Track designation guarantees Priority Review of an NDA or BLA application.</w:t>
      </w:r>
    </w:p>
    <w:p>
      <w:pPr>
        <w:spacing w:after="0" w:line="179"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received orphan drug designation for some of our drug candidates for specified indications, and we may seek additional orphan drug designations for other indications and some of our other drug candidates. However, we may be unsuccessful in obtaining or may be unable to maintain the benefits associated with orphan drug designation, including the potential for market exclusivity.</w:t>
      </w:r>
    </w:p>
    <w:p>
      <w:pPr>
        <w:spacing w:after="0" w:line="180"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Regulatory authorities in some jurisdictions, including the United States, the European Union, and the United Kingdom, may designate drugs for relatively small patient populations as orphan drugs. Under the U.S. Orphan Drug Act, the FDA may designate a drug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the United States, orphan drug designation entitles a party to financial incentives, such as opportunities for grant funding towards clinical trial costs, tax advantages, and user-fee waivers. Orphan drug designations are required to be maintained through annual reporting and are subject to re-evaluation. Based on the evolving data and development plans for our product candidates and changing incidence and prevalence rates for our intended indications, there can be no guarantee that we will be able to successfully maintain orphan drug designations that we have for certain of our drug candidates or that we will be successful in obtaining orphan designation for other drug candidates in the future.</w:t>
      </w:r>
    </w:p>
    <w:p>
      <w:pPr>
        <w:spacing w:after="0" w:line="190"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Generally, if a product with an orphan drug designation subsequently receives the first marketing approval for the indication for which it has such designation, the product is entitled to a period of marketing exclusivity, which precludes FDA or EMA from approving another marketing application for the same drug or biologic for that time period. Even if we obtain orphan drug exclusivity for a drug, that exclusivity may not effectively protect the designated drug from competition because different drugs can be approved for the same condition. Even after an orphan drug is approved, the FDA can subsequently approve another product that meets the definition of a “same drug” under 21 C.F.R. 316.3 for the same condition if the FDA concludes that the later product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drug designation. Moreover, orphan drug exclusive marketing rights in the United States may be lost if the FDA exercises its authority to revoke orphan drug designation, which it may do on a variety of grounds, including that the request contained an untrue statement of material fact or omitted material information, or that the drug in fact was not eligible for orphan drug designation. Orphan drug designation neither shortens the development time or regulatory review time of a drug nor gives the drug any advantage in the regulatory review or approval process. While we intend to seek additional orphan drug designation for our other drug candidates, we may never receive such designations. Even if we receive orphan drug designation for any of our drug candidates, there is no guarantee that we will enjoy the benefits of those designations or obtain orphan drug exclusivity. In addition, the U.S. Orphan Drug Act may be subject to amendments that could reduce the period of marketing exclusivity or change the qualifications for orphan drug designation, which could adversely impact our products or product candidates that have or may be eligible for orphan drug designation.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conducting clinical trials and anticipate conducting additional clinical trials for product candidates at sites outside the United States, and the FDA may not accept data from trials conducted in such locations or clinical trial activities in such locations may be impacted by political conditions, including international conflict.</w:t>
      </w:r>
    </w:p>
    <w:p>
      <w:pPr>
        <w:spacing w:after="0" w:line="175"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Many of our Phase 3 and registration-directed clinical trials across our multiple sclerosis and oncology programs, including ULTIMATE I and II and related extension studies, utilize international clinical research sites. We work with what we believe are reputable CROs and clinical research sites in conducting our studies internationally. Nevertheless, there can be heightened challenges to monitoring and oversight of global clinical trials and sponsors are subject to the risk that fraud, misconduct, incompetence, unexpected patient variability and other issues affecting the reliability, quality, and outcome of studies. The geographic variability of the COVID-19 pandemic also introduces increased risk in the conduct of clinical research in certain countries and territories where vaccination rates and available standard of care anti-viral therapy varies significantly. Such problems, if they were to occur, could negatively impact trial results, and depending on the circumstances and scope of concerns could potentially even prevent a trial from being useful or acceptable for regulatory approval. If such events were to occur with respect to any of our trials (and in particular with respect to registration-directed studies), they would have a substantial negative impact on our business.</w:t>
      </w:r>
    </w:p>
    <w:p>
      <w:pPr>
        <w:spacing w:after="0" w:line="192"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In addition, our clinical studies with sites outside the United States may be adversely impacted by international conflict. For example, in February 2022, Russia initiated a full-scale military invasion of Ukraine. In one or both countries, as well as neighboring countries that may be impacted by this conflict (e.g. Poland, Slovakia, Belarus, Georgia), we have clinical trial sites for our RMS and/or oncology programs. While no clinical trials are actively enrolling patients in these territories, there are a number of trial subjects in long-term treatment and follow-up. The political and physical conditions in Russia and Ukraine have disrupted our ability to supply investigational drug product to impacted sites; impacted patients’ ability to partake in our clinical trials and our ability to gather data on those patients, including long-term follow-up data; and resulted in suspension of clinical trial activities at impacted sites. While we do not believe this conflict will have a material impact on our current regulatory submission for approval of ublituximab in RMS or our overall business, given the rapidly evolving situation and the potential to expand beyond Ukraine and Russia, the full impact of the conflict remains uncertain.</w:t>
      </w:r>
    </w:p>
    <w:p>
      <w:pPr>
        <w:spacing w:after="0" w:line="188"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Approval of one of our product candidates in the United States would not assure approval of that candidate in foreign jurisdictions.</w:t>
      </w:r>
    </w:p>
    <w:p>
      <w:pPr>
        <w:spacing w:after="0" w:line="15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We intend to seek product approvals in certain countries outside of the United States. The approval procedures for pharmaceuticals vary among countries and obtaining approval in one jurisdiction does not guarantee approval in another jurisdiction. For example, even if the FDA grants approval of a product candidate, comparable regulatory authorities in foreign jurisdictions may not approve the same product candidate or may require additional evidence for approval. The time required to obtain approval in other countries might differ from that required to obtain FDA approval. In many countries outside the United States, the product must be approved for reimbursement before it can be marketed. As a general matter, however, the foreign regulatory approval process involves a lengthy and challenging process with risks similar or identical to the risks associated with the FDA approval discussed above. Therefore, we cannot guarantee that we, or future collaborators, will obtain approvals of our product candidates in any foreign jurisdiction on a timely basis, if at all. Failure to receive approval in certain foreign markets could significantly impact the full market potential of our product candidates and may negatively impact the regulatory process in other countries. Furthermore, if we obtain regulatory approval for a product candidate in a foreign jurisdiction, we will be subject to the burden of complying with complex regulatory, legal, and other requirements that could be costly and could subject us to additional risks and uncertainties.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product candidates still under development and are also preparing for commercial manufacturing activities, and as such clinical and commercial manufacturing site additions, scale-up and process improvements implemented in the production of those product candidates may affect their ultimate activity or function.</w:t>
      </w:r>
    </w:p>
    <w:p>
      <w:pPr>
        <w:spacing w:after="0" w:line="175"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Many of our product candidates are currently manufactured in relatively small batches for use in pre-clinical and clinical studies. Process improvements implemented to date have changed, and process improvements in the future may change, the activity and/or analytical profile of the product candidates, which may affect the safety and efficacy of the products. For instance, the manufacturing process for ublituximab has undergone several process improvements during the clinical trial process which have resulted in analytical differences between the materials. Such process improvements continued during the conduct of the Phase 3 study and materials from more than one manufacturing process were utilized in the Phase 3 ULTIMATE I and II trials. While analytical differences exist between those materials, we do not believe the differences will alter the safety or efficacy profile of ublituximab. However, it is possible that additional and/or different adverse events may appear among patients exposed to drug product manufactured under one process compared to the other, or that adverse events may arise with greater frequency, intensity and duration among patients exposed to drug product manufactured under one process compared to the other. Additionally, the efficacy of ublituximab may also be negatively impacted by such process changes. Given the uncertainty of the impact on product specifications, quality and performance, process improvements made during Phase 3 development carry a higher level of risk than those made prior to Phase 3 development. If there are significant differences in product attributes between the two materials, we may need to conduct additional analyses of the Phase 3 study(ies) to confirm that there is no difference in safety or efficacy between the product made by each process in order to allow us to utilize data from all enrolled patients, as well as be able to integrate clinical safety and/or efficacy results across studies to support any potential marketing application. There can be no assurance given that such analyses will be successful in demonstrating that there are no clinical differences between these drug products, which could substantially impact the approvability of ublituximab based on the results of Ultimate I and II. In such circumstances, that would have a material adverse effect on the Company.</w:t>
      </w:r>
    </w:p>
    <w:p>
      <w:pPr>
        <w:spacing w:after="0" w:line="18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Further, no assurance can be given that the material manufactured from any future optimized processes, if any, for ublituximab or any of our product candidates will perform comparably to the product candidates as manufactured to date which could result in an unexpected safety or efficacy outcome as compared to the data published or presented to date. Similarly, following each round of process improvements, if any, for any of our drug candidates, future clinical trial results conducted with the new material will be subject to uncertainty related to the effects, if any, of those additional process improvements that were made.</w:t>
      </w:r>
    </w:p>
    <w:p>
      <w:pPr>
        <w:spacing w:after="0" w:line="187"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In addition, as we move closer to potential commercialization of ublituximab, we are scaling-up production to ensure adequate commercial supply. This is an expensive process and there can be no assurance given that such scale-up will be successful in providing pharmaceutical product that is of sufficient quantity, or of a quality that is consistent with our previously established specifications, or that meets the requirements set by regulatory agencies under which we may seek approval of our product candidates. If scale-up were not to succeed, our ability to supply our anticipated market at a reasonable cost of goods would be negatively impacted. In such an event, that would have a material adverse effect on the Company. Scale up could also require additional process improvement that might be required to accommodate new and larger equipment utilized in the scaled-up process. If that were to occur and we could not demonstrate to the FDA that the materials were analytically substantially similar, we might be required to run additional clinical testing to demonstrate that they are substantially similar. That would entail a significant delay and significant increase in total cost, all of which would have a material adverse effect on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Commercialization</w:t>
      </w:r>
    </w:p>
    <w:p>
      <w:pPr>
        <w:spacing w:after="0" w:line="198"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obtain FDA approval for a product candidate and do not achieve broad market acceptance among physicians, patients, healthcare payors, and the medical community, the revenues that we generate from product sales will be limited.</w:t>
      </w:r>
    </w:p>
    <w:p>
      <w:pPr>
        <w:spacing w:after="0" w:line="134" w:lineRule="exact"/>
        <w:rPr>
          <w:sz w:val="20"/>
          <w:szCs w:val="20"/>
          <w:color w:val="auto"/>
        </w:rPr>
      </w:pPr>
    </w:p>
    <w:p>
      <w:pPr>
        <w:jc w:val="both"/>
        <w:ind w:left="60" w:right="59" w:firstLine="492"/>
        <w:spacing w:after="0" w:line="255" w:lineRule="auto"/>
        <w:rPr>
          <w:sz w:val="20"/>
          <w:szCs w:val="20"/>
          <w:color w:val="auto"/>
        </w:rPr>
      </w:pPr>
      <w:r>
        <w:rPr>
          <w:rFonts w:ascii="Times New Roman" w:cs="Times New Roman" w:eastAsia="Times New Roman" w:hAnsi="Times New Roman"/>
          <w:sz w:val="18"/>
          <w:szCs w:val="18"/>
          <w:color w:val="auto"/>
        </w:rPr>
        <w:t>We have limited experience as a commercial company and our ability to successfully overcome the risks associated with commercializing drugs in the biopharmaceutical industry, including the risk that our products do not achieve an adequate level of acceptance, remains uncertain. Our product candidates, if approved, may not gain market acceptance by physicians, patients, third-party payors and others in the healthcare community and, as a result, we may not generate significant revenues or meet our revenue projections or guidance and may not become profitable. The degree of market acceptance of any product candidates for which we may receive approval, including ublituximab in RMS, will depend on a number of factors, including:</w:t>
      </w:r>
    </w:p>
    <w:p>
      <w:pPr>
        <w:spacing w:after="0" w:line="148" w:lineRule="exact"/>
        <w:rPr>
          <w:sz w:val="20"/>
          <w:szCs w:val="20"/>
          <w:color w:val="auto"/>
        </w:rPr>
      </w:pPr>
    </w:p>
    <w:p>
      <w:pPr>
        <w:ind w:left="1040" w:right="79" w:hanging="315"/>
        <w:spacing w:after="0" w:line="261"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our receipt of marketing approvals, the terms of such approvals, and the countries in which such approvals are obtained;</w:t>
      </w:r>
    </w:p>
    <w:p>
      <w:pPr>
        <w:ind w:left="1040" w:right="79" w:hanging="315"/>
        <w:spacing w:after="0" w:line="250"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safety and tolerability as demonstrated in clinical trials and as compared to alternative treatments;</w:t>
      </w:r>
    </w:p>
    <w:p>
      <w:pPr>
        <w:ind w:left="1040" w:hanging="315"/>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any of our product candidates as well as competitive products;</w:t>
      </w:r>
    </w:p>
    <w:p>
      <w:pPr>
        <w:spacing w:after="0" w:line="9" w:lineRule="exact"/>
        <w:rPr>
          <w:rFonts w:ascii="Times New Roman" w:cs="Times New Roman" w:eastAsia="Times New Roman" w:hAnsi="Times New Roman"/>
          <w:sz w:val="18"/>
          <w:szCs w:val="18"/>
          <w:color w:val="auto"/>
        </w:rPr>
      </w:pPr>
    </w:p>
    <w:p>
      <w:pPr>
        <w:ind w:left="1040" w:right="79" w:hanging="315"/>
        <w:spacing w:after="0" w:line="250"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indications for which our products are approved, and other aspects of the approved labeling for such products;</w:t>
      </w:r>
    </w:p>
    <w:p>
      <w:pPr>
        <w:ind w:left="1040" w:right="79" w:hanging="315"/>
        <w:spacing w:after="0" w:line="250"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by physicians, major operators of neurology clinics, and patients of our products as safe, tolerable and effective treatments;</w:t>
      </w:r>
    </w:p>
    <w:p>
      <w:pPr>
        <w:ind w:left="1040" w:hanging="315"/>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or disadvantages of our products compared to alternative treatments;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our products for sale at competitive prices;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adequate reimbursement by third-party payors and government authorities;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patient cost-sharing obligations, including copays and deductibles;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by government authorities for our products;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side effects and adverse events;</w:t>
      </w:r>
    </w:p>
    <w:p>
      <w:pPr>
        <w:spacing w:after="0" w:line="9" w:lineRule="exact"/>
        <w:rPr>
          <w:rFonts w:ascii="Times New Roman" w:cs="Times New Roman" w:eastAsia="Times New Roman" w:hAnsi="Times New Roman"/>
          <w:sz w:val="18"/>
          <w:szCs w:val="18"/>
          <w:color w:val="auto"/>
        </w:rPr>
      </w:pPr>
    </w:p>
    <w:p>
      <w:pPr>
        <w:ind w:left="1040" w:right="79" w:hanging="315"/>
        <w:spacing w:after="0" w:line="250"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ind w:left="1040" w:hanging="315"/>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and marketing efforts;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protecting our rights in our intellectual property portfolio;</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 reliable supply of our products that meets market demand; and</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favorable or unfavorable publicity relating to our products or relating to the Company.</w:t>
      </w:r>
    </w:p>
    <w:p>
      <w:pPr>
        <w:spacing w:after="0" w:line="207"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addition, the COVID-19 pandemic could impact commercialization of ublituximab in RMS. Patients and healthcare providers have raised concerns that immunosuppressive products like anti-CD20 antibodies and other B-cell targeted agents may increase the risk of acquiring COVID-19 or lead to more severe complications or outcomes upon infection, including death. These concerns may impact the commercial potential for ublituximab and other immunosuppressive products that we have in development. The length of time and full extent to which the COVID-19 pandemic directly or indirectly impacts our commercialization efforts depends on future developments that are highly uncertain, subject to change and are difficult to predict. For a discussion of additional pandemic-related risks to our business, see below under the heading “</w:t>
      </w:r>
      <w:r>
        <w:rPr>
          <w:rFonts w:ascii="Times New Roman" w:cs="Times New Roman" w:eastAsia="Times New Roman" w:hAnsi="Times New Roman"/>
          <w:sz w:val="18"/>
          <w:szCs w:val="18"/>
          <w:b w:val="1"/>
          <w:bCs w:val="1"/>
          <w:u w:val="single" w:color="auto"/>
          <w:color w:val="auto"/>
        </w:rPr>
        <w:t>Risks Related to the COVID-19 Pandemic.</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expand our commercialization operations, we may not be successful in commercializing ublituximab or any other product candidate if and when they are approved, and we may not be able to generate any revenue.</w:t>
      </w:r>
    </w:p>
    <w:p>
      <w:pPr>
        <w:spacing w:after="0" w:line="15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We have made and continue to make significant investments in our commercial organization and infrastructure. We built processes and systems to support the commercialization of UKONIQ in the U.S. Although we recently withdrew UKONIQ from sale, we are using and expanding upon many of those systems and processes to prepare for the potential commercial launch of ublituximab in RMS prior to knowing whether or when FDA will approve the application. It is possible that FDA approval will be delayed or not received at all. A significant delay in regulatory approval will cause us to incur delays that may impede or significantly delay our ability to generate revenue while incurring significant expenses, which would have a material adverse effect on the Company.</w:t>
      </w:r>
    </w:p>
    <w:p>
      <w:pPr>
        <w:spacing w:after="0" w:line="18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There are risks involved with establishing our own commercialization capabilities. For example, recruiting and training a commercialization team is both expensive and time-consuming, and could potentially delay any drug launch. If the commercial launch of a product candidate for which we establish commercialization capabilities is delayed or does not occur for any reason, we would have prematurely or unnecessarily incurred these commercialization expenses. This may be costly, and our investment would be lost if we cannot retain or reposition our commercialization personnel. For example, we developed commercialization capabilities to support the launch of UKONIQ in February 2021 and prepared for the potential launch of U2 in CLL and SLL following the PDUFA goal date in June 2022. As a result of the decision to withdraw the BLA and sNDA for U2 in CLL and SLL and withdraw UKONIQ from sale in the U.S., we have had to dismantle or reposition our oncology commercialization team and have lost much of the investment in personnel, oncology market research, and educational materials and programs.</w:t>
      </w:r>
    </w:p>
    <w:p>
      <w:pPr>
        <w:spacing w:after="0" w:line="194"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Furthermore, the recent regulatory developments impacting our oncology commercialization efforts may make it difficult or delay our ability to recruit and retain qualified commercial and medical affairs personnel in MS. If we are unable to recruit and retain adequate numbers of effective personnel to support the launch of ublituximab in RMS, if approved, we may not be successful in marketing and selling the product or may be delayed in launching the product if and when approved.</w:t>
      </w:r>
    </w:p>
    <w:p>
      <w:pPr>
        <w:spacing w:after="0" w:line="183"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Additional factors that may inhibit our efforts to commercialize any products on our own and generate product revenues include:</w:t>
      </w:r>
    </w:p>
    <w:p>
      <w:pPr>
        <w:spacing w:after="0" w:line="162" w:lineRule="exact"/>
        <w:rPr>
          <w:sz w:val="20"/>
          <w:szCs w:val="20"/>
          <w:color w:val="auto"/>
        </w:rPr>
      </w:pPr>
    </w:p>
    <w:p>
      <w:pPr>
        <w:ind w:left="1040" w:right="79" w:hanging="315"/>
        <w:spacing w:after="0" w:line="261" w:lineRule="auto"/>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time associated with the initial and ongoing training of commercialization personnel on the applicable disease states, products, competitors, and legal and regulatory compliance matters;</w:t>
      </w:r>
    </w:p>
    <w:p>
      <w:pPr>
        <w:ind w:left="1040" w:right="79" w:hanging="315"/>
        <w:spacing w:after="0" w:line="250" w:lineRule="auto"/>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commercialization personnel to obtain access to physicians or to effectively provide education about any approved products;</w:t>
      </w:r>
    </w:p>
    <w:p>
      <w:pPr>
        <w:ind w:left="1040" w:right="79" w:hanging="315"/>
        <w:spacing w:after="0" w:line="250" w:lineRule="auto"/>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drugs to be offered by the Company, which may put us at a competitive disadvantage relative to companies with more extensive product lines;</w:t>
      </w:r>
    </w:p>
    <w:p>
      <w:pPr>
        <w:ind w:left="1040" w:right="79" w:hanging="315"/>
        <w:spacing w:after="0" w:line="250" w:lineRule="auto"/>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by third-party payors to deny reimbursement of or delay coverage decisions following approval of any product candidates;</w:t>
      </w:r>
    </w:p>
    <w:p>
      <w:pPr>
        <w:ind w:left="1040" w:right="79" w:hanging="315"/>
        <w:spacing w:after="0" w:line="250" w:lineRule="auto"/>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 healthcare compliance program including effective mechanisms for compliance monitoring;</w:t>
      </w:r>
    </w:p>
    <w:p>
      <w:pPr>
        <w:ind w:left="1040" w:hanging="315"/>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product availability for commercial sale following approval; and</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 commercialization organization.</w:t>
      </w:r>
    </w:p>
    <w:p>
      <w:pPr>
        <w:spacing w:after="0" w:line="207" w:lineRule="exact"/>
        <w:rPr>
          <w:sz w:val="20"/>
          <w:szCs w:val="20"/>
          <w:color w:val="auto"/>
        </w:rPr>
      </w:pPr>
    </w:p>
    <w:p>
      <w:pPr>
        <w:jc w:val="both"/>
        <w:ind w:left="60" w:right="59" w:firstLine="648"/>
        <w:spacing w:after="0" w:line="271" w:lineRule="auto"/>
        <w:rPr>
          <w:sz w:val="20"/>
          <w:szCs w:val="20"/>
          <w:color w:val="auto"/>
        </w:rPr>
      </w:pPr>
      <w:r>
        <w:rPr>
          <w:rFonts w:ascii="Times New Roman" w:cs="Times New Roman" w:eastAsia="Times New Roman" w:hAnsi="Times New Roman"/>
          <w:sz w:val="17"/>
          <w:szCs w:val="17"/>
          <w:color w:val="auto"/>
        </w:rPr>
        <w:t>In the future, we may choose to participate in sales activities with collaborators for some of our product candidates if and when they are approved. However, there are also risks with entering into these types of arrangements with third parties to perform sales, marketing and distribution services. For example, we may not be able to enter into such arrangements on terms that are favorable to us. Our drug revenues or the profitability of these drug revenues to us are likely to be lower than if we were to market and sell any product candidates that we develop ourselves. In addition, we likely will have little control over such third parties, and any of them may fail to devote the necessary resources and attention to sell and market our product candidates effectively. If we do not establish sales and marketing capabilities successfully, either on our own or in collaboration with third parties, we will not be successful in commercializing our drug candidates. Further, our business, results of operations, financial condition and prospects will be materially adversely affected.</w:t>
      </w:r>
    </w:p>
    <w:p>
      <w:pPr>
        <w:sectPr>
          <w:pgSz w:w="11900" w:h="16838" w:orient="portrait"/>
          <w:cols w:equalWidth="0" w:num="1">
            <w:col w:w="9019"/>
          </w:cols>
          <w:pgMar w:left="1440" w:top="513" w:right="1440" w:bottom="1440" w:gutter="0" w:footer="0" w:header="0"/>
        </w:sect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We may expand into certain European markets. Building and maintaining an infrastructure outside the United States is expensive, complex, resource intensive and time consuming. Like the situation described above in the U.S., we will need to establish our infrastructure in planning for potential commercial launches in Europe prior to knowing whether the regulatory authorities will accept or approve our regulatory submissions or approve any of our products at an appropriate price. In either case we will incur delays that may impede or significantly delay our ability to generate revenue in those international markets and at the same time will incur significant expenses. If this were to occur, it could materially and adversely affect our business operations and financial condition.</w:t>
      </w:r>
    </w:p>
    <w:p>
      <w:pPr>
        <w:spacing w:after="0" w:line="185"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incidence and prevalence for target patient populations of our product candidates, including ublituximab in RMS, have not been established with precision. If the market opportunities for our product candidates are smaller than we estimate or if any approval that we obtain is based on a narrower definition of the patient population, our revenue and ability to achieve profitability will be adversely affected.</w:t>
      </w:r>
    </w:p>
    <w:p>
      <w:pPr>
        <w:spacing w:after="0" w:line="180"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precise incidence and/or prevalence of RMS are unknown. Our projections of ublituximab in RMS, as well as the subset of these patients who have the potential to benefit from treatment with our products are based on estimates and our current knowledge and understanding of the disease. These estimates are typically based on one-on-one and group interactions with target physicians and other sources available at the time we make the estimates, including the scientific literature, healthcare utilization databases and market research. Although we believe our estimates are reasonable, many factors may limit their accuracy. For example, the sources we use to make the estimates may prove to be incorrect. Further, new studies may change the estimated incidence or prevalence of these diseases and the number of patients may turn out to be lower than expected.</w:t>
      </w:r>
    </w:p>
    <w:p>
      <w:pPr>
        <w:spacing w:after="0" w:line="192"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The total addressable market opportunity for ublituximab in RMS will ultimately depend upon, among other things, the scope of the final approved indication and other elements of the approved prescribing information, acceptance by the medical community, patient access, and drug pricing and reimbursement. The number of patients in major markets, including the number of addressable patients in those markets, may turn out to be lower than expected, patients may not be otherwise amenable to treatment with our drugs, new patients may become increasingly difficult to identify or gain access to, or patients and physicians may choose to utilize competitive products, all of which would adversely affect our results of operations and our business.</w:t>
      </w:r>
    </w:p>
    <w:p>
      <w:pPr>
        <w:spacing w:after="0" w:line="185"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limitations on the indicated uses or requirements to fulfill certain post-marketing requirements to the satisfaction of regulatory authorities for future products that we may bring to market.</w:t>
      </w:r>
    </w:p>
    <w:p>
      <w:pPr>
        <w:spacing w:after="0" w:line="15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Regulatory approvals for any of our product candidates may be subject to limitations on the approved indicated uses for which the product may be marketed or contain requirements for potentially costly post-marketing testing, including Phase IV clinical trials, and surveillance to monitor the safety and efficacy of the approved product candidate. In some cases, these studies are highly specialized in their design and conduct and are associated with considerable expenses, and based on the outcome, could result in further labeling restrictions that could impair or restrict the way in which we are able to market the product, or negatively impact the product’s overall clinical profile.</w:t>
      </w:r>
    </w:p>
    <w:p>
      <w:pPr>
        <w:spacing w:after="0" w:line="187"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In addition, with respect to any product candidate that the FDA or a comparable foreign regulatory authority approves, the manufacturing processes, labeling, packaging, distribution, import, export, adverse event reporting, storage, advertising, promotion and recordkeeping for the product will be subject to extensive and ongoing regulatory requirements. These requirements include submissions of safety and other post-marketing information and reports, registration, as well as continued compliance with current Good Manufacturing Practices (GMPs), with Good Clinical Practices (GCPs), for any clinical trials that we conduct post-approval, and with Good Laboratory Practices (GLPs), for any nonclinical studies. Later discovery of previously unknown problems with a product or with our third-party manufacturers or manufacturing processes, or failure to comply with regulatory requirements, may result in, among other things, restrictions on the marketing or manufacturing of the product, withdrawal of the product from the market, mandatory safety labeling changes or product recalls, suspension or revocation of product approvals, product seizure or detention, refusal to permit the import or export of products, and injunctions or the imposition of civil or criminal penalties, all of which would adversely affect our business, prospects and ability to achieve or sustain profitability.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of our product candidates for which we in the future obtain approval, may, after approval, be found to cause undesirable side effects that could result in significant negative consequences following commercialization.</w:t>
      </w:r>
    </w:p>
    <w:p>
      <w:pPr>
        <w:spacing w:after="0" w:line="15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As any future approved products are used more widely or for a longer duration after being brought to market, data may emerge from clinical studies, including confirmatory or other post-marketing studies, or from adverse event reporting, that may affect the commercial potential of our products. For example, as additional patients are exposed for longer durations to a product in the commercial and clinical settings, it is unknown whether greater frequency and/or severity of adverse events are likely to occur or whether an acceptable safety and tolerability profile will continue to be demonstrated. If we or others identify unexpected side effects, caused by our product candidates following introduction into the market, a number of potentially significant negative consequences could result, including:</w:t>
      </w:r>
    </w:p>
    <w:p>
      <w:pPr>
        <w:spacing w:after="0" w:line="189" w:lineRule="exact"/>
        <w:rPr>
          <w:sz w:val="20"/>
          <w:szCs w:val="20"/>
          <w:color w:val="auto"/>
        </w:rPr>
      </w:pPr>
    </w:p>
    <w:p>
      <w:pPr>
        <w:ind w:left="1040" w:hanging="315"/>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or limit the use (indication) of such products;</w:t>
      </w:r>
    </w:p>
    <w:p>
      <w:pPr>
        <w:spacing w:after="0" w:line="27" w:lineRule="exact"/>
        <w:rPr>
          <w:rFonts w:ascii="Times New Roman" w:cs="Times New Roman" w:eastAsia="Times New Roman" w:hAnsi="Times New Roman"/>
          <w:sz w:val="18"/>
          <w:szCs w:val="18"/>
          <w:color w:val="auto"/>
        </w:rPr>
      </w:pPr>
    </w:p>
    <w:p>
      <w:pPr>
        <w:jc w:val="both"/>
        <w:ind w:left="1040" w:right="79" w:hanging="315"/>
        <w:spacing w:after="0" w:line="250" w:lineRule="auto"/>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including warnings or boxed warnings, precautions, or contraindications that could diminish the usage of the product or otherwise limit the commercial success of the affected product;</w:t>
      </w:r>
    </w:p>
    <w:p>
      <w:pPr>
        <w:spacing w:after="0" w:line="1" w:lineRule="exact"/>
        <w:rPr>
          <w:rFonts w:ascii="Times New Roman" w:cs="Times New Roman" w:eastAsia="Times New Roman" w:hAnsi="Times New Roman"/>
          <w:sz w:val="18"/>
          <w:szCs w:val="18"/>
          <w:color w:val="auto"/>
        </w:rPr>
      </w:pPr>
    </w:p>
    <w:p>
      <w:pPr>
        <w:ind w:left="1040" w:right="79" w:hanging="315"/>
        <w:spacing w:after="0" w:line="250" w:lineRule="auto"/>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such drug candidates are distributed or administered, or to conduct additional clinical trials;</w:t>
      </w:r>
    </w:p>
    <w:p>
      <w:pPr>
        <w:jc w:val="both"/>
        <w:ind w:left="1040" w:right="79" w:hanging="315"/>
        <w:spacing w:after="0" w:line="250" w:lineRule="auto"/>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 Risk Evaluation and Mitigation Strategy (REMS), a plan to mitigate risks, which could include a Medication Guide, physician communication plans, or elements to assure safe use, such as restricted distribution methods, patient registries and other risk minimization tools;</w:t>
      </w:r>
    </w:p>
    <w:p>
      <w:pPr>
        <w:spacing w:after="0" w:line="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regulatory investigations and government enforcement actions;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decide to remove such drug candidates from the marketplace;</w:t>
      </w:r>
    </w:p>
    <w:p>
      <w:pPr>
        <w:spacing w:after="0" w:line="9" w:lineRule="exact"/>
        <w:rPr>
          <w:rFonts w:ascii="Times New Roman" w:cs="Times New Roman" w:eastAsia="Times New Roman" w:hAnsi="Times New Roman"/>
          <w:sz w:val="18"/>
          <w:szCs w:val="18"/>
          <w:color w:val="auto"/>
        </w:rPr>
      </w:pPr>
    </w:p>
    <w:p>
      <w:pPr>
        <w:ind w:left="1040" w:right="79" w:hanging="315"/>
        <w:spacing w:after="0" w:line="250" w:lineRule="auto"/>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enter into collaboration agreements on acceptable terms and execute on our business model;</w:t>
      </w:r>
    </w:p>
    <w:p>
      <w:pPr>
        <w:ind w:left="1040" w:hanging="315"/>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injury caused to individuals exposed to or taking our products; and</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0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Any one or a combination of these events could prevent us from maintaining regulatory approval and achieving or maintaining market acceptance of the affected product or could substantially increase the costs and expenses of commercializing the affected product, which in turn could significantly impact our ability to successfully commercialize our drug candidates and generate revenues.</w:t>
      </w:r>
    </w:p>
    <w:p>
      <w:pPr>
        <w:spacing w:after="0" w:line="176"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which may result in others commercializing drugs before or more successfully than we do resulting in the reduction or elimination of our commercial opportunity.</w:t>
      </w:r>
    </w:p>
    <w:p>
      <w:pPr>
        <w:spacing w:after="0" w:line="15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We operate in a highly competitive segment of the biotechnology and biopharmaceutical market. We face competition from numerous sources, including commercial pharmaceutical and biotechnology enterprises, academic institutions, government agencies, and private and public research institutions. Many of our competitors have significantly greater financial, product development, manufacturing and commercialization resources. Large pharmaceutical companies have extensive experience in clinical testing and obtaining regulatory approval for drugs. Additionally, many universities and private and public research institutes are active in research in the same diseases that we are, some in direct competition with us. We may also compete with these organizations to recruit scientists and clinical development personnel. Smaller or early-stage companies may also prove to be significant competitors, particularly through collaborative arrangements with large and established companies.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drugs that are more effective, have fewer or less severe side effects, are more convenient or are priced or contracted differently than any drugs that we or our collaborators may develop. Our competitors also may obtain FDA or other regulatory approval for their drugs more rapidly than we may obtain approval for ours, which could result in our competitors establishing a strong market position before we or our collaborators are able to enter the market. In a competitive environment, a company’s communications may also be subject to heightened scrutiny from regulators and competitors, under laws, regulations, and guidance about promotional communications (advertising and promotional labeling) and non-promotional communications (e.g., certain educational and scientific exchange); and with regard to potential competitor actions under federal law (the Lanham Act) and congruous state law, which protect businesses against the unfair competition of misleading advertising or labeling.</w:t>
      </w:r>
    </w:p>
    <w:p>
      <w:pPr>
        <w:spacing w:after="0" w:line="194"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key competitive factors affecting the success of all of our drug candidates, if approved, are likely to be their efficacy, safety, convenience, price, the level of generic competition and the availability of reimbursement from government and other third-party payors.</w:t>
      </w:r>
    </w:p>
    <w:p>
      <w:pPr>
        <w:spacing w:after="0" w:line="176"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New developments, including the development of other pharmaceutical technologies and methods of treating disease, occur in the pharmaceutical and life sciences industries at a rapid pace. These developments may render our product candidates obsolete or noncompetitive. Compared to us, many of our potential competitors have substantially greater:</w:t>
      </w:r>
    </w:p>
    <w:p>
      <w:pPr>
        <w:spacing w:after="0" w:line="180" w:lineRule="exact"/>
        <w:rPr>
          <w:sz w:val="20"/>
          <w:szCs w:val="20"/>
          <w:color w:val="auto"/>
        </w:rPr>
      </w:pPr>
    </w:p>
    <w:p>
      <w:pPr>
        <w:ind w:left="1040" w:hanging="315"/>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resources, including personnel and technology;</w:t>
      </w:r>
    </w:p>
    <w:p>
      <w:pPr>
        <w:spacing w:after="0" w:line="2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experience;</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pharmaceutical development, clinical trial and pharmaceutical commercialization experience;</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and expertise in exploitation of intellectual property rights; and</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resources.</w:t>
      </w:r>
    </w:p>
    <w:p>
      <w:pPr>
        <w:spacing w:after="0" w:line="207"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We will also face competition from these third parties in recruiting and retaining qualified personnel, establishing clinical trial sites, patient registration for clinical trials, and in identifying and in-licensing new product candidates.</w:t>
      </w:r>
    </w:p>
    <w:p>
      <w:pPr>
        <w:spacing w:after="0" w:line="158"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products that we commercialize may become subject to unfavorable pricing regulations or third-party payor coverage and reimbursement policies, which would harm our business.</w:t>
      </w:r>
    </w:p>
    <w:p>
      <w:pPr>
        <w:spacing w:after="0" w:line="15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regulations that govern regulatory approvals, pricing and reimbursement for new drugs vary widely from country to country. Some countries require approval of the sale price of a drug before it can be marketed. In many countries, the pricing review period begins after marketing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drug candidate, possibly for lengthy time periods, and negatively impact the revenues we are able to generate from the sale of the drug candidate in that country. Adverse pricing limitations may hinder our ability to recoup our investment in one or more products, even if our product candidates obtain marketing approval.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w:t>
      </w:r>
    </w:p>
    <w:p>
      <w:pPr>
        <w:spacing w:after="0" w:line="192"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Our ability to commercialize any product successfully also will depend in part on the extent to which coverage and reimbursement for our products and related treatments will be available from government authorities, private health insurers and other organizations. Government authorities and third-party payors, such as private health insurers and health maintenance organizations, decide which medications they will pay for and establish reimbursement and co-payment levels. A primary trend in the U.S. healthcare industry and elsewhere is cost containment. Government authorities and third-party payors have attempted to control costs by restricting coverage and limiting the amount of reimbursement for particular drugs. Increasingly, third-party payors are requiring that drug companies provide them with predetermined discounts from list prices and are challenging the prices charged for drugs, examining the cost effectiveness of drugs in addition to their safety and efficacy. Third-party commercial payors often rely upon Medicare coverage policy and payment limitations in setting their own reimbursement policies. Payors may restrict coverage of some products by using</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formularies under which only selected drugs are covered, variable co-payments that make drugs that are not preferred by the payor more expensive for patients, and utilization management controls, such as requirements for prior authorization or failure first on another type of treatment. Payors may target higher-priced drugs for imposition of these obstacles to coverage, and consequently our products may be subject to payer-driven restrictions. Additionally, in countries where patients have access to insurance, as in the U.S., insurance co-payment amounts or other benefit limits may represent a barrier to obtaining or continuing use of our products that receive regulatory approval. If we are unable to obtain or maintain coverage, or coverage is reduced in one or more countries, our product sales may be lower than anticipated and our financial condition could be harmed.</w:t>
      </w:r>
    </w:p>
    <w:p>
      <w:pPr>
        <w:spacing w:after="0" w:line="192"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Net prices for drugs may be reduced by mandatory discounts or rebates required by government healthcare programs or private payors and by any future relaxation of laws that presently restrict imports of drugs from countries where they may be sold at lower prices. In the United States, for example, we must offer discounted pricing or rebates on purchases of pharmaceutical products under various federal and state healthcare programs, such as the Medicaid Drug Rebate Program, the 340B drug pricing program and the Medicare Part D Program. We must also report specific prices to government agencies under healthcare programs, such as the Medicaid Drug Rebate Program and Medicare Part B. The calculations necessary to determine the prices reported are complex and the failure to report prices accurately may expose us to penalties.</w:t>
      </w:r>
    </w:p>
    <w:p>
      <w:pPr>
        <w:spacing w:after="0" w:line="188"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cause us to incur substantial liabilities and could limit commercialization of any drug candidates that we may develop.</w:t>
      </w:r>
    </w:p>
    <w:p>
      <w:pPr>
        <w:spacing w:after="0" w:line="15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face an inherent risk of product liability exposure related to the testing of our product candidates in human clinical trials, and an even greater risk in connection with the commercialization of any products for which we may receive marketing authorization in the future. If we cannot successfully defend ourselves against claims that any of our products caused injuries, we could incur substantial liabilities. Regardless of merit or eventual outcome, liability claims may result in:</w:t>
      </w:r>
    </w:p>
    <w:p>
      <w:pPr>
        <w:spacing w:after="0" w:line="183" w:lineRule="exact"/>
        <w:rPr>
          <w:sz w:val="20"/>
          <w:szCs w:val="20"/>
          <w:color w:val="auto"/>
        </w:rPr>
      </w:pPr>
    </w:p>
    <w:p>
      <w:pPr>
        <w:ind w:left="1040" w:hanging="315"/>
        <w:spacing w:after="0"/>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products that we may commercialize;</w:t>
      </w:r>
    </w:p>
    <w:p>
      <w:pPr>
        <w:spacing w:after="0" w:line="2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9" w:lineRule="exact"/>
        <w:rPr>
          <w:rFonts w:ascii="Times New Roman" w:cs="Times New Roman" w:eastAsia="Times New Roman" w:hAnsi="Times New Roman"/>
          <w:sz w:val="18"/>
          <w:szCs w:val="18"/>
          <w:color w:val="auto"/>
        </w:rPr>
      </w:pPr>
    </w:p>
    <w:p>
      <w:pPr>
        <w:ind w:left="1040" w:right="79" w:hanging="315"/>
        <w:spacing w:after="0" w:line="250" w:lineRule="auto"/>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the related litigation, including the risk that any individuals who may face such related litigation may in turn seek to recover from us;</w:t>
      </w:r>
    </w:p>
    <w:p>
      <w:pPr>
        <w:ind w:left="1040" w:hanging="315"/>
        <w:spacing w:after="0"/>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 and</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 candidates that we may develop.</w:t>
      </w:r>
    </w:p>
    <w:p>
      <w:pPr>
        <w:spacing w:after="0" w:line="207"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Although we maintain product liability insurance coverage, it may not be adequate to cover all liabilities that we may incur. Insurance coverage is increasingly expensive. We may not be able to maintain insurance coverage at a reasonable cost or in an amount adequate to satisfy any liability that may arise.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Financial Position and Need for Additional Capital</w:t>
      </w:r>
    </w:p>
    <w:p>
      <w:pPr>
        <w:spacing w:after="0" w:line="158"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operating losses since our inception and anticipate that we will incur continued losses for the foreseeable future.</w:t>
      </w:r>
    </w:p>
    <w:p>
      <w:pPr>
        <w:spacing w:after="0" w:line="91"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Biopharmaceutical drug development is a highly speculative undertaking and involves a substantial degree of risk. We commenced operations in January 2012. To date, our operations have been limited primarily to organizing and staffing our company, business planning, raising capital, developing our technology, identifying potential drug candidates, undertaking pre-clinical studies and clinical trials, commercializing UKONIQ (which received FDA approval in February 2021 and which we recently withdrew from sale), and preparing for potential commercialization of ublituximab. We are transitioning from a company with a research and development focus and commercialization capabilities in oncology to a company capable of supporting commercial activities in neurology in the U.S. and outside the U.S. This transition involves a wide variety of risks, and we may not be successful in such transition.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Since inception, we have focused our efforts and financial resources on clinical trials, manufacturing of our drug candidates, and preparing to support a commercial product. To date, we have financed our operations primarily through public offerings of our common stock and debt financing. Since inception, we have incurred significant operating losses. Substantially all our operating losses have resulted from costs incurred in connection with our research and development programs and from selling, general and administrative costs associated with our operations, including our commercialization activities. We expect to continue to incur significant expenses and operating losses for the foreseeable future. Our prior losses, combined with expected future losses, have had and will continue to have an adverse effect on our stockholders’ deficit and working capital. Due to our voluntary withdrawal of UKONIQ from sale, we have no marketed products. We expect to continue to incur significant research and development expenses and we expect to continue to incur significant commercialization and outsourced-manufacturing expenses as we plan for the possible commercialization of ublituximab in RMS. Because of the numerous risks and uncertainties associated with developing pharmaceuticals, we are unable to predict the extent of any future losses or when we will become profitable, if at all. Even if we do become profitable, we may not be able to sustain or increase our profitability on a quarterly or annual basis. Our ability to become profitable depends upon our ability to generate substantial revenue.</w:t>
      </w:r>
    </w:p>
    <w:p>
      <w:pPr>
        <w:spacing w:after="0" w:line="197"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We have not generated any significant revenue from sales of any of our products. It is uncertain when and if we will generate any significant revenue from the sale of any product candidates, if approved, in the future. Furthermore, if approved, no assurance can be given that we will meet revenue projections or guidance. To obtain significant and sustained revenues and meet our revenue projections or guidance, we must succeed, either alone or with others, in (i) obtaining regulatory approval for our product candidates, including ublituximab in RMS; and (ii) manufacturing and marketing our products and product candidates. Accordingly, we do not expect to generate revenues unless and until we obtain marketing approval of ublituximab in RMS or any other product candidate. Our ability to generate sustained revenue depends on a number of factors, including, but not limited to, our ability to:</w:t>
      </w:r>
    </w:p>
    <w:p>
      <w:pPr>
        <w:spacing w:after="0" w:line="192" w:lineRule="exact"/>
        <w:rPr>
          <w:sz w:val="20"/>
          <w:szCs w:val="20"/>
          <w:color w:val="auto"/>
        </w:rPr>
      </w:pPr>
    </w:p>
    <w:p>
      <w:pPr>
        <w:ind w:left="1040" w:hanging="315"/>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complete clinical trials that meet their clinical endpoints;</w:t>
      </w:r>
    </w:p>
    <w:p>
      <w:pPr>
        <w:spacing w:after="0" w:line="27" w:lineRule="exact"/>
        <w:rPr>
          <w:rFonts w:ascii="Times New Roman" w:cs="Times New Roman" w:eastAsia="Times New Roman" w:hAnsi="Times New Roman"/>
          <w:sz w:val="18"/>
          <w:szCs w:val="18"/>
          <w:color w:val="auto"/>
        </w:rPr>
      </w:pPr>
    </w:p>
    <w:p>
      <w:pPr>
        <w:ind w:left="1040" w:right="79" w:hanging="315"/>
        <w:spacing w:after="0" w:line="250" w:lineRule="auto"/>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successfully complete all safety, pharmacokinetic, biodistribution, and non-clinical studies required to obtain U.S. and foreign marketing approval for our product candidates;</w:t>
      </w:r>
    </w:p>
    <w:p>
      <w:pPr>
        <w:ind w:left="1040" w:right="79" w:hanging="315"/>
        <w:spacing w:after="0" w:line="250" w:lineRule="auto"/>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from the FDA and foreign equivalents to market and sell our product candidates, including ublituximab in RMS;</w:t>
      </w:r>
    </w:p>
    <w:p>
      <w:pPr>
        <w:ind w:left="1040" w:right="79" w:hanging="315"/>
        <w:spacing w:after="0" w:line="250" w:lineRule="auto"/>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commercial manufacturing capabilities with third parties that are satisfactory to the regulatory authorities, cost effective, and that are capable of providing commercial supply of our product candidates;</w:t>
      </w:r>
    </w:p>
    <w:p>
      <w:pPr>
        <w:ind w:left="1040" w:right="79" w:hanging="315"/>
        <w:spacing w:after="0" w:line="250" w:lineRule="auto"/>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on our commercialization infrastructure to commercialize ublituximab in RMS, if approved, and/or entering into collaborations with third parties; and</w:t>
      </w:r>
    </w:p>
    <w:p>
      <w:pPr>
        <w:ind w:left="1040" w:right="79" w:hanging="315"/>
        <w:spacing w:after="0" w:line="260" w:lineRule="auto"/>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market acceptance of any products for which we receive regulatory approval in the medical community and with third-party payors.</w:t>
      </w:r>
    </w:p>
    <w:p>
      <w:pPr>
        <w:spacing w:after="0" w:line="181"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If we are unable to generate significant and sustained revenues, we will not become profitable and we will be unable to continue our operations without continued funding.</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to raise substantial additional funding. If we are unable to raise capital when needed, we would be forced to delay, reduce or eliminate some of our drug development programs or commercialization efforts.</w:t>
      </w:r>
    </w:p>
    <w:p>
      <w:pPr>
        <w:spacing w:after="0" w:line="15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development of pharmaceuticals is capital-intensive. Moreover, in anticipation of potential FDA approval for ublituximab in RMS, we will need to expend substantial resources on supporting the regulatory application, preparing for commercialization, and manufacturing over the next 6 to 12 months.</w:t>
      </w:r>
    </w:p>
    <w:p>
      <w:pPr>
        <w:spacing w:after="0" w:line="176"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amount and timing of our future funding requirements will depend on many factors, including, but not limited to, the following:</w:t>
      </w:r>
    </w:p>
    <w:p>
      <w:pPr>
        <w:ind w:left="720" w:right="119" w:hanging="319"/>
        <w:spacing w:after="0" w:line="250" w:lineRule="auto"/>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clinical and commercial manufacturing supply arrangements for each product and product candidate;</w:t>
      </w:r>
    </w:p>
    <w:p>
      <w:pPr>
        <w:ind w:left="720" w:hanging="319"/>
        <w:spacing w:after="0"/>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expanding our sales, distribution, and other commercialization capabilities;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regulatory approvals;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the commercialization of any products for which we receive regulatory approval;</w:t>
      </w:r>
    </w:p>
    <w:p>
      <w:pPr>
        <w:spacing w:after="0" w:line="9" w:lineRule="exact"/>
        <w:rPr>
          <w:rFonts w:ascii="Times New Roman" w:cs="Times New Roman" w:eastAsia="Times New Roman" w:hAnsi="Times New Roman"/>
          <w:sz w:val="18"/>
          <w:szCs w:val="18"/>
          <w:color w:val="auto"/>
        </w:rPr>
      </w:pPr>
    </w:p>
    <w:p>
      <w:pPr>
        <w:ind w:left="720" w:right="599" w:hanging="319"/>
        <w:spacing w:after="0" w:line="250" w:lineRule="auto"/>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of our clinical trials, including expenses to support the trials and milestone payments that may become payable under our license agreements;</w:t>
      </w:r>
    </w:p>
    <w:p>
      <w:pPr>
        <w:ind w:left="720" w:hanging="319"/>
        <w:spacing w:after="0"/>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strategic collaborations, including licensing and other arrangements;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enforcing or defending patent claims or other intellectual property rights; and</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in-license or invest in other indications or product candidates.</w:t>
      </w:r>
    </w:p>
    <w:p>
      <w:pPr>
        <w:spacing w:after="0" w:line="207"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As a result, significant additional funding will be required. Additional sources of financing to continue our operations in the future might not be available on favorable terms, if at all. If we do not succeed in raising additional funds on acceptable terms, we could be forced to discontinue product development, reduce or forego commercialization efforts that are required for successful commercialization ublituximab in RMS, or any of our other product candidates and otherwise forego attractive business opportunities. Any additional sources of financing may involve the issuance of our equity securities, which would have a dilutive effect to stockholders. For the foreseeable future, we will have to fund all of our operations and capital expenditures from cash on hand, amounts raised in future offerings or financings, and potentially from U.S. sales of ublituximab in RMS, if approved. Accordingly, our prospects must be considered in light of the uncertainties, risks, expenses and difficulties frequently encountered by companies in the early stages of commercial operations and the competitive environment in which we operate.</w:t>
      </w:r>
    </w:p>
    <w:p>
      <w:pPr>
        <w:spacing w:after="0" w:line="190"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technologies or drug candidates and occupy valuable management time and resources.</w:t>
      </w:r>
    </w:p>
    <w:p>
      <w:pPr>
        <w:spacing w:after="0" w:line="159"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 xml:space="preserve">Until such time, if ever, as we can generate substantial revenues, we expect to finance our cash needs through a combination of public and private equity offerings, debt financings, collaborations, strategic alliances and licensing arrangements. We do not have any committed external source of funds, other than funds already borrowed under the loan and security agreement that we entered into with Hercules in February 2019, and which was expanded in December 2021 (see Note 6 to our consolidated financial statements for more information). To the extent that we raise additional capital through the sale of common stock or securities convertible or exchangeable into common stock, the ownership interest of our stockholders will be diluted, and the terms of these securities may include liquidation or other preferences that materially adversely affect the rights of our common stockholders. We may also seek funds through collaborations, strategic alliances or licensing arrangements with third parties at a time that is not desirable to us and we may be required to relinquish valuable rights to some intellectual property, future revenue streams, research programs or drug candidates or to grant licenses on terms that may not be favorable to us, any of which may have a material adverse effect on our business, operating results and prospects. Debt financing, if available, may involve agreements that include covenants limiting or restricting our ability to take specific actions, such as incurring additional debt, making capital expenditures or declaring dividends. We cannot guarantee that future financing will be available in sufficient amounts or on terms acceptable to us, if at all, which could limit our ability to expand our business operations and could harm our overall business prospects. See our risk factors below under the heading </w:t>
      </w:r>
      <w:r>
        <w:rPr>
          <w:rFonts w:ascii="Times New Roman" w:cs="Times New Roman" w:eastAsia="Times New Roman" w:hAnsi="Times New Roman"/>
          <w:sz w:val="18"/>
          <w:szCs w:val="18"/>
          <w:b w:val="1"/>
          <w:bCs w:val="1"/>
          <w:color w:val="auto"/>
        </w:rPr>
        <w:t>“Risks Related to Our Indebtedness.”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Additionally, fundraising efforts may divert our management from their day-to-day activities, which may adversely affect our ability to develop and commercialize our drug candidates. Dislocations in the financial markets have generally made equity and debt financing more difficult to obtain and may have a material adverse effect on our ability to meet our fundraising needs. Moreover, the issuance of additional securities, whether equity or debt, by us, or the possibility of such issuance, may cause the market price of our shares to decline.</w:t>
      </w:r>
    </w:p>
    <w:p>
      <w:pPr>
        <w:spacing w:after="0" w:line="179"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Long-term commercialization and product candidate development timelines and projections in this report are based on the assumption of further financing.</w:t>
      </w:r>
    </w:p>
    <w:p>
      <w:pPr>
        <w:spacing w:after="0" w:line="15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timelines and projections in this report are predicated upon the assumption that we will raise additional financing in the future to continue our long-term commercialization efforts and the development of our product candidates. In the event we do not successfully raise subsequent financing, such commercialization and product development activities may be curtailed commensurate with the magnitude of the shortfall. If our commercialization or product development activities are slowed or stopped, we would be unable to meet the timelines and projections outlined in this filing. Failure to progress our commercialization activities or the development of our product candidates as anticipated will have a negative effect on our business, future prospects, and ability to obtain further financing on acceptable terms, if at all, and the value of the enterprise.</w:t>
      </w:r>
    </w:p>
    <w:p>
      <w:pPr>
        <w:spacing w:after="0" w:line="188"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Due to limited resources we may fail to capitalize on programs or product candidates that may present a greater commercial opportunity or for which there is a greater likelihood of success.</w:t>
      </w:r>
    </w:p>
    <w:p>
      <w:pPr>
        <w:spacing w:after="0" w:line="15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Because we have limited resources, we may forego or delay pursuit of opportunities with certain programs or product candidates or for indications that later prove to have greater commercial potential. Our estimates regarding the potential market for a product candidate could be inaccurate, and our spending on current and future research and development programs may not yield any commercially viable products. If we do not accurately evaluate the commercial potential for a particular product candidate, we may relinquish valuable rights to that product candidate through strategic collaboration, licensing or other arrangements in cases in which it would have been more advantageous for us to retain sole development and commercialization rights to such product candidate. Alternatively, we may allocate internal resources to a product candidate in a therapeutic area in which it would have been more advantageous to enter into a partnering arrangement.</w:t>
      </w:r>
    </w:p>
    <w:p>
      <w:pPr>
        <w:spacing w:after="0" w:line="188"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If any of these events occur, we may be forced to abandon or delay our development efforts with respect to a particular product candidate or fail to develop a potentially successful product candidate, which could have a material adverse effect on our business, financial condition, results of operations and prospects.</w:t>
      </w:r>
    </w:p>
    <w:p>
      <w:pPr>
        <w:spacing w:after="0" w:line="172"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level of indebtedness and debt service obligations could adversely affect our financial condition and may make it more difficult for us to fund our operations.</w:t>
      </w:r>
    </w:p>
    <w:p>
      <w:pPr>
        <w:spacing w:after="0" w:line="15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In February 2019, we entered into a Loan and Security Agreement (the Loan Agreement), with Hercules Capital, Inc., a Maryland corporation (Hercules) and on December 30, 2021 (the First Amendment Closing Date), the Company entered into an Amended and Restated Loan and Security Agreement (the Amended Loan Agreement) with Hercules. Under the Amended Loan Agreement, Hercules increased the aggregate principal amount of the loan, available at the Company’s option, from $60.0 million to $200.0 million (the Amended Term Loan) (see Note 6 to our consolidated financial statements for more information). A first advance of $70.0 million was drawn at the First Amendment Closing Date, a portion of which was used to refinance the current outstanding loan balance of approximately $7.8 million.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All obligations under the Amended Loan Agreement are secured by substantially all of our existing property and assets, excluding intellectual property. This indebtedness may create additional financing risk for us, particularly if our business or prevailing financial market conditions are not conducive to paying off or refinancing its outstanding debt obligations at maturity. This indebtedness could also have important negative consequences, including:</w:t>
      </w:r>
    </w:p>
    <w:p>
      <w:pPr>
        <w:spacing w:after="0" w:line="180" w:lineRule="exact"/>
        <w:rPr>
          <w:sz w:val="20"/>
          <w:szCs w:val="20"/>
          <w:color w:val="auto"/>
        </w:rPr>
      </w:pPr>
    </w:p>
    <w:p>
      <w:pPr>
        <w:jc w:val="both"/>
        <w:ind w:left="1040" w:right="79" w:hanging="315"/>
        <w:spacing w:after="0" w:line="257" w:lineRule="auto"/>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to repay the indebtedness by making payments of interest and principal, which will reduce the amount of money available to finance our operations, our research and development efforts and other general corporate activities; and</w:t>
      </w:r>
    </w:p>
    <w:p>
      <w:pPr>
        <w:spacing w:after="0" w:line="1" w:lineRule="exact"/>
        <w:rPr>
          <w:rFonts w:ascii="Times New Roman" w:cs="Times New Roman" w:eastAsia="Times New Roman" w:hAnsi="Times New Roman"/>
          <w:sz w:val="18"/>
          <w:szCs w:val="18"/>
          <w:color w:val="auto"/>
        </w:rPr>
      </w:pPr>
    </w:p>
    <w:p>
      <w:pPr>
        <w:jc w:val="both"/>
        <w:ind w:left="1040" w:right="79" w:hanging="315"/>
        <w:spacing w:after="0" w:line="255" w:lineRule="auto"/>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comply with the restrictive covenants in the Amended Loan Agreement could result in an event of default that, if not cured or waived, would accelerate our obligation to repay this indebtedness, and Hercules could seek to enforce its security interest in the assets securing such indebtedness.</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To the extent additional debt is added to our current debt levels, the risks described above could increase.</w:t>
      </w:r>
    </w:p>
    <w:p>
      <w:pPr>
        <w:spacing w:after="0" w:line="221"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have cash available in an amount sufficient to enable us to make interest or principal payments on our indebtedness when due.</w:t>
      </w:r>
    </w:p>
    <w:p>
      <w:pPr>
        <w:spacing w:after="0" w:line="15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Failure to satisfy our current and future debt obligations under the Amended Loan Agreement, or the breach of any of its covenants, subject to specified cure periods with respect to certain breaches, could result in an event of default and, as a result, Hercules could accelerate all of the amounts due. In the event of an acceleration of amounts due under the Amended Loan Agreement as a result of an event of default, we may not have enough available cash or be able to raise additional funds through equity or debt financings to repay such indebtedness at the time of such acceleration. In that case, we may be required to delay, limit, reduce or terminate our product candidate development or commercialization efforts or grant to others rights to develop and market product candidates that we would otherwise prefer to develop and market ourselves. Hercules could also exercise its rights as collateral agent to take possession and dispose of the collateral securing the Term Loan for its benefit, which collateral includes substantially all of our property other than intellectual property. Our business, financial condition and results of operations could be materially adversely affected as a result of any of these events.</w:t>
      </w:r>
    </w:p>
    <w:p>
      <w:pPr>
        <w:spacing w:after="0" w:line="192"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The Amended Loan Agreement imposes operating and other restrictions on the Company. Such restrictions will affect, and in many respects limit or prohibit, our ability and the ability of any future subsidiary to, among other things:</w:t>
      </w:r>
    </w:p>
    <w:p>
      <w:pPr>
        <w:spacing w:after="0" w:line="162" w:lineRule="exact"/>
        <w:rPr>
          <w:sz w:val="20"/>
          <w:szCs w:val="20"/>
          <w:color w:val="auto"/>
        </w:rPr>
      </w:pPr>
    </w:p>
    <w:p>
      <w:pPr>
        <w:ind w:left="1040" w:hanging="315"/>
        <w:spacing w:after="0"/>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dispose of certain assets;</w:t>
      </w:r>
    </w:p>
    <w:p>
      <w:pPr>
        <w:spacing w:after="0" w:line="2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its lines of business;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mergers, acquisitions or consolidations;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 on assets;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and make contributions or repurchase our capital stock; and</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certain transactions with affiliates.</w:t>
      </w:r>
    </w:p>
    <w:p>
      <w:pPr>
        <w:spacing w:after="0" w:line="193"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The breach of any of these restrictive covenants could have a material adverse effect on our business and prospects.</w:t>
      </w:r>
    </w:p>
    <w:p>
      <w:pPr>
        <w:spacing w:after="0" w:line="1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Governmental Regulation of Pharmaceutical Industry and Legal Compliance Matters</w:t>
      </w:r>
    </w:p>
    <w:p>
      <w:pPr>
        <w:spacing w:after="0" w:line="225"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new legislation, regulatory proposals and third-party payor initiatives that may increase our costs of compliance and adversely affect our ability to market our products, obtain collaborators and raise capital.</w:t>
      </w:r>
    </w:p>
    <w:p>
      <w:pPr>
        <w:spacing w:after="0" w:line="15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In both the United States and certain foreign countries, there have been a number of legislative and regulatory changes or proposed changes to the healthcare system, many of which have focused on prescription drug pricing and lowering overall healthcare costs, that could impact our ability to sell our products profitably and support future innovation. We expect prescription drug pricing and other healthcare costs to continue to be subject to intense political and social pressures on a global basis.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In the United States, the President, federal and state legislatures, health agencies and third-party payors continue to focus on containing the cost of healthcare and addressing public concern over access and affordability of prescription drugs. The Patient Protection and Affordable Care Act, as amended by the Health Care and Education Reconciliation Act of 2010 (collectively, the ACA) was enacted in 2010 and made significant changes to the U.S. healthcare system. ACA changes included expanding healthcare coverage through Medicaid expansion and implementation of the individual health insurance mandate; changing coverage and reimbursement of drug products under government healthcare programs; imposing an annual fee on manufacturers of branded drugs; and expanding government enforcement authority. Although the ACA has been the subject of a number of legislative and litigation challenges since it passed, it is expected that the Biden Administration will seek to strengthen and expand the ACA. We cannot predict what effect further changes to the ACA would have on our business.</w:t>
      </w:r>
    </w:p>
    <w:p>
      <w:pPr>
        <w:spacing w:after="0" w:line="194"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Beyond the ACA, there has been increasing legislative, regulatory and enforcement interest with respect to prescription drug pricing practices. Proposals that may garner bipartisan legislative support or become legislation through reconciliation include adding a cap on out-of-pocket spending under Medicare Part D, authorizing Medicare to negotiate certain drugs covered by Medicare Parts D and B directly with manufacturers, and imposing limits on increases in drug prices. In addition, President Biden may take executive action to introduce new drug pricing models and other drug pricing initiatives. The Biden Administration also may propose substantial changes to the U.S. healthcare system, including expanding government-funded health insurance options. We are uncertain of the impact or outcome of potential Executive Orders, rescission of rules and policy statements, or new legislation, especially any relative impact on the healthcare regulatory and policy landscape, or the impact they may have on our business. We expect drug pricing will continue to be a focus of the Biden Administration. At the state level, legislatures have increasingly passed legislation and implemented regulations designed to control pharmaceutical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87"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There have been several recent U.S. Congressional inquiries and proposed and enacted legislation designed to bring more transparency to drug pricing, reduce the cost of prescription drugs under Medicare, limit price increases, evaluate the relationship between pricing and manufacturer patient programs, and reform government health care program reimbursement methodologies for prescription drugs. For example, the Bipartisan Budget Act of 2018 (the BBA) increased manufacturer point-of-sale discounts off negotiated prices of applicable brand drugs in the Medicare Part D coverage gap from 50% to 70% effective as of January 1, 2019, ultimately increasing the liability for brand drug manufacturers. We expect that health care reform measures that may be adopted in the future, may result in more rigorous coverage criteria, increase manufactured financial liability, and additional downward pressure on the price that we may receive for any of our product candidates, if approved. Any reduction in reimbursement from Medicare or other government health care programs may result in a similar reduction in payments from private payors.</w:t>
      </w:r>
    </w:p>
    <w:p>
      <w:pPr>
        <w:spacing w:after="0" w:line="194"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There continue to be efforts to lower drug prices through increased competition, with policy proposals seeking to facilitate generic and biosimilar approval and marketing authorization. For example, in 2018, the FDA announced the Biosimilar Action Plan and sought input on how the agency can best facilitate greater availability of biosimilar products, including input on whether changes to an approved biologic (e.g., a new indication) would be protected by the remainder of the statutory 12-year exclusivity period (commonly referred to as “umbrella exclusivity”). In the event there is a modification to the biologic exclusivity period or other steps taken to facilitate biosimilar or generic approvals, we could experience biosimilar/generic competition of any products for which we receive FDA approval at an earlier time than currently anticipated.</w:t>
      </w:r>
    </w:p>
    <w:p>
      <w:pPr>
        <w:spacing w:after="0" w:line="192"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At the state level, individual states are experiencing significant economic pressure within their state Medicaid programs and responding to public concern over the cost of healthcare. States, including California, Florida, Nevada and Maine, among others, have responded to these pressures with a range of legislative enactments and policy proposals designed to control prescription drug prices by, for example, allowing importation of pharmaceutical products from jurisdictions outside the U.S., imposing price controls on state drug purchases, consolidating state drug purchasing to a single purchaser, and imposing transparency measures around prescription drug prices and marketing costs. These measures, which vary by state, could reduce the ultimate demand for our products, if approved, or put pressure on our product pricing.</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In addition, other legislative changes have been adopted that could have an adverse effect upon, and could prevent, our products’ or product candidates’ commercial success. More broadly, the Budget Control Act of 2011, as amended, or the Budget Control Act, includes provisions intended to reduce the federal deficit, including reductions in Medicare payments to providers through 2030 (except May 1, 2020 to December 31, 2020). Any significant spending reductions affecting Medicare, Medicaid or other publicly funded or subsidized health programs, or any significant taxes or fees imposed as part of any broader deficit reduction effort or legislative replacement to the Budget Control Act, or otherwise, could have an adverse impact on our anticipated product revenues.</w:t>
      </w:r>
    </w:p>
    <w:p>
      <w:pPr>
        <w:spacing w:after="0" w:line="18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Furthermore, legislative and regulatory proposals have been made to expand post-approval requirements and restrict sales and promotional activities for drugs.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187"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many international markets, including the European Union, the government regulates prescription drug prices, patient access, and/or reimbursement levels to control the biopharmaceutical budget of their government-sponsored healthcare system. The European Union and some individual countries have announced or implemented measures and may in the future implement new or additional measures, to reduce biopharmaceutical costs to contain the overall level of healthcare expenditures. These measures vary by country and may include, among other things, non-coverage decisions, patient access restrictions, international price referencing, mandatory discounts or rebates, and cross-border sales of prescription drugs. These measures may adversely affect our ability to generate revenues or commercialize our product candidates in certain international markets.</w:t>
      </w:r>
    </w:p>
    <w:p>
      <w:pPr>
        <w:spacing w:after="0" w:line="192"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There likely will continue to be pressure on prescription drug prices globally and legislative and regulatory proposals, including at the federal and state levels in the U.S., directed at broadening the availability of health care and containing or lowering the cost of health care products and services. We cannot predict the initiatives that may be adopted in the future. The continuing efforts of the government, health insurance companies, managed care organizations and other payors of health care services to contain or reduce costs of health care may adversely affect, among other things:</w:t>
      </w:r>
    </w:p>
    <w:p>
      <w:pPr>
        <w:spacing w:after="0" w:line="183" w:lineRule="exact"/>
        <w:rPr>
          <w:sz w:val="20"/>
          <w:szCs w:val="20"/>
          <w:color w:val="auto"/>
        </w:rPr>
      </w:pPr>
    </w:p>
    <w:p>
      <w:pPr>
        <w:ind w:left="1040" w:hanging="315"/>
        <w:spacing w:after="0"/>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revenues and achieve or maintain profitability;</w:t>
      </w:r>
    </w:p>
    <w:p>
      <w:pPr>
        <w:spacing w:after="0" w:line="2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any products for which we may obtain regulatory approval;</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set a price that we believe is fair for our products;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taxes that we are required to pay; and</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capital.</w:t>
      </w:r>
    </w:p>
    <w:p>
      <w:pPr>
        <w:spacing w:after="0" w:line="20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 addition, governments may impose price controls, which may adversely affect our future profitability.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customers and third-party payors will be subject to applicable fraud and abuse laws, false claims laws, transparency and disclosure laws, health information and security laws, and other healthcare laws and regulations, which could expose us to criminal sanctions, civil penalties, exclusion from government healthcare programs, contractual damages, reputational harm and diminished profits and future earnings.</w:t>
      </w:r>
    </w:p>
    <w:p>
      <w:pPr>
        <w:spacing w:after="0" w:line="180"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We are subject to extensive healthcare statutory and regulatory requirements and oversight by the federal government and the states and foreign governments in which we conduct our business. Healthcare providers and third-party payors play a primary role in the recommendation and prescription of any drug candidates for which we obtain marketing approval. Our past, current and future relationships, arrangements and interactions with these professionals and entities, as well as with patients and patient advocacy organizations will expose us to broadly applicable fraud and abuse and other healthcare laws and regulations that may constrain the business or financial arrangements and relationships through which we market, sell and distribute our drug candidates for which we obtain marketing approval. Restrictions under applicable federal and state healthcare laws and regulations include the following:</w:t>
      </w:r>
    </w:p>
    <w:p>
      <w:pPr>
        <w:spacing w:after="0" w:line="192" w:lineRule="exact"/>
        <w:rPr>
          <w:sz w:val="20"/>
          <w:szCs w:val="20"/>
          <w:color w:val="auto"/>
        </w:rPr>
      </w:pPr>
    </w:p>
    <w:p>
      <w:pPr>
        <w:jc w:val="both"/>
        <w:ind w:left="1040" w:right="79" w:hanging="315"/>
        <w:spacing w:after="0" w:line="253" w:lineRule="auto"/>
        <w:tabs>
          <w:tab w:leader="none" w:pos="10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w:t>
      </w:r>
    </w:p>
    <w:p>
      <w:pPr>
        <w:spacing w:after="0" w:line="5" w:lineRule="exact"/>
        <w:rPr>
          <w:rFonts w:ascii="Times New Roman" w:cs="Times New Roman" w:eastAsia="Times New Roman" w:hAnsi="Times New Roman"/>
          <w:sz w:val="18"/>
          <w:szCs w:val="18"/>
          <w:color w:val="auto"/>
        </w:rPr>
      </w:pPr>
    </w:p>
    <w:p>
      <w:pPr>
        <w:jc w:val="both"/>
        <w:ind w:left="1040" w:right="79" w:hanging="315"/>
        <w:spacing w:after="0" w:line="250" w:lineRule="auto"/>
        <w:tabs>
          <w:tab w:leader="none" w:pos="10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Claims Act imposes civil penalties, including through civil whistleblower or qui tam actions, against individuals or entities for, among other things, knowingly presenting, or causing to be presented, to the federal government, claims for payment that are false or fraudulent or making a false statement to avoid, decrease or conceal an obligation to pay money to the federal government. In addition, the government may assert that a claim including items and services resulting from a violation of the federal Anti-Kickback Statute constitutes a false or fraudulent claim for purposes of the False Claims Act;</w:t>
      </w:r>
    </w:p>
    <w:p>
      <w:pPr>
        <w:spacing w:after="0" w:line="2" w:lineRule="exact"/>
        <w:rPr>
          <w:rFonts w:ascii="Times New Roman" w:cs="Times New Roman" w:eastAsia="Times New Roman" w:hAnsi="Times New Roman"/>
          <w:sz w:val="18"/>
          <w:szCs w:val="18"/>
          <w:color w:val="auto"/>
        </w:rPr>
      </w:pPr>
    </w:p>
    <w:p>
      <w:pPr>
        <w:jc w:val="both"/>
        <w:ind w:left="1040" w:right="79" w:hanging="315"/>
        <w:spacing w:after="0" w:line="250" w:lineRule="auto"/>
        <w:tabs>
          <w:tab w:leader="none" w:pos="10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(or HIPAA) imposes criminal and civil liability for executing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2" w:lineRule="exact"/>
        <w:rPr>
          <w:rFonts w:ascii="Times New Roman" w:cs="Times New Roman" w:eastAsia="Times New Roman" w:hAnsi="Times New Roman"/>
          <w:sz w:val="18"/>
          <w:szCs w:val="18"/>
          <w:color w:val="auto"/>
        </w:rPr>
      </w:pPr>
    </w:p>
    <w:p>
      <w:pPr>
        <w:jc w:val="both"/>
        <w:ind w:left="1040" w:right="79" w:hanging="315"/>
        <w:spacing w:after="0" w:line="250" w:lineRule="auto"/>
        <w:tabs>
          <w:tab w:leader="none" w:pos="10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so-called federal “Sunshine Act” under the Affordable Care Act requires manufacturers of drugs, devices, biologics and medical supplies that are reimbursable under Medicare, Medicaid, or the Children’s Health Insurance Program to monitor and report information related to payments and other transfers of value to and the ownership and investment interests of physicians and teaching hospitals (and additional categories of healthcare providers beginning with reports submitted in 2022) to the federal government for redisclosure to the public;</w:t>
      </w:r>
    </w:p>
    <w:p>
      <w:pPr>
        <w:spacing w:after="0" w:line="2" w:lineRule="exact"/>
        <w:rPr>
          <w:rFonts w:ascii="Times New Roman" w:cs="Times New Roman" w:eastAsia="Times New Roman" w:hAnsi="Times New Roman"/>
          <w:sz w:val="18"/>
          <w:szCs w:val="18"/>
          <w:color w:val="auto"/>
        </w:rPr>
      </w:pPr>
    </w:p>
    <w:p>
      <w:pPr>
        <w:jc w:val="both"/>
        <w:ind w:left="1040" w:right="79" w:hanging="315"/>
        <w:spacing w:after="0" w:line="250" w:lineRule="auto"/>
        <w:tabs>
          <w:tab w:leader="none" w:pos="10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of 2009 and its implementing regulations, which also imposes obligations on certain covered entity healthcare providers, health plans, and healthcare clearinghouses as well as their business associates that perform certain services involving the use or disclosure of individually identifiable health information, including mandatory contractual terms, with respect to safeguarding the privacy, security and transmission of individually identifiable health information;</w:t>
      </w:r>
    </w:p>
    <w:p>
      <w:pPr>
        <w:spacing w:after="0" w:line="2" w:lineRule="exact"/>
        <w:rPr>
          <w:rFonts w:ascii="Times New Roman" w:cs="Times New Roman" w:eastAsia="Times New Roman" w:hAnsi="Times New Roman"/>
          <w:sz w:val="18"/>
          <w:szCs w:val="18"/>
          <w:color w:val="auto"/>
        </w:rPr>
      </w:pPr>
    </w:p>
    <w:p>
      <w:pPr>
        <w:ind w:left="1040" w:right="79" w:hanging="315"/>
        <w:spacing w:after="0" w:line="255" w:lineRule="auto"/>
        <w:tabs>
          <w:tab w:leader="none" w:pos="10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wide range of federal and state consumer protection and unfair competition laws, which broadly regulate marketplace activities and activities that potentially harm consumers including those related to privacy;</w:t>
      </w:r>
    </w:p>
    <w:p>
      <w:pPr>
        <w:jc w:val="both"/>
        <w:ind w:left="1020" w:right="79" w:hanging="313"/>
        <w:spacing w:after="0" w:line="281"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Food, Drug, and Cosmetic Act and its implementing regulations, which among other things, strictly regulate drug product marketing and prohibit manufacturers from promotion and marketing of products prior to approval or for uses inconsistent with the FDA-required labeling;</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020" w:right="79" w:hanging="326"/>
        <w:spacing w:after="0" w:line="263"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laws, including the Medicaid Drug Rebate Program, that require pharmaceutical manufacturers to report certain calculated product prices to the government or provide certain discounts or rebates to government authorities or private entities, often as a condition of reimbursement under government healthcare programs;</w:t>
      </w:r>
    </w:p>
    <w:p>
      <w:pPr>
        <w:spacing w:after="0" w:line="2" w:lineRule="exact"/>
        <w:rPr>
          <w:rFonts w:ascii="Times New Roman" w:cs="Times New Roman" w:eastAsia="Times New Roman" w:hAnsi="Times New Roman"/>
          <w:sz w:val="18"/>
          <w:szCs w:val="18"/>
          <w:color w:val="auto"/>
        </w:rPr>
      </w:pPr>
    </w:p>
    <w:p>
      <w:pPr>
        <w:jc w:val="both"/>
        <w:ind w:left="1020" w:right="79" w:hanging="326"/>
        <w:spacing w:after="0" w:line="266"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Drug Supply Chain Security Act, or DSCSA, which imposes obligations on entities in the commercial product supply chain, including manufacturers, to identify and track prescription drugs as they are distributed in the U.S.; and</w:t>
      </w:r>
    </w:p>
    <w:p>
      <w:pPr>
        <w:jc w:val="both"/>
        <w:ind w:left="1040" w:right="79" w:hanging="315"/>
        <w:spacing w:after="0" w:line="252" w:lineRule="auto"/>
        <w:tabs>
          <w:tab w:leader="none" w:pos="10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 equivalents of some of the above federal laws, such as anti-kickback and false claims laws that may apply to items or services reimbursed by any third-party payor, including commercial insurers, state transparency laws, state laws limiting interactions between pharmaceutical manufacturers and members of the healthcare industry, and state laws governing the privacy and security of health information in certain circumstances, many of which differ from each other in significant ways and often are not preempted by federal laws, thus complicating compliance efforts.</w:t>
      </w:r>
    </w:p>
    <w:p>
      <w:pPr>
        <w:spacing w:after="0" w:line="190" w:lineRule="exact"/>
        <w:rPr>
          <w:sz w:val="20"/>
          <w:szCs w:val="20"/>
          <w:color w:val="auto"/>
        </w:rPr>
      </w:pPr>
    </w:p>
    <w:p>
      <w:pPr>
        <w:jc w:val="both"/>
        <w:ind w:left="60" w:right="59" w:firstLine="648"/>
        <w:spacing w:after="0" w:line="270" w:lineRule="auto"/>
        <w:rPr>
          <w:sz w:val="20"/>
          <w:szCs w:val="20"/>
          <w:color w:val="auto"/>
        </w:rPr>
      </w:pPr>
      <w:r>
        <w:rPr>
          <w:rFonts w:ascii="Times New Roman" w:cs="Times New Roman" w:eastAsia="Times New Roman" w:hAnsi="Times New Roman"/>
          <w:sz w:val="17"/>
          <w:szCs w:val="17"/>
          <w:color w:val="auto"/>
        </w:rPr>
        <w:t>As we prepare for potential commercialization of ublituximab, we are planning to provide patient support services to help patients access the product, if approved. Our patient support program would be administered in conjunction with a patient support program vendor and other third parties. There has been heightened governmental scrutiny over the scope of patient support programs and the manner in which drug manufacturers and their vendors operate such programs. We cannot ensure that our compliance controls, policies, and procedures will be sufficient to protect against acts of our employees, business partners or vendors that may violate the laws, regulations, or evolving government guidance on patient support programs. A government investigation, regardless of its outcome, could impact our business practices, harm our reputation, divert attention of management, increase our expenses and reduce availability of assistance to patients. If we or our vendors are deemed to fail to comply with relevant laws, regulations or government guidance in the operation of these programs, we could be subject to damages, fines, penalties or other criminal, civil or administrative sanctions or enforcement actions.</w:t>
      </w:r>
    </w:p>
    <w:p>
      <w:pPr>
        <w:spacing w:after="0" w:line="177"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Ensuring that our business arrangements with third parties comply with applicable healthcare laws and regulations involves substantial costs. It is possible that governmental authorities will conclude that our business practices do not comply with current or future statutes, regulations or case law involving applicable fraud and abuse or other healthcare laws and regulations. The compliance and enforcement landscape, and related risk, is informed by government enforcement precedent and settlement history, Advisory Opinions, and Special Fraud Alerts. Our approach to compliance may evolve over time in light of these types of developments. Additionally, the potential safe harbors available under the Anti-Kickback Statute are subject to change through legislative and regulatory action, and we may decide to adjust our business practices or be subject to heightened scrutiny as a result. If our operations, including anticipated activities to be conducted by our sales team, were to be found to be in violation of any of these laws or any other governmental regulations that may apply to us, we may be subject to significant civil, criminal and administrative penalties, damages, fines, exclusion from government-funded healthcare programs, such as Medicare and Medicaid, qui tam actions brought by individual whistleblowers in the name of the government, and the curtailment or restructuring of our operations.</w:t>
      </w:r>
    </w:p>
    <w:p>
      <w:pPr>
        <w:spacing w:after="0" w:line="172"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violate applicable data privacy and security laws, we may be subject to penalties, including civil and criminal penalties, damages, fines and the curtailment or restructuring of our operations.</w:t>
      </w:r>
    </w:p>
    <w:p>
      <w:pPr>
        <w:spacing w:after="0" w:line="15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We may be subject to privacy and security laws in the various jurisdictions in which we operate, obtain or store personally identifiable information. The legislative and regulatory landscape for privacy and data protection continues to evolve, and there has been an increasing focus on privacy and data protection issues with the potential to affect our business.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Within the United States, various federal and state laws regulate the privacy and security of personal information and so may affect our business operations. For example, at the federal level, our operations may be affected by the data privacy and security provisions of HIPAA, as amended by the Health Information Technology for Economic and Clinical Health Act and its implementing regulations. Although we are not currently directly subject to HIPAA, HIPAA affects the ability of healthcare providers and other entities with which we may interact, including clinical trial sites, to disclose patient health information to us. Under Section 5(a) of the Federal Trade Commission Act (the FTCA), the FTC expects a company’s data security measures to be reasonable and appropriate in light of the sensitivity and volume of consumer information it holds, the size and complexity of its business, and the cost of available tools to improve security and reduce vulnerabilities. Medical data is considered sensitive data that merits stronger safeguards. States may also impose requirements, for example the California Consumer Privacy Act (the CCPA), went into effect in January 2020 creating data privacy obligations for covered companies and providing privacy rights to California residents, including the right to opt out of certain disclosures of their information.</w:t>
      </w:r>
    </w:p>
    <w:p>
      <w:pPr>
        <w:spacing w:after="0" w:line="190"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Numerous other jurisdictions regulate the privacy and security of personally identifiable data. For example, the processing of personal data in the European Economic Area (the EEA), is subject to the General Data Protection Regulation (the GDPR), which took effect in May 2018. The GDPR increases obligations with respect to clinical trials conducted in the EEA, such as in relation to the provision of fair processing notices, exercising data subject rights and reporting certain data breaches to regulators and affected individuals, as well as how we document our relationships with third parties that process GDPR-covered personal data on our behalf. The GDPR also increases the scrutiny applied to transfers of personal data from the EEA (including from clinical trial sites in the EEA) to countries that are considered by the European Commission to lack an adequate level of data protection, such as the United States. In July 2020, the Court of Justice of the European Union invalidated the EU-U.S. Privacy Shield framework, one of the mechanisms used to legitimize the transfer of personal data from the EEA to the U.S., which decision may lead to increased scrutiny on data transfers from the EEA to the U.S. generally and increase our costs of compliance with data privacy legislation.</w:t>
      </w:r>
    </w:p>
    <w:p>
      <w:pPr>
        <w:spacing w:after="0" w:line="192"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If our operations are found to be in violation of any data privacy and security laws, rules or regulations that apply to us, we may be subject to penalties, including civil and criminal penalties, damages, fines and the curtailment or restructuring of our operations, which could adversely affect our ability to operate our business and our financial results. Although compliance programs can mitigate the risk of investigation and prosecution for violations of these laws, rules or regulations, we cannot be certain that our program will address all areas of potential exposure and the risks in this area cannot be entirely eliminated, particularly because the requirements and government interpretations of the requirements in this space are constantly evolving. Any action against us for violation of these laws, rules or regulations, even if we successfully defend against it, could cause us to incur significant legal expenses and divert our management’s attention from the operation of our business, as well as damage our business or reputation. Moreover, achieving and sustaining compliance with applicable federal and state privacy, security, fraud and reporting laws may prove costly.</w:t>
      </w:r>
    </w:p>
    <w:p>
      <w:pPr>
        <w:spacing w:after="0" w:line="190"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adequately understand and comply with the local laws and customs as we expand into new international markets, these operations may incur losses or otherwise adversely affect our business and results of operations.</w:t>
      </w:r>
    </w:p>
    <w:p>
      <w:pPr>
        <w:spacing w:after="0" w:line="145"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We expect to operate a portion of our business in certain countries through subsidiaries or through supply, marketing, and distributor arrangements. In those countries where we have limited experience in operating subsidiaries and in reviewing equity investees, we will be subject to additional risks related to complying with a wide variety of national and local laws, including restrictions on the import and export of certain intermediates, drugs, technologies and multiple and possibly overlapping tax laws. In addition, we may face competition in certain countries from companies that may have more experience with operations in such countries or with international operations generally. We may also face difficulties integrating new facilities in different countries into our existing operations, as well as integrating employees hired in different countries into our existing corporate culture. If we do not effectively manage our operations in these subsidiaries and review equity investees effectively, or if we fail to manage our alliances, we may lose money in these countries, and it may adversely affect our business and results of our operations. In all interactions with foreign regulatory authorities and other government agencies, we are exposed to liability risks under the Foreign Corrupt Practices Act or similar anti-bribery laws.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product for which we obtain marketing approval could be subject to restrictions or withdrawal from the market and we may be subject to penalties if we fail to comply with regulatory requirements or if we experience unanticipated problems with products.</w:t>
      </w:r>
    </w:p>
    <w:p>
      <w:pPr>
        <w:spacing w:after="0" w:line="107"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Any regulatory approvals that we receive for our drug candidates may be subject to limitations on the indicated uses for which the drug may be marketed or to conditions of approval that may require potentially costly post-marketing clinical trials or surveillance to monitor safety and efficacy of the drug candidate. In addition, any product for which we obtain marketing approval, along with the manufacturing processes and facilities, post-approval clinical data, labeling, advertising and promotional activities for such product, will be subject to continual requirements of, and review by, the FDA and comparable regulatory authorities. These requirements include submissions of safety and other post-marketing information and reports, registration requirements, current Good Manufacturing Practice (cGMP) requirements relating to quality control, quality assurance and corresponding maintenance of records and documents, and requirements regarding promotional interactions with healthcare professionals.</w:t>
      </w:r>
    </w:p>
    <w:p>
      <w:pPr>
        <w:spacing w:after="0" w:line="188"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Failure to comply with these regulatory requirements or later discovery of previously unknown problems with products, manufacturers, or manufacturing processes, may result in actions such as:</w:t>
      </w:r>
    </w:p>
    <w:p>
      <w:pPr>
        <w:spacing w:after="0" w:line="81" w:lineRule="exact"/>
        <w:rPr>
          <w:sz w:val="20"/>
          <w:szCs w:val="20"/>
          <w:color w:val="auto"/>
        </w:rPr>
      </w:pPr>
    </w:p>
    <w:p>
      <w:pPr>
        <w:ind w:left="1040" w:hanging="315"/>
        <w:spacing w:after="0"/>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product manufacturing, distribution or use;</w:t>
      </w:r>
    </w:p>
    <w:p>
      <w:pPr>
        <w:spacing w:after="0" w:line="15" w:lineRule="exact"/>
        <w:rPr>
          <w:rFonts w:ascii="Times New Roman" w:cs="Times New Roman" w:eastAsia="Times New Roman" w:hAnsi="Times New Roman"/>
          <w:sz w:val="18"/>
          <w:szCs w:val="18"/>
          <w:color w:val="auto"/>
        </w:rPr>
      </w:pPr>
    </w:p>
    <w:p>
      <w:pPr>
        <w:ind w:left="1040" w:hanging="315"/>
        <w:spacing w:after="0" w:line="234" w:lineRule="auto"/>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labeling or marketing of a product;</w:t>
      </w:r>
    </w:p>
    <w:p>
      <w:pPr>
        <w:ind w:left="1040" w:hanging="315"/>
        <w:spacing w:after="0" w:line="234" w:lineRule="auto"/>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studies or clinical trials;</w:t>
      </w:r>
    </w:p>
    <w:p>
      <w:pPr>
        <w:ind w:left="1040" w:hanging="315"/>
        <w:spacing w:after="0" w:line="234" w:lineRule="auto"/>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w:t>
      </w:r>
    </w:p>
    <w:p>
      <w:pPr>
        <w:ind w:left="1040" w:hanging="315"/>
        <w:spacing w:after="0" w:line="234" w:lineRule="auto"/>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the products from the market;</w:t>
      </w:r>
    </w:p>
    <w:p>
      <w:pPr>
        <w:ind w:left="1040" w:right="79" w:hanging="315"/>
        <w:spacing w:after="0" w:line="226" w:lineRule="auto"/>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or our subsidiaries submit;</w:t>
      </w:r>
    </w:p>
    <w:p>
      <w:pPr>
        <w:spacing w:after="0" w:line="1" w:lineRule="exact"/>
        <w:rPr>
          <w:rFonts w:ascii="Times New Roman" w:cs="Times New Roman" w:eastAsia="Times New Roman" w:hAnsi="Times New Roman"/>
          <w:sz w:val="18"/>
          <w:szCs w:val="18"/>
          <w:color w:val="auto"/>
        </w:rPr>
      </w:pPr>
    </w:p>
    <w:p>
      <w:pPr>
        <w:ind w:left="1040" w:hanging="315"/>
        <w:spacing w:after="0" w:line="234" w:lineRule="auto"/>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recalls;</w:t>
      </w:r>
    </w:p>
    <w:p>
      <w:pPr>
        <w:ind w:left="1040" w:hanging="315"/>
        <w:spacing w:after="0" w:line="234" w:lineRule="auto"/>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termination of ongoing clinical trials;</w:t>
      </w:r>
    </w:p>
    <w:p>
      <w:pPr>
        <w:ind w:left="1040" w:hanging="315"/>
        <w:spacing w:after="0" w:line="234" w:lineRule="auto"/>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restitutions, or disgorgement of profits or revenues;</w:t>
      </w:r>
    </w:p>
    <w:p>
      <w:pPr>
        <w:ind w:left="1040" w:hanging="315"/>
        <w:spacing w:after="0" w:line="234" w:lineRule="auto"/>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products;</w:t>
      </w:r>
    </w:p>
    <w:p>
      <w:pPr>
        <w:ind w:left="1040" w:hanging="315"/>
        <w:spacing w:after="0" w:line="234" w:lineRule="auto"/>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detentions;</w:t>
      </w:r>
    </w:p>
    <w:p>
      <w:pPr>
        <w:ind w:left="1040" w:hanging="315"/>
        <w:spacing w:after="0" w:line="234" w:lineRule="auto"/>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 and</w:t>
      </w:r>
    </w:p>
    <w:p>
      <w:pPr>
        <w:ind w:left="1040" w:hanging="315"/>
        <w:spacing w:after="0"/>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w:t>
      </w:r>
    </w:p>
    <w:p>
      <w:pPr>
        <w:spacing w:after="0" w:line="205"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Any government investigation of alleged violations of law could require us to expend significant time and resources in response and could generate negative publicity. In addition, the FDA’s regulations, policies or guidance may change and new or additional statutes or government regulations may be enacted that could prevent or delay regulatory approval of our product candidates or further restrict or regulate post-approval activities. We also cannot predict the likelihood, nature, or extent of adverse government regulation that may arise from pending or future legislation or administrative action, either in the United States or abroad.</w:t>
      </w:r>
    </w:p>
    <w:p>
      <w:pPr>
        <w:spacing w:after="0" w:line="18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If we, or our respective suppliers, third-party contractors, clinical investigators or collaborators are slow to adapt, or are unable to adapt, to changes in existing regulatory requirements or adoption of new regulatory requirements or policies, we, our subsidiaries, or our respective collaborators may be subject to the actions listed above, including losing marketing approval for products, resulting in decreased revenue from milestones, product sales or royalties.</w:t>
      </w:r>
    </w:p>
    <w:p>
      <w:pPr>
        <w:spacing w:after="0" w:line="176"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any of our contract manufacturers and suppliers fail to comply with environmental, health and safety laws and regulations, we could become subject to fines or penalties or incur costs that could seriously harm our business.</w:t>
      </w:r>
    </w:p>
    <w:p>
      <w:pPr>
        <w:spacing w:after="0" w:line="15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Our third-party manufacturers, suppliers, and we are subject to federal, state, and local laws and regulations governing the use, manufacture, storage, handling, release, disposal of, and exposure to, hazardous and regulated materials. Violation of these laws and regulations could lead to substantial fines and penalties. Although we believe that our safety procedures, and those of our third-party manufacturers, for handling and disposing of these materials comply with the standards prescribed by these laws and regulations, we cannot eliminate the risk of accidental contamination or injury from these materials. In the event of an accident, state or federal authorities may curtail our use of these materials and interrupt our business operations. In addition, we could become subject to potentially material liabilities relating to the investigation and cleanup of any contamination, whether currently unknown or caused by future releases.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Dependence on Third Parties</w:t>
      </w:r>
    </w:p>
    <w:p>
      <w:pPr>
        <w:spacing w:after="0" w:line="225"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generate clinical, preclinical and other data necessary to support the regulatory applications needed to conduct clinical trials and submit for marketing approval. We rely on third parties to help conduct our planned clinical trials. If these third parties do not perform their services as required, we may not be able to obtain regulatory approval for or commercialize our product candidates when expected or at all.</w:t>
      </w:r>
    </w:p>
    <w:p>
      <w:pPr>
        <w:spacing w:after="0" w:line="180"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In order to submit an Investigational New Drug Application (IND), BLA, or NDA to the FDA and maintain these applications, it is necessary to submit all information on the clinical, non-clinical, chemistry, manufacturing, controls and quality aspects of the product candidate. Clinical trial applications and marketing authorization applications for foreign regulatory bodies have substantially similar requirements. We rely on our third-party contractors and our licensing partners to provide portions of this data. If we are unable to obtain this data, or the data is not sufficient to meet the regulatory requirements, we may experience significant delays in our development programs.</w:t>
      </w:r>
    </w:p>
    <w:p>
      <w:pPr>
        <w:spacing w:after="0" w:line="187" w:lineRule="exact"/>
        <w:rPr>
          <w:sz w:val="20"/>
          <w:szCs w:val="20"/>
          <w:color w:val="auto"/>
        </w:rPr>
      </w:pPr>
    </w:p>
    <w:p>
      <w:pPr>
        <w:jc w:val="both"/>
        <w:ind w:left="60" w:right="59" w:firstLine="648"/>
        <w:spacing w:after="0" w:line="251" w:lineRule="auto"/>
        <w:rPr>
          <w:sz w:val="20"/>
          <w:szCs w:val="20"/>
          <w:color w:val="auto"/>
        </w:rPr>
      </w:pPr>
      <w:r>
        <w:rPr>
          <w:rFonts w:ascii="Times New Roman" w:cs="Times New Roman" w:eastAsia="Times New Roman" w:hAnsi="Times New Roman"/>
          <w:sz w:val="18"/>
          <w:szCs w:val="18"/>
          <w:color w:val="auto"/>
        </w:rPr>
        <w:t>Additionally, we use CROs to assist in the conduct of our current clinical trials and expect to use such services for future clinical trials and we rely upon medical institutions, clinical investigators and contract laboratories to conduct our trials in accordance with our clinical protocols and appropriate regulations. Our current and future CROs, investigators and other third parties play a significant role in the conduct of our trials and the subsequent collection and analysis of data from the clinical trials. There is no guarantee that any CROs, investigators and other third parties will devote adequate time and resources to our clinical trials or perform as contractually required. If any third parties upon whom we rely for administration and conduct of our clinical trials fail to meet expected deadlines, fail to adhere to its clinical protocols or otherwise perform in a substandard manner, our clinical trials may be extended, delayed or terminated, and we may not be able to commercialize our product candidates. In addition to the third parties identified above, we are also heavily reliant on the conduct of our patients enrolled to our studies by our third-party investigators. We rely on our clinical trial sites and investigators to properly identify and screen eligible candidates for our clinical trials, and for them to ensure participants adhere to our clinical protocol requirements. The majority of our clinical trial conduct occurs in the outpatient setting, where patients are expected to continue to adhere to our study protocol specified requirements. The ability of our enrolled patients to properly identify, document, and report adverse events; take protocol specified study drugs at the correct quantity, time, and setting, as applicable; avoid contraindicated medications; and comply with other protocol specified procedures such as returning to the trial site for scheduled laboratory and disease assessments, is wholly out of our control. Deviations from protocol procedures, such as those identified previously, could materially affect the quality of our clinical trial data, and therefore ultimately affect our ability to develop and commercialize our drug candidates. If any of our clinical trial sites terminates for any reason, we may experience the loss of follow-up information on patients enrolled in our ongoing clinical trials unless we are able to transfer the care of those patients to another qualified clinical trial site. If any of our clinical trial sites is required by the FDA or IRB to close down due to data management or patient management or any other issues, we may lose clinical trial subjects.</w:t>
      </w:r>
    </w:p>
    <w:p>
      <w:pPr>
        <w:spacing w:after="0" w:line="206"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Whether conducted through a CRO or through our internal staff, we are solely responsible for ensuring that each of our clinical trials is conducted in accordance with the applicable protocol, legal and regulatory requirements and scientific standards, and our reliance on CROs will not relieve us of our regulatory responsibilities. For any violations of laws and regulations during the conduct of our clinical trials, we could be subject to warning letters or other enforcement actions that may include civil penalties or criminal prosecution. We and our CROs are required to comply with regulations, including GCP guidelines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European Economic Area and comparable foreign regulatory authorities for any drug candidates in clinical development. The FDA enforces GCP regulations through periodic inspections of clinical trial sponsors, clinical investigators, CROs, institutional review boards, and non-clinical laboratories. If we, our CROs, our investigators or other third parties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our current or future clinical trials comply with GCPs. In addition, our clinical trials must be conducted with drug candidates produced under cGMP regulations. Our failure or the failure of our CROs or CMOs to comply with these regulations may require us to repeat clinical trials, which would delay the regulatory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approval process and could also subject us to enforcement action. We also are required to register most ongoing clinical trials and post the results of completed clinical trials on government-sponsored databases, e.g., ClinicalTrials.gov, within certain timeframes. Failure to do so can result in fines, adverse publicity and civil and criminal sanctions.</w:t>
      </w:r>
    </w:p>
    <w:p>
      <w:pPr>
        <w:spacing w:after="0" w:line="176"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CROs play an important role in the conduct of our clinical trials, especially outside of the United States. As a result, many important aspects of our development programs, including their conduct and timing, will be outside of our direct control. Our reliance on third parties to conduct current or future clinical trials will also result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187" w:lineRule="exact"/>
        <w:rPr>
          <w:sz w:val="20"/>
          <w:szCs w:val="20"/>
          <w:color w:val="auto"/>
        </w:rPr>
      </w:pPr>
    </w:p>
    <w:p>
      <w:pPr>
        <w:ind w:left="1040" w:hanging="315"/>
        <w:spacing w:after="0"/>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staffing difficulties;</w:t>
      </w:r>
    </w:p>
    <w:p>
      <w:pPr>
        <w:spacing w:after="0" w:line="2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comply with contractual obligations;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regulatory compliance issues;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undergo changes in priorities or become financially distressed; or</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relationships with other entities, some of which may be our competitors.</w:t>
      </w:r>
    </w:p>
    <w:p>
      <w:pPr>
        <w:spacing w:after="0" w:line="207"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These factors may materially adversely affect the willingness or ability of third parties to conduct our clinical trials and may subject us to unexpected cost increases that are beyond our control. If the CROs do not perform clinical trials in a satisfactory manner, breach their obligations to us or fail to comply with regulatory requirements, the development, regulatory approval and commercialization of our drug candidates may be delayed, we may not be able to obtain regulatory approval and commercialize our drug candidates, or our development program may be materially and irreversibly harmed. If we are unable to rely on clinical data collected by our CROs, we could be required to repeat, extend the duration of, or increase the size of any clinical trials we conduct, and this could significantly delay commercialization and require significantly greater expenditures.</w:t>
      </w:r>
    </w:p>
    <w:p>
      <w:pPr>
        <w:spacing w:after="0" w:line="192"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If any of our relationships with these third-party CROs terminate, we may not be able to enter into arrangements with alternative CROs.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any clinical trials such CROs are associated with may be extended, delayed or terminated, and we may not be able to obtain regulatory approval for or successfully commercialize our product candidates. As a result, we believe that our financial results and the commercial prospects for our product candidates in the subject indication would be harmed, our costs could increase and our ability to generate revenue could be delayed.</w:t>
      </w:r>
    </w:p>
    <w:p>
      <w:pPr>
        <w:spacing w:after="0" w:line="188"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contract with third parties for the manufacture of clinical product supply, and we expect to continue to do so, including for commercial supply of ublituximab. This reliance on third parties increases the risk that we will not have sufficient quantities of our products or product candidates or such quantities at an acceptable cost or quality, which could delay, prevent or impair our development or commercialization efforts.</w:t>
      </w:r>
    </w:p>
    <w:p>
      <w:pPr>
        <w:spacing w:after="0" w:line="180"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We do not currently own or operate, nor do we have any plans to establish in the future, any manufacturing facilities. We rely, and expect to continue to rely, on third parties for the manufacture, packaging and labeling of any products that we commercialize and our product candidates for pre-clinical development and clinical testing. For example, we currently rely on Samsung Biologics for clinical supply of ublituximab and will rely on Samsung Biologics for commercial supply, if ublituximab is approved. Our reliance on third parties increases the risk that we will not have sufficient quantities of our products or product candidates or such quantities at an acceptable cost or quality, which could delay, prevent or impair our development or commercialization efforts.</w:t>
      </w:r>
    </w:p>
    <w:p>
      <w:pPr>
        <w:spacing w:after="0" w:line="189" w:lineRule="exact"/>
        <w:rPr>
          <w:sz w:val="20"/>
          <w:szCs w:val="20"/>
          <w:color w:val="auto"/>
        </w:rPr>
      </w:pPr>
    </w:p>
    <w:p>
      <w:pPr>
        <w:jc w:val="both"/>
        <w:ind w:left="60" w:right="59" w:firstLine="486"/>
        <w:spacing w:after="0" w:line="256" w:lineRule="auto"/>
        <w:rPr>
          <w:sz w:val="20"/>
          <w:szCs w:val="20"/>
          <w:color w:val="auto"/>
        </w:rPr>
      </w:pPr>
      <w:r>
        <w:rPr>
          <w:rFonts w:ascii="Times New Roman" w:cs="Times New Roman" w:eastAsia="Times New Roman" w:hAnsi="Times New Roman"/>
          <w:sz w:val="18"/>
          <w:szCs w:val="18"/>
          <w:color w:val="auto"/>
        </w:rPr>
        <w:t>The facilities used by contract manufacturers to manufacture our drug candidates typically undergo inspections by the FDA or a comparable foreign regulatory to verify compliance with applicable cGMP regulations. Such inspections may be conducted after we submit our marketing applications to or receive marketing approval from the FDA or a comparable foreign regulatory authority. Although the FDA and other regulators impose requirements regarding our selection, qualification, oversight, and monitoring of our contract manufacturers and hold us responsible for the ultimate compliance of our products, we do not directly control the manufacturing process of our third-party contract manufacturers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and are subject to risks associated with their ability to comply with cGMPs in connection with the manufacture of our products and product candidates. If our contract manufacturers cannot successfully manufacture material that conforms to our specifications and the strict regulatory requirements of the FDA or others and the compliance concerns cannot be resolved, remediated, or otherwise addressed to the FDA’s satisfaction in a timely manner during the review of any NDAs or BLAs that we submit, it may negatively impact our ability to obtain regulatory approval for our drug candidates or obtain approval within projected timelines. We cannot guarantee the ability of our third-party manufacturers to maintain compliance with cGMP regulations, including having adequate quality control, quality assurance and qualified personnel. Further,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products or product candidates, operating restrictions and criminal prosecutions, any of which could significantly and adversely affect our business and supplies of our products or product candidates.</w:t>
      </w:r>
    </w:p>
    <w:p>
      <w:pPr>
        <w:spacing w:after="0" w:line="19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Our reliance on third-party manufacturers entails additional risks, including:</w:t>
      </w:r>
    </w:p>
    <w:p>
      <w:pPr>
        <w:spacing w:after="0" w:line="225" w:lineRule="exact"/>
        <w:rPr>
          <w:sz w:val="20"/>
          <w:szCs w:val="20"/>
          <w:color w:val="auto"/>
        </w:rPr>
      </w:pPr>
    </w:p>
    <w:p>
      <w:pPr>
        <w:ind w:left="1040" w:hanging="315"/>
        <w:spacing w:after="0"/>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the third party for regulatory compliance and quality assurance;</w:t>
      </w:r>
    </w:p>
    <w:p>
      <w:pPr>
        <w:spacing w:after="0" w:line="2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breach of the manufacturing or supply agreement by the third party;</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misappropriation of our proprietary information, including our trade secrets and know-how; and</w:t>
      </w:r>
    </w:p>
    <w:p>
      <w:pPr>
        <w:spacing w:after="0" w:line="9" w:lineRule="exact"/>
        <w:rPr>
          <w:rFonts w:ascii="Times New Roman" w:cs="Times New Roman" w:eastAsia="Times New Roman" w:hAnsi="Times New Roman"/>
          <w:sz w:val="18"/>
          <w:szCs w:val="18"/>
          <w:color w:val="auto"/>
        </w:rPr>
      </w:pPr>
    </w:p>
    <w:p>
      <w:pPr>
        <w:ind w:left="1040" w:right="79" w:hanging="315"/>
        <w:spacing w:after="0" w:line="260" w:lineRule="auto"/>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termination or nonrenewal of the agreement by the third party at a time that is costly or inconvenient for us.</w:t>
      </w:r>
    </w:p>
    <w:p>
      <w:pPr>
        <w:spacing w:after="0" w:line="181"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Moreover, our current long-term supply agreement for ublituximab contains certain minimum purchases in what are commonly referred to as a “take or pay” provision, and it is possible that future supply agreements could contain such provisions. To the extent our demand does not meet the minimum supply required amounts, we would be forced to pay more than desired. This could create a situation where we are spending more than required and could impact our on-going operations and entail curtailing other important research and development or commercialization efforts, all of which could have a material adverse effect on the Company. In negotiating our supply agreement for ublituximab, there is no guarantee that we have foreseen all eventualities or that our third-party manufacturer will be able to accommodate unforeseen changes in business direction in a timely fashion or at all. Scheduling of manufacturing at our third-party manufacturer is governed by contractual terms that require us to make investments in inventory of materials, with limited shelf-life, in advance of regulatory approval and based on preliminary commercial forecasting, and such inventory may not be used if timelines and supply needs shift.</w:t>
      </w:r>
    </w:p>
    <w:p>
      <w:pPr>
        <w:spacing w:after="0" w:line="192"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Our drug candidates and any drugs that we may develop may compete with other drug candidates and approved drugs for access to manufacturing facilities. There are a limited number of manufacturers that operate under cGMP regulations and that might be capable of manufacturing for us. Any third-party manufacturer with which we contract will have other clients, and our relative importance as a customer may adversely impact contractual terms or the performance of services in a satisfactory manner or on a timely basis.</w:t>
      </w:r>
    </w:p>
    <w:p>
      <w:pPr>
        <w:spacing w:after="0" w:line="183"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Any performance failure on the part of our existing or future manufacturers could delay clinical development or marketing approval or interrupt commercial distribution. If our current contract manufacturers cannot perform as agreed, we may be required to replace such manufacturers causing additional costs and delays in identifying and qualifying any such replacement. If a new contract manufacturer is not successful in replicating the product or experiences delays, or if regulatory authorities impose unforeseen requirements with respect to product comparability from multiple manufacturing sources, we may experience delays in clinical development or an interruption in our commercial supply. No assurance can be given that any new manufacturer will be successful or that material manufactured by a new manufacturer will perform comparably to product manufactured by the previous manufacturer or that the relevant regulatory agencies will agree with our interpretation of comparability. Any significant delays or gaps in supply of commercial or clinical product may adversely affect our clinical development program, our ability to commercialize any drugs that receive marketing approval on a timely and competitive basis, and our future profit margins.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8" w:name="page59"/>
    <w:bookmarkEnd w:id="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We also rely on other third parties to store and distribute drug supplies for our clinical trials and expect to continue to do so for any potential commercial product. Any performance failure on the part of our distributors could delay clinical development or marketing approval of any future product candidates or commercialization of our products, producing additional losses and depriving us of potential product revenue.</w:t>
      </w:r>
    </w:p>
    <w:p>
      <w:pPr>
        <w:spacing w:after="0" w:line="176" w:lineRule="exact"/>
        <w:rPr>
          <w:sz w:val="20"/>
          <w:szCs w:val="20"/>
          <w:color w:val="auto"/>
        </w:rPr>
      </w:pPr>
    </w:p>
    <w:p>
      <w:pPr>
        <w:jc w:val="both"/>
        <w:ind w:left="60" w:right="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third parties upon whom we rely for the supply of starting materials, intermediates, active pharmaceutical ingredient (API)/drug substance, drug product, and other materials used in our drug candidates are our sole source of supply, and the loss or disruption of any of these suppliers could significantly harm our business.</w:t>
      </w:r>
    </w:p>
    <w:p>
      <w:pPr>
        <w:spacing w:after="0" w:line="175"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The starting materials, intermediates, API/drug substance, and drug product used in many of our drug candidates are currently supplied to us from single-source suppliers. Our ability to successfully develop our drug candidates, supply our drug candidates for clinical trials and to ultimately supply our commercial drugs in quantities sufficient to meet the market demand, depends in part on our ability to obtain starting materials, intermediates, API/drug substance, and drug product for these drugs in accordance with regulatory requirements and in sufficient quantities for clinical testing and commercialization. It is expected that many of our manufacturing partners will be sole source suppliers from single site locations for the foreseeable future. Various raw materials, components, and testing services required for our product candidates may also be single sourced. We are not certain that our single-source suppliers will be able to supply sufficient quantities of their products or on the timelines necessary to meet our needs, either because of the nature of our agreements with those suppliers, our limited experience with those suppliers, our relative importance as a customer to those suppliers, international political conflicts that may impact trade or the supply chain within a particular region, public health emergencies such as the COVID-19 pandemic or natural disasters that may cause those suppliers to stop work for a period of time or lead to a sudden increase in demand for selected materials resulting in short-term unavailability of such materials. If any of our suppliers ceases its operations for any reason or is unable or unwilling to supply starting materials, intermediates, API/drug substance, and drug product in sufficient quantities or on the timelines necessary to meet our needs, it could significantly and adversely affect our business, the supply of our drug candidates and our financial condition. In addition, if our current or future supply of any of our products or product candidates should fail to meet specifications during its stability program there could be a voluntary or mandatory product recall if the product is approved and, even in the absence of a recall, there could be significant interruption of our supply of drug, which would adversely affect the clinical development and commercialization of the product.</w:t>
      </w:r>
    </w:p>
    <w:p>
      <w:pPr>
        <w:spacing w:after="0" w:line="18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COVID-19 pandemic has caused strain on the global supply chain. Although the pandemic has not had a material adverse effect on our supply chain to date, no assurance can be given that it will not in the future if the situation persists or worsens. In addition to potential disruptions at our contract manufacturers, there may be unfavorable changes in the availability or cost of raw materials, intermediates or other materials that we need for clinical and commercial production, which may result in higher costs or supply chain interruptions.</w:t>
      </w:r>
    </w:p>
    <w:p>
      <w:pPr>
        <w:spacing w:after="0" w:line="183"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We continually evaluate our supply chains to identify potential risks and needs for additional manufacturers and other suppliers for the production of our products and product candidates. Establishing additional or replacement suppliers for the API/drug substance, drug product, and certain raw materials, if required, may not be accomplished quickly or at all and may involve significant expense. If we are able to find a replacement supplier, we would need to evaluate and qualify such replacement supplier and its ability to meet quality and compliance standards. Any change in suppliers or the manufacturing process could require additional regulatory approval and result in operational delays. While we seek to maintain adequate inventory of materials necessary for the production of our products and product candidates, any supply interruption or delay, or our inability to identify alternate sources at acceptable prices in a timely manner could impede, delay, limit or prevent our commercialization and development efforts, which could harm our business, results of operations, financial condition and prospects.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9" w:name="page60"/>
    <w:bookmarkEnd w:id="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ind w:left="60" w:right="5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Because we have in-licensed our product candidates from third parties, any dispute with or non-performance by our licensors will adversely affect our ability to develop and commercialize the applicable product or product candidate.</w:t>
      </w:r>
    </w:p>
    <w:p>
      <w:pPr>
        <w:spacing w:after="0" w:line="131" w:lineRule="exact"/>
        <w:rPr>
          <w:sz w:val="20"/>
          <w:szCs w:val="20"/>
          <w:color w:val="auto"/>
        </w:rPr>
      </w:pPr>
    </w:p>
    <w:p>
      <w:pPr>
        <w:jc w:val="both"/>
        <w:ind w:left="60" w:right="59" w:firstLine="648"/>
        <w:spacing w:after="0"/>
        <w:rPr>
          <w:sz w:val="20"/>
          <w:szCs w:val="20"/>
          <w:color w:val="auto"/>
        </w:rPr>
      </w:pPr>
      <w:r>
        <w:rPr>
          <w:rFonts w:ascii="Times New Roman" w:cs="Times New Roman" w:eastAsia="Times New Roman" w:hAnsi="Times New Roman"/>
          <w:sz w:val="18"/>
          <w:szCs w:val="18"/>
          <w:color w:val="auto"/>
        </w:rPr>
        <w:t>Because we license our product candidates from third parties and we expect to continue to in-license additional product candidates, if there is any dispute between us and our licensor regarding our rights under a license agreement, our ability to develop and commercialize the applicable product or product candidate may be adversely affected. Disputes may arise with the third parties from whom we license our products and product candidates for a variety of reasons, including:</w:t>
      </w:r>
    </w:p>
    <w:p>
      <w:pPr>
        <w:spacing w:after="0" w:line="171" w:lineRule="exact"/>
        <w:rPr>
          <w:sz w:val="20"/>
          <w:szCs w:val="20"/>
          <w:color w:val="auto"/>
        </w:rPr>
      </w:pPr>
    </w:p>
    <w:p>
      <w:pPr>
        <w:ind w:left="1040" w:hanging="315"/>
        <w:spacing w:after="0"/>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5" w:lineRule="exact"/>
        <w:rPr>
          <w:rFonts w:ascii="Times New Roman" w:cs="Times New Roman" w:eastAsia="Times New Roman" w:hAnsi="Times New Roman"/>
          <w:sz w:val="18"/>
          <w:szCs w:val="18"/>
          <w:color w:val="auto"/>
        </w:rPr>
      </w:pPr>
    </w:p>
    <w:p>
      <w:pPr>
        <w:ind w:left="1040" w:right="79" w:hanging="315"/>
        <w:spacing w:after="0" w:line="226" w:lineRule="auto"/>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technology and processes infringe on intellectual property of the licensor that is not subject to the license agreement;</w:t>
      </w:r>
    </w:p>
    <w:p>
      <w:pPr>
        <w:spacing w:after="0" w:line="1" w:lineRule="exact"/>
        <w:rPr>
          <w:rFonts w:ascii="Times New Roman" w:cs="Times New Roman" w:eastAsia="Times New Roman" w:hAnsi="Times New Roman"/>
          <w:sz w:val="18"/>
          <w:szCs w:val="18"/>
          <w:color w:val="auto"/>
        </w:rPr>
      </w:pPr>
    </w:p>
    <w:p>
      <w:pPr>
        <w:ind w:left="1040" w:right="79" w:hanging="315"/>
        <w:spacing w:after="0" w:line="226" w:lineRule="auto"/>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sublicensing of patent and other rights under our collaborative development relationships and obligations associated with sublicensing;</w:t>
      </w:r>
    </w:p>
    <w:p>
      <w:pPr>
        <w:spacing w:after="0" w:line="1" w:lineRule="exact"/>
        <w:rPr>
          <w:rFonts w:ascii="Times New Roman" w:cs="Times New Roman" w:eastAsia="Times New Roman" w:hAnsi="Times New Roman"/>
          <w:sz w:val="18"/>
          <w:szCs w:val="18"/>
          <w:color w:val="auto"/>
        </w:rPr>
      </w:pPr>
    </w:p>
    <w:p>
      <w:pPr>
        <w:ind w:left="1040" w:hanging="315"/>
        <w:spacing w:after="0" w:line="234" w:lineRule="auto"/>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under the license agreement and what activities satisfy those diligence obligations;</w:t>
      </w:r>
    </w:p>
    <w:p>
      <w:pPr>
        <w:ind w:left="1040" w:right="79" w:hanging="315"/>
        <w:spacing w:after="0" w:line="226" w:lineRule="auto"/>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inventions and know-how resulting from the joint creation or use of intellectual property by our licensors and us and our partners; and</w:t>
      </w:r>
    </w:p>
    <w:p>
      <w:pPr>
        <w:spacing w:after="0" w:line="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patented technology.</w:t>
      </w:r>
    </w:p>
    <w:p>
      <w:pPr>
        <w:spacing w:after="0" w:line="192" w:lineRule="exact"/>
        <w:rPr>
          <w:sz w:val="20"/>
          <w:szCs w:val="20"/>
          <w:color w:val="auto"/>
        </w:rPr>
      </w:pPr>
    </w:p>
    <w:p>
      <w:pPr>
        <w:jc w:val="both"/>
        <w:ind w:left="60" w:right="59" w:firstLine="648"/>
        <w:spacing w:after="0" w:line="232" w:lineRule="auto"/>
        <w:rPr>
          <w:sz w:val="20"/>
          <w:szCs w:val="20"/>
          <w:color w:val="auto"/>
        </w:rPr>
      </w:pPr>
      <w:r>
        <w:rPr>
          <w:rFonts w:ascii="Times New Roman" w:cs="Times New Roman" w:eastAsia="Times New Roman" w:hAnsi="Times New Roman"/>
          <w:sz w:val="18"/>
          <w:szCs w:val="18"/>
          <w:color w:val="auto"/>
        </w:rPr>
        <w:t>In addition, the agreements under which we currently license our product candidates from third parties are complex, and certain provisions in such agreements may be susceptible to multiple interpretations, or may conflict in such a way that puts us in breach of one or more agreements, which would make us susceptible to lengthy and expensive disputes with one or more of our licensing partners.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or product candidate, which could have a material adverse effect on our business, financial conditions, results of operations, and prospects.</w:t>
      </w:r>
    </w:p>
    <w:p>
      <w:pPr>
        <w:spacing w:after="0" w:line="171"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If conflicts arise between us and our future collaborators or strategic partners, these parties may act in a manner adverse to us and could limit our ability to implement our strategies.</w:t>
      </w:r>
    </w:p>
    <w:p>
      <w:pPr>
        <w:spacing w:after="0" w:line="158" w:lineRule="exact"/>
        <w:rPr>
          <w:sz w:val="20"/>
          <w:szCs w:val="20"/>
          <w:color w:val="auto"/>
        </w:rPr>
      </w:pPr>
    </w:p>
    <w:p>
      <w:pPr>
        <w:jc w:val="both"/>
        <w:ind w:left="60" w:right="59" w:firstLine="648"/>
        <w:spacing w:after="0" w:line="233" w:lineRule="auto"/>
        <w:rPr>
          <w:sz w:val="20"/>
          <w:szCs w:val="20"/>
          <w:color w:val="auto"/>
        </w:rPr>
      </w:pPr>
      <w:r>
        <w:rPr>
          <w:rFonts w:ascii="Times New Roman" w:cs="Times New Roman" w:eastAsia="Times New Roman" w:hAnsi="Times New Roman"/>
          <w:sz w:val="18"/>
          <w:szCs w:val="18"/>
          <w:color w:val="auto"/>
        </w:rPr>
        <w:t>If conflicts arise between our future corporate or academic collaborators or strategic partners and us, the other party may act in a manner adverse to us and could limit our ability to implement our strategies. Future collaborators or strategic partners, may develop, either alone or with others, products in related fields that are competitive with the products or potential products that are the subject of these collaborations. Competing products, either developed by the collaborators or strategic partners or to which the collaborators or strategic partners have rights, may result in the withdrawal of partner support for any future product candidates. Our current or future collaborators or strategic partners may preclude us from entering into collaborations with their competitors, fail to obtain timely regulatory approvals, terminate their agreements with us prematurely, or fail to devote sufficient resources to the development and commercialization of products. Any of these developments could harm any future product development efforts.</w:t>
      </w:r>
    </w:p>
    <w:p>
      <w:pPr>
        <w:spacing w:after="0" w:line="158" w:lineRule="exact"/>
        <w:rPr>
          <w:sz w:val="20"/>
          <w:szCs w:val="20"/>
          <w:color w:val="auto"/>
        </w:rPr>
      </w:pPr>
    </w:p>
    <w:p>
      <w:pPr>
        <w:jc w:val="both"/>
        <w:ind w:left="60" w:right="5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seek to establish additional collaborations, and if we are not able to establish them on commercially reasonable terms, we may have to alter our development and commercialization plans.</w:t>
      </w:r>
    </w:p>
    <w:p>
      <w:pPr>
        <w:spacing w:after="0" w:line="131" w:lineRule="exact"/>
        <w:rPr>
          <w:sz w:val="20"/>
          <w:szCs w:val="20"/>
          <w:color w:val="auto"/>
        </w:rPr>
      </w:pPr>
    </w:p>
    <w:p>
      <w:pPr>
        <w:jc w:val="both"/>
        <w:ind w:left="60" w:right="59" w:firstLine="648"/>
        <w:spacing w:after="0"/>
        <w:rPr>
          <w:sz w:val="20"/>
          <w:szCs w:val="20"/>
          <w:color w:val="auto"/>
        </w:rPr>
      </w:pPr>
      <w:r>
        <w:rPr>
          <w:rFonts w:ascii="Times New Roman" w:cs="Times New Roman" w:eastAsia="Times New Roman" w:hAnsi="Times New Roman"/>
          <w:sz w:val="18"/>
          <w:szCs w:val="18"/>
          <w:color w:val="auto"/>
        </w:rPr>
        <w:t>Our drug development programs and the potential commercialization of our drug candidates will require substantial additional cash to fund expenses. For some of our drug candidates, we may decide to collaborate with additional pharmaceutical and biotechnology companies for the development and potential commercialization of those drug candidates.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0" w:name="page61"/>
    <w:bookmarkEnd w:id="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left="60" w:right="59" w:firstLine="648"/>
        <w:spacing w:after="0" w:line="233" w:lineRule="auto"/>
        <w:rPr>
          <w:sz w:val="20"/>
          <w:szCs w:val="20"/>
          <w:color w:val="auto"/>
        </w:rPr>
      </w:pPr>
      <w:r>
        <w:rPr>
          <w:rFonts w:ascii="Times New Roman" w:cs="Times New Roman" w:eastAsia="Times New Roman" w:hAnsi="Times New Roman"/>
          <w:sz w:val="18"/>
          <w:szCs w:val="18"/>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our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drugs,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The terms of any additional collaborations or other arrangements that we may establish may not be favorable to us.</w:t>
      </w:r>
    </w:p>
    <w:p>
      <w:pPr>
        <w:spacing w:after="0" w:line="166" w:lineRule="exact"/>
        <w:rPr>
          <w:sz w:val="20"/>
          <w:szCs w:val="20"/>
          <w:color w:val="auto"/>
        </w:rPr>
      </w:pPr>
    </w:p>
    <w:p>
      <w:pPr>
        <w:jc w:val="both"/>
        <w:ind w:left="60" w:right="59" w:firstLine="486"/>
        <w:spacing w:after="0"/>
        <w:rPr>
          <w:sz w:val="20"/>
          <w:szCs w:val="20"/>
          <w:color w:val="auto"/>
        </w:rPr>
      </w:pPr>
      <w:r>
        <w:rPr>
          <w:rFonts w:ascii="Times New Roman" w:cs="Times New Roman" w:eastAsia="Times New Roman" w:hAnsi="Times New Roman"/>
          <w:sz w:val="18"/>
          <w:szCs w:val="18"/>
          <w:color w:val="auto"/>
        </w:rPr>
        <w:t>We may be restricted under our collaboration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98" w:lineRule="exact"/>
        <w:rPr>
          <w:sz w:val="20"/>
          <w:szCs w:val="20"/>
          <w:color w:val="auto"/>
        </w:rPr>
      </w:pPr>
    </w:p>
    <w:p>
      <w:pPr>
        <w:jc w:val="both"/>
        <w:ind w:left="60" w:right="59" w:firstLine="486"/>
        <w:spacing w:after="0" w:line="254" w:lineRule="auto"/>
        <w:rPr>
          <w:sz w:val="20"/>
          <w:szCs w:val="20"/>
          <w:color w:val="auto"/>
        </w:rPr>
      </w:pPr>
      <w:r>
        <w:rPr>
          <w:rFonts w:ascii="Times New Roman" w:cs="Times New Roman" w:eastAsia="Times New Roman" w:hAnsi="Times New Roman"/>
          <w:sz w:val="18"/>
          <w:szCs w:val="18"/>
          <w:color w:val="auto"/>
        </w:rPr>
        <w:t>We may not be able to negotiate additional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revenue from their sales.</w:t>
      </w:r>
    </w:p>
    <w:p>
      <w:pPr>
        <w:spacing w:after="0" w:line="192"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Any future collaborations that we enter into may not be successful. The success of our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 Collaborations with pharmaceutical or biotechnology companies and other third parties often are terminated or allowed to expire by the other party. Any termination or expiration of any future collaboration agreement could adversely affect us financially or harm our business reputation.</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Relating to Our Intellectual Property</w:t>
      </w:r>
    </w:p>
    <w:p>
      <w:pPr>
        <w:spacing w:after="0" w:line="225"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upon our ability to obtain and protect our intellectual property and proprietary technologies. If the scope of our patent protection obtained is not sufficiently broad, our competitors could develop and commercialize technology and drugs similar or identical to ours, and our ability to successfully commercialize our technology and drugs may be impaired.</w:t>
      </w:r>
    </w:p>
    <w:p>
      <w:pPr>
        <w:spacing w:after="0" w:line="153" w:lineRule="exact"/>
        <w:rPr>
          <w:sz w:val="20"/>
          <w:szCs w:val="20"/>
          <w:color w:val="auto"/>
        </w:rPr>
      </w:pPr>
    </w:p>
    <w:p>
      <w:pPr>
        <w:jc w:val="both"/>
        <w:ind w:left="60" w:right="59" w:firstLine="648"/>
        <w:spacing w:after="0" w:line="235" w:lineRule="auto"/>
        <w:rPr>
          <w:sz w:val="20"/>
          <w:szCs w:val="20"/>
          <w:color w:val="auto"/>
        </w:rPr>
      </w:pPr>
      <w:r>
        <w:rPr>
          <w:rFonts w:ascii="Times New Roman" w:cs="Times New Roman" w:eastAsia="Times New Roman" w:hAnsi="Times New Roman"/>
          <w:sz w:val="18"/>
          <w:szCs w:val="18"/>
          <w:color w:val="auto"/>
        </w:rPr>
        <w:t>Our commercial success in part depends on obtaining and maintaining patent protection and trade secret protection in the United States and other countries with respect to any product we commercialize, our product candidates, their formulations and uses and the methods we use to manufacture them, as well as successfully defending these patents against third-party challenges. We seek to protect our proprietary and intellectual property position by filing patent applications in the United States and abroad related to our novel technologies and product candidates, and by maintenance of our trade secrets through proper procedures. Because we in-license our products and product candidates, we also rely on our licensors to protect the patent and other intellectual property rights necessary for commercialization.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1" w:name="page62"/>
    <w:bookmarkEnd w:id="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left="60" w:right="59" w:firstLine="648"/>
        <w:spacing w:after="0" w:line="235" w:lineRule="auto"/>
        <w:rPr>
          <w:sz w:val="20"/>
          <w:szCs w:val="20"/>
          <w:color w:val="auto"/>
        </w:rPr>
      </w:pPr>
      <w:r>
        <w:rPr>
          <w:rFonts w:ascii="Times New Roman" w:cs="Times New Roman" w:eastAsia="Times New Roman" w:hAnsi="Times New Roman"/>
          <w:sz w:val="18"/>
          <w:szCs w:val="18"/>
          <w:color w:val="auto"/>
        </w:rPr>
        <w:t>We will only be able to protect our technologies from unauthorized use by third parties to the extent that valid and enforceable patents or trade secrets cover them in the market they are being used or developed. The degree of patent protection we require to successfully commercialize our products and product candidates may be unavailable or severely limited in some cases and may not adequately protect our rights or permit us to gain or keep any competitive advantage. We cannot provide any assurances that any of our patents have, or that any of our pending patent applications that mature into issued patents will include, claims with a scope sufficient to protect any of our products. In addition, the laws of foreign countries may not protect our rights to the same extent as the laws of the United States.</w:t>
      </w:r>
    </w:p>
    <w:p>
      <w:pPr>
        <w:spacing w:after="0" w:line="174" w:lineRule="exact"/>
        <w:rPr>
          <w:sz w:val="20"/>
          <w:szCs w:val="20"/>
          <w:color w:val="auto"/>
        </w:rPr>
      </w:pPr>
    </w:p>
    <w:p>
      <w:pPr>
        <w:jc w:val="both"/>
        <w:ind w:left="60" w:right="59" w:firstLine="648"/>
        <w:spacing w:after="0" w:line="251" w:lineRule="auto"/>
        <w:rPr>
          <w:sz w:val="20"/>
          <w:szCs w:val="20"/>
          <w:color w:val="auto"/>
        </w:rPr>
      </w:pPr>
      <w:r>
        <w:rPr>
          <w:rFonts w:ascii="Times New Roman" w:cs="Times New Roman" w:eastAsia="Times New Roman" w:hAnsi="Times New Roman"/>
          <w:sz w:val="17"/>
          <w:szCs w:val="17"/>
          <w:color w:val="auto"/>
        </w:rPr>
        <w:t>Furthermore, patents have a limited lifespan. In the United States, the natural expiration of a patent is generally twenty years after it is filed. Various extensions may be available; however, the life of a patent, and the protection it affords, is limited. Given the amount of time required for the development, testing and regulatory review of new drug candidates, patents protecting such candidates might expire before or shortly after such candidates are commercialized. As a result, our owned patent portfolio may not provide us with adequate and continuing patent protection sufficient to exclude others from commercializing drugs similar or identical to our product candidates, including generic versions of such drugs.</w:t>
      </w:r>
    </w:p>
    <w:p>
      <w:pPr>
        <w:spacing w:after="0" w:line="150" w:lineRule="exact"/>
        <w:rPr>
          <w:sz w:val="20"/>
          <w:szCs w:val="20"/>
          <w:color w:val="auto"/>
        </w:rPr>
      </w:pPr>
    </w:p>
    <w:p>
      <w:pPr>
        <w:jc w:val="both"/>
        <w:ind w:left="60" w:right="59" w:firstLine="648"/>
        <w:spacing w:after="0" w:line="235" w:lineRule="auto"/>
        <w:rPr>
          <w:sz w:val="20"/>
          <w:szCs w:val="20"/>
          <w:color w:val="auto"/>
        </w:rPr>
      </w:pPr>
      <w:r>
        <w:rPr>
          <w:rFonts w:ascii="Times New Roman" w:cs="Times New Roman" w:eastAsia="Times New Roman" w:hAnsi="Times New Roman"/>
          <w:sz w:val="18"/>
          <w:szCs w:val="18"/>
          <w:color w:val="auto"/>
        </w:rPr>
        <w:t>Currently, we have granted several patents in the United States and EU, among other countries and several patents that have been applied for but have not yet been issued or have been issued in certain territories but not under all jurisdictions in which such applications have been filed. There can be no guarantee that any patents for which an application has already been filed, nor any patents filed in the future will be granted in any or all jurisdictions in which they were filed, or that all claims initially included in such patent applications will be allowed in the final patent that is issued. The patent application process is subject to numerous risks and uncertainties, and there can be no assurance that we or our partners will be successful in protecting our product candidates by obtaining and defending patents, or what the scope of an issued patent may ultimately be.</w:t>
      </w:r>
    </w:p>
    <w:p>
      <w:pPr>
        <w:spacing w:after="0" w:line="17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These risks and uncertainties include the following:</w:t>
      </w:r>
    </w:p>
    <w:p>
      <w:pPr>
        <w:spacing w:after="0" w:line="212" w:lineRule="exact"/>
        <w:rPr>
          <w:sz w:val="20"/>
          <w:szCs w:val="20"/>
          <w:color w:val="auto"/>
        </w:rPr>
      </w:pPr>
    </w:p>
    <w:p>
      <w:pPr>
        <w:ind w:left="1040" w:hanging="315"/>
        <w:spacing w:after="0"/>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 applications that we or our licensors file may not result in any patents being issued;</w:t>
      </w:r>
    </w:p>
    <w:p>
      <w:pPr>
        <w:spacing w:after="0" w:line="27" w:lineRule="exact"/>
        <w:rPr>
          <w:rFonts w:ascii="Times New Roman" w:cs="Times New Roman" w:eastAsia="Times New Roman" w:hAnsi="Times New Roman"/>
          <w:sz w:val="18"/>
          <w:szCs w:val="18"/>
          <w:color w:val="auto"/>
        </w:rPr>
      </w:pPr>
    </w:p>
    <w:p>
      <w:pPr>
        <w:ind w:left="1040" w:right="79" w:hanging="315"/>
        <w:spacing w:after="0" w:line="250" w:lineRule="auto"/>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patents that may be issued or in-licensed may be challenged, invalidated, modified, revoked or circumvented, or otherwise may not provide any competitive advantage;</w:t>
      </w:r>
    </w:p>
    <w:p>
      <w:pPr>
        <w:ind w:left="1040" w:right="79" w:hanging="315"/>
        <w:spacing w:after="0" w:line="250" w:lineRule="auto"/>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16, 2013, the United States converted from a first to invent to a first to file system. If we do not win the filing race, we will not be entitled to inventive priority;</w:t>
      </w:r>
    </w:p>
    <w:p>
      <w:pPr>
        <w:jc w:val="both"/>
        <w:ind w:left="1040" w:right="79" w:hanging="315"/>
        <w:spacing w:after="0" w:line="250" w:lineRule="auto"/>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many of which have substantially greater resources than we do, and many of which have made significant investments in competing technologies, may seek, or may already have obtained, patents that will limit, interfere with, or eliminate our ability to file new patent applications or make, use, and sell our potential products either in the United States or in international markets;</w:t>
      </w:r>
    </w:p>
    <w:p>
      <w:pPr>
        <w:spacing w:after="0" w:line="1" w:lineRule="exact"/>
        <w:rPr>
          <w:rFonts w:ascii="Times New Roman" w:cs="Times New Roman" w:eastAsia="Times New Roman" w:hAnsi="Times New Roman"/>
          <w:sz w:val="18"/>
          <w:szCs w:val="18"/>
          <w:color w:val="auto"/>
        </w:rPr>
      </w:pPr>
    </w:p>
    <w:p>
      <w:pPr>
        <w:jc w:val="both"/>
        <w:ind w:left="1040" w:right="79" w:hanging="315"/>
        <w:spacing w:after="0" w:line="250" w:lineRule="auto"/>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significant pressure on the United States government and other international governmental bodies to limit the scope of patent protection both inside and outside the United States for disease treatments that prove successful as a matter of public policy regarding worldwide health concerns; and</w:t>
      </w:r>
    </w:p>
    <w:p>
      <w:pPr>
        <w:spacing w:after="0" w:line="1" w:lineRule="exact"/>
        <w:rPr>
          <w:rFonts w:ascii="Times New Roman" w:cs="Times New Roman" w:eastAsia="Times New Roman" w:hAnsi="Times New Roman"/>
          <w:sz w:val="18"/>
          <w:szCs w:val="18"/>
          <w:color w:val="auto"/>
        </w:rPr>
      </w:pPr>
    </w:p>
    <w:p>
      <w:pPr>
        <w:jc w:val="both"/>
        <w:ind w:left="1040" w:right="79" w:hanging="315"/>
        <w:spacing w:after="0" w:line="255" w:lineRule="auto"/>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countries other than the United States may have less restrictive patent laws than those upheld by United States courts, allowing foreign competitors the ability to exploit these laws to create, develop, and market competing products.</w:t>
      </w:r>
    </w:p>
    <w:p>
      <w:pPr>
        <w:spacing w:after="0" w:line="186"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If patents are not issued that protect our product candidates, it could have a material adverse effect on our financial condition and results of operations.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2" w:name="page63"/>
    <w:bookmarkEnd w:id="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In addition, the patent prosecution process is expensive and time-consuming, and we may not be able to file and prosecute all necessary or desirable patent applications at a reasonable cost or in a timely manner. Further, with respect to some of the pending patent applications covering our drug candidates, prosecution has yet to commence. Patent prosecution is a lengthy process, during which the scope of the claims initially submitted for examination by the USPTO have been significantly narrowed by the time they issue, if at all. It is also possible that we will fail to identify any patentable aspects of our research and development output and methodology, and, even if we do, an opportunity to obtain patent protection may have passed. Given the uncertain and time-consuming process of filing patent applications and prosecuting them, it is possible that our product(s) or process(es) originally covered by the scope of the patent application may have changed or been modified, leaving our product(s) or process(es) without patent protection. Moreover, in some circumstances, we do not have the right to control the preparation, filing and prosecution of patent applications, or to maintain the patents, covering technology that we license from third parties. Therefore, these patents and applications may not be prosecuted and enforced in a manner consistent with the best interests of our business. If our licensors or we fail to appropriately prosecute and maintain patent protection or trade secret protection for one or more products or product candidates, our ability to develop and commercialize such drugs may be adversely affected and we may not be able to prevent competitors from making, using and selling competing products. This failure to properly protect the intellectual property rights relating to these product candidates could impair our ability to compete in the market and adversely affect our ability to generate revenues and achieve profitability, which would have a material adverse effect on our financial condition and results of operations. Furthermore, should we enter into other collaborations, including out-licensing or partnerships, we may be required to consult with or cede control to collaborators regarding the prosecution, maintenance and enforcement of licensed patents. Therefore, these patents and applications may not be prosecuted and enforced in a manner consistent with the best interests of our business.</w:t>
      </w:r>
    </w:p>
    <w:p>
      <w:pPr>
        <w:spacing w:after="0" w:line="188"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involves complex legal and factual questions, and has in recent years been the subject of much litigation. In addition, no consistent policy regarding the breadth of claims allowed in pharmaceutical or biotechnology patents has emerged to date in the United States. The patent situation outside the United States is even more uncertain. The laws of foreign countries may not protect our rights to the same extent as the laws of the United States, and we may fail to seek or obtain patent protection in all major markets. For example, European patent law restricts the patentability of methods of treatment of the human body more than United States law does. Our pending and future patent applications may not result in patents being issued which protect our technology or products, in whole or in part, or which effectively prevent others from commercializing competitive technologies and products. Changes in either the patent laws or interpretation of the patent laws in the U.S. and other countries may diminish the value of our patents or narrow the scope of our patent protection. For example, the federal courts of the United States have taken an increasingly dim view of the patent eligibility of certain subject matter, such as naturally occurring nucleic acid sequences, amino acid sequences and certain methods of utilizing same, which include their detection in a biological sample and diagnostic conclusions arising from their detection. Such subject matter, which had long been a staple of the biotechnology and biopharmaceutical industry to protect their discoveries, is now considered, with few exceptions, ineligible in the first instance for protection under the patent laws of the United States. Accordingly, we cannot predict the breadth of claims that may be allowed or enforced in our patents or in those licensed from a third-party.</w:t>
      </w:r>
    </w:p>
    <w:p>
      <w:pPr>
        <w:spacing w:after="0" w:line="193"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In addition, U.S. patent laws may change, which could prevent or limit us, our subsidiaries, or our licensors from filing patent applications or patent claims to protect products and/or technologies or limit the exclusivity periods that are available to patent holders, as well as affect the validity, enforceability, or scope of issued patents. For example, on September 16, 2011, the Leahy-Smith America Invents Act was signed into law. The Leahy-Smith Act includes a number of significant changes to United States patent law. These include changes to transition from a first-to-invent system to a first-to-file system and to the way issued patents are challenged. The formation of the Patent Trial and Appeal Board now provides a quicker and less expensive process for challenging issued patents.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3" w:name="page64"/>
    <w:bookmarkEnd w:id="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We may be subject to a third-party pre-issuance submission of prior art to the USPTO, or become involved in opposition, derivation, reexamination, inter parties review, post-grant review or interference proceedings challenging our patent rights or the patent rights of others. The costs of these proceedings could be substantial, and it is possible that our efforts to establish priority of invention would be unsuccessful, resulting in a material adverse effect on our U.S. patent position. An adverse determination in any such submission, patent office trial, proceeding or litigation could reduce the scope of, render unenforceable, or invalidate, our patent rights, allow third parties to commercialize our technology or products and compete directly with us, without payment to us, or result in our inability to manufacture or commercialize products without infringing third-party patent rights. In addition, if the breadth or strength of protection provided by patents and patent applications for our drug candidates is threatened, it could dissuade companies from collaborating with us to license, develop or commercialize current or future product candidates.</w:t>
      </w:r>
    </w:p>
    <w:p>
      <w:pPr>
        <w:spacing w:after="0" w:line="194"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issuance of a patent does not foreclose challenges to its inventorship, scope, validity or enforceability. Therefore, our owned and licensed patents may be challenged in the courts or patent offices in the U.S. and abroad. Such challenges may result in loss of exclusivity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Given the amount of time required for the development, testing and regulatory review of new product candidates, patents protecting such product candidates might expire before or shortly after such product candidates are commercialized. As a result, our owned and licensed patent portfolio may not provide us with enough rights to exclude others from commercializing products similar or identical to ours.</w:t>
      </w:r>
    </w:p>
    <w:p>
      <w:pPr>
        <w:spacing w:after="0" w:line="188"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Even if our patent applications issue as patents, and they are unchallenged, our issued patents and our pending patents, if issued, may not provide us with any meaningful protection or prevent competitors from designing around our patent claims to circumvent our owned or licensed patents by developing similar or alternative technologies or drugs in a non-infringing manner. For example, a third party may develop a competitive drug that provides benefits similar to one or more of our products or product candidates but that has a different composition that falls outside the scope of our patent protection. If the patent protection provided by the patents and patent applications we hold or pursue with respect to our products or product candidates is not sufficiently broad to impede such competition, our ability to successfully commercialize our products or product candidates could be negatively affected, which would harm our business.</w:t>
      </w:r>
    </w:p>
    <w:p>
      <w:pPr>
        <w:spacing w:after="0" w:line="192"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In addition, we may in the future be subject to claims by our former employees or consultants asserting an ownership right in our patents or patent applications, as a result of the work they performed on our behalf. Although we have entered into agreements with many of our employees, consultants and advisors and any other third parties who have access to our proprietary know-how, information or technology to assign or grant similar rights to their inventions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 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or identical technology and drugs, without payment to us, or could limit the duration of the patent protection covering our technology and drug candidates. Such challenges may also result in our inability to manufacture or commercialize our products and product candidates without infringing third-party patent rights. In addition, if the breadth or strength of protection provided by our patents and patent applications is threatened, it could dissuade companies from collaborating with us to license, develop or commercialize current or future drug candidates.</w:t>
      </w:r>
    </w:p>
    <w:p>
      <w:pPr>
        <w:spacing w:after="0" w:line="197"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Patent protection and other intellectual property protection are crucial to the success of our business and prospects, and there is a substantial risk that such protections will prove inadequate.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4" w:name="page65"/>
    <w:bookmarkEnd w:id="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75"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USPTO and various foreign governmental patent agencies require compliance with a number of procedural, documentary, fee payment and other similar provisions during the patent application process. In addition, periodic maintenance fees on issued patents often must be paid to the USPTO and foreign patent agencies over the lifetime of the patent. While an unintentional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w:t>
      </w:r>
    </w:p>
    <w:p>
      <w:pPr>
        <w:spacing w:after="0" w:line="187"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drugs or procedures, we may not be able to stop a competitor from marketing drugs that are the same as or similar to our products or product candidates, which would have a material adverse effect on our business.</w:t>
      </w:r>
    </w:p>
    <w:p>
      <w:pPr>
        <w:spacing w:after="0" w:line="179" w:lineRule="exact"/>
        <w:rPr>
          <w:sz w:val="20"/>
          <w:szCs w:val="20"/>
          <w:color w:val="auto"/>
        </w:rPr>
      </w:pPr>
    </w:p>
    <w:p>
      <w:pPr>
        <w:jc w:val="both"/>
        <w:ind w:left="60" w:right="5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If we do not obtain patent term extensions under the Hatch-Waxman Amendments and similar foreign legislation extending the terms of our licensed patents and any future patents we may own, our business may be materially harmed.</w:t>
      </w:r>
    </w:p>
    <w:p>
      <w:pPr>
        <w:spacing w:after="0" w:line="136"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Depending on the timing, duration, and specifics of any FDA regulatory approval for our drug candidates, one or more of our licensed U.S. patents or future U.S. patents that we may license or own may be eligible for limited patent term restoration under the Hatch-Waxman Amendments. The Hatch-Waxman Amendments permit a patent term extension of up to five years as compensation for patent term lost during the FDA regulatory review process. A patent term extension cannot extend the remaining term of a patent beyond 14 years from the date of product approval by the FDA, and only one patent covering the approved product may be extended.</w:t>
      </w:r>
    </w:p>
    <w:p>
      <w:pPr>
        <w:spacing w:after="0" w:line="187"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The application for a patent term extension is subject to approval by the USPTO, in conjunction with the FDA. We may not be granted an extension because of, for example, failing to apply within applicable deadlines, failing to apply prior to expiration of relevant patents or otherwise failing to satisfy applicable requirements. Moreover, the applicable time period or the scope of the patent protection afforded could be less than we request. If we are unable to obtain patent term extension or any term of such extension is less than we request, the period during which we will have the right to exclusively market our product will be shortened and our competitors may obtain earlier approval of competing products, and our ability to generate revenues could be materially adversely affected.</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enforce our intellectual property rights throughout the world.</w:t>
      </w:r>
    </w:p>
    <w:p>
      <w:pPr>
        <w:spacing w:after="0" w:line="22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Filing, prosecuting and defending patents on drug candidates throughout the world would be prohibitively expensive. Competitors may use our licensed and owned technologies in jurisdictions where we have not licensed or obtained patent protection to develop their own products and, further, may export otherwise infringing products to territories where we may obtain or license patent protection, but where patent enforcement is not as strong as that in the United States. These products may compete with our products in jurisdictions where we do not have any issued or licensed patents and any future patent claims or other intellectual property rights may not be effective or sufficient to prevent them from so competing.</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5" w:name="page66"/>
    <w:bookmarkEnd w:id="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Moreover, our ability to protect and enforce our intellectual property rights may be adversely affected by unforeseen changes in foreign intellectual property laws. Additionally, laws of some countries outside of the United States and Europe do not afford intellectual property protection to the same extent as the laws of the United States and Europe. Many companies have encountered significant problems in protecting and defending intellectual property rights in certain foreign jurisdictions. The legal systems of some countries, including India, China and other developing countries, do not favor the enforcement of patents and other intellectual property rights. This could make it difficult for us to stop the infringement of our patents or the misappropriation of our other intellectual property rights. For example, many foreign countries have compulsory licensing laws under which a patent owner must grant licenses to third parties. Consequently, we may not be able to prevent third parties from practicing our inventions in certain countries outside the United States and Europe.</w:t>
      </w:r>
    </w:p>
    <w:p>
      <w:pPr>
        <w:spacing w:after="0" w:line="194"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Proceedings to enforce our future patent rights, if any, in foreign jurisdictions could result in substantial cost and divert our resources and attention from other aspects of our business. Moreover, such proceedings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meaningful. Furthermore, while we intend to protect our intellectual property rights in major markets for our products, we cannot ensure that we will be able to initiate or maintain similar efforts in all jurisdictions in which we may wish to market our products. Accordingly, our efforts to protect our intellectual property rights in such countries may be inadequate.</w:t>
      </w:r>
    </w:p>
    <w:p>
      <w:pPr>
        <w:spacing w:after="0" w:line="188"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patents or the patents of our licensors, which could be expensive, time consuming and unsuccessful.</w:t>
      </w:r>
    </w:p>
    <w:p>
      <w:pPr>
        <w:spacing w:after="0" w:line="15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Competitors may infringe our patents or the patents of our licensors. To counter infringement or unauthorized use, we may be required to file infringement claims, which typically are very expensive, time-consuming and disruptive of day-to-day business operations. Any claims we assert against accused infringers could provoke these parties to assert counterclaims against us alleging invalidity of our or certain of our subsidiaries patents or that we infringe their patents; or provoke those parties to petition the USPTO to institute inter parties review against the asserted patents, which may lead to a finding that all or some of the claims of the patent are invalid. In addition, in an infringement proceeding, a court may decide that a patent of ours or our licensors is not valid or is unenforceable or may refuse to stop the other party from using the technology at issue on the grounds that our patents do not cover the technology in question. An adverse result in any litigation or defense proceedings could put one or more of our pending patents at risk of being invalidated, held unenforceable, or interpreted narrowly.</w:t>
      </w:r>
    </w:p>
    <w:p>
      <w:pPr>
        <w:spacing w:after="0" w:line="194"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patent litigation in the United States, defendant counterclaims challenging the validity, enforceability or scope of asserted patents are commonplace. In addition, third parties may initiate legal proceedings against us to assert such challenges to our intellectual property rights. The outcome of any such proceeding is generally unpredictable. Grounds for a validity challenge could be an alleged failure to meet any of several statutory requirements, including lack of novelty, obviousness or non-enablement. Patents may be unenforceable if someone connected with prosecution of the patent withheld relevant information from the USPTO or made a misleading statement during prosecution. It is possible that prior art of which we and the patent examiner were unaware during prosecution exists, which could render our patents invalid. Moreover, it is also possible that prior art may exist that we are aware of but do not believe is relevant to our current or future patents, but that could nevertheless be determined to render our patents invalid.</w:t>
      </w:r>
    </w:p>
    <w:p>
      <w:pPr>
        <w:spacing w:after="0" w:line="188"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Competing drugs may also be sold in other countries in which our patent coverage might not exist or be as strong. If we lose a foreign patent lawsuit, alleging our infringement of a competitor’s patents, we could be prevented from marketing our drugs in one or more foreign countries. Any of these outcomes would have a materially adverse effect on our business.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6" w:name="page67"/>
    <w:bookmarkEnd w:id="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In addition, because of the substantial amount of discovery required in connection with intellectual property litigation, there is a risk that some of our confidential information could be compromised by disclosure during this type of litigation. Furthermore, adverse results on United States patents may affect related patents in our global portfolio. The adverse result could also put related pending patent applications at risk of not issuing. Additionally,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87"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Interference proceedings provoked by third parties or brought by the USPTO may be necessary to determine the priority of inventions with respect to our patents or pending patent applications or those of our collaborators or licensors. An unfavorable outcome could require us to cease using the related technology or to attempt to license rights to it from the prevailing party. The costs of these proceedings could be substantial. As a result, the issuance, scope, validity, enforceability and commercial value of our or any of our respective licensors patent rights are highly uncertain. Our business could be harmed if the prevailing party does not offer us a license on commercially reasonable terms. Litigation or interference proceedings may fail and, even if successful, may result in substantial costs and distract our management and other employees. We may not be able to prevent, alone or with our licensors, misappropriation of our trade secrets or confidential information, particularly in countries where the laws may not protect those rights as fully as in the United States.</w:t>
      </w:r>
    </w:p>
    <w:p>
      <w:pPr>
        <w:spacing w:after="0" w:line="194"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or misappropriating or from successfully challenging our intellectual property rights. Uncertainties resulting from the initiation and continuation of patent litigation or other proceedings could have a material adverse effect on our ability to compete in the marketplace.</w:t>
      </w:r>
    </w:p>
    <w:p>
      <w:pPr>
        <w:spacing w:after="0" w:line="183"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our partners are sued for infringing intellectual property rights of third parties, it will be costly and time consuming, and an unfavorable outcome in that litigation would have a material adverse effect on our business.</w:t>
      </w:r>
    </w:p>
    <w:p>
      <w:pPr>
        <w:spacing w:after="0" w:line="15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Our commercial success depends upon our ability and the ability of our collaborators to develop, manufacture, market and sell our drug candidates and use our proprietary technologies without infringing the proprietary rights and intellectual property of third parties. The biotechnology and pharmaceutical industries are characterized by extensive and frequent litigation regarding patents and other intellectual property rights. We may in the future become party to, or threatened with, adversarial proceedings or litigation regarding intellectual property rights with respect to our drug candidates and technology, including interference proceedings before the USPTO.</w:t>
      </w:r>
    </w:p>
    <w:p>
      <w:pPr>
        <w:spacing w:after="0" w:line="187"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Our competitors or other third parties may assert infringement claims against us, alleging that our drugs are covered by their patents. Given the vast number of patents in our field of technology, we cannot be certain that we do not infringe existing patents or that we will not infringe patents that may be granted in the future. Numerous United States and foreign issued patents and pending patent applications, which are owned by third parties, exist in the fields in which we are developing products, some of which may be directed at claims that overlap with the subject matter of our intellectual property. In addition, because patent applications can take many years to issue, there may be currently pending applications, unknown to us, which may later result in issued patents that our product candidates or proprietary technologies may infringe. Similarly, there may be issued patents relevant to our product candidates of which we are not aware. Publications of discoveries in the scientific literature often lag behind the actual discoveries, and patent applications in the United States and other jurisdictions are typically not published until 18 months after a first filing, or in some cases not at all. Therefore, we cannot know with certainty whether we or our licensors were the first to make the inventions claimed in patents or pending patent applications that we own or licensed, or that we or our licensors were the first to file for patent protection of such inventions.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7" w:name="page68"/>
    <w:bookmarkEnd w:id="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We are aware of certain patents that may pose issues for our commercialization of our drug candidates. If we decide to initiate proceedings to challenge the validity of these patents in the future, we may be unsuccessful, as courts or patent offices in the United States and abroad could uphold the validity of any such patents. If we were to challenge the validity of any issued United States patent in court, we would need to overcome a statutory presumption of validity that attaches to every United States patent. This means that in order to prevail, we would have to present clear and convincing evidence as to the invalidity of the patent’s claims. If we are unable to do so, we may be forced to delay the launch of our product candidates or launch at the risk of litigation for patent infringement, which may have a material adverse effect on our business and results of operations.</w:t>
      </w:r>
    </w:p>
    <w:p>
      <w:pPr>
        <w:spacing w:after="0" w:line="192"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If a third-party claims that we or any collaborators of ours infringe their intellectual property rights, we may have to defend litigation or administrative proceedings which may be costly whether we win or lose, and which could result in a substantial diversion of our financial and management resources. If we are found to infringe a third party’s intellectual property rights, we could be required to obtain a license from such third party to continue developing and marketing our drug candidates and technology. However, we may not be able to obtain any required license on commercially reasonable terms or at all. Even if we were able to obtain such a license, it could be granted on non-exclusive terms, thereby providing our competitors and other third parties access to the same technologies licensed to us. Without such a license, we could be forced, including by court order, to cease developing and commercializing the infringing technology or drug candidates. In addition, we could be found liable for monetary damages, including treble damages and attorney’s fees if we are found to have willfully infringed such third-party patent rights. A finding of infringement could prevent us from commercializing our drug candidates or force us to cease some of our business operations, which could materially harm our business.</w:t>
      </w:r>
    </w:p>
    <w:p>
      <w:pPr>
        <w:spacing w:after="0" w:line="192"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No assurance can be given that patents issued to third parties do not exist, have not been filed, or could not be filed or issued, which contain claims covering its products, technology or methods that may encompass all or a portion of our products and methods. Given the number of patents issued and patent applications filed in our technical areas or fields, we believe there is a risk that third parties may allege they have patent rights encompassing our products or methods.</w:t>
      </w:r>
    </w:p>
    <w:p>
      <w:pPr>
        <w:spacing w:after="0" w:line="18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Other product candidates that we may in-license or acquire could be subject to similar risks and uncertainties.</w:t>
      </w:r>
    </w:p>
    <w:p>
      <w:pPr>
        <w:spacing w:after="0" w:line="221"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to license certain intellectual property from third parties, and such licenses may not be available or may not be available on commercially reasonable terms.</w:t>
      </w:r>
    </w:p>
    <w:p>
      <w:pPr>
        <w:spacing w:after="0" w:line="159"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A third party may hold intellectual property, including patent rights that are important or necessary to the development and commercialization of our products. It may be necessary for us to use the patented or proprietary technology of third parties to commercialize our products, in which case we would be required to obtain a license from these third parties, whom may or may not be interested in granting such a license, on commercially reasonable terms, or our business could be harmed, possibly materially. For example, we engage extensively with third parties, including academic institutions, to conduct non-clinical and clinical research on our product candidates. While we seek to ensure all material transfer and service agreements governing this research provide us with favorable terms covering newly generated intellectual property, a general principle under which much of this research with academic institutions is conducted provides third-party ownership of newly generated intellectual property, with an exclusive option available for us to obtain a license to such intellectual property. Through the conduct of this research, it is possible that valuable intellectual property could be developed by a third party, which we will then need to license in order to better develop or commercialize our products. No assurance can be given that we will be able to successfully negotiate such a license on commercially reasonable terms, or at all. Further, should we fail to successfully negotiate a license to such intellectual property, most institutions are then free to license such intellectual property to any other third party, including potentially direct competitors of ours. Should we fail to adequately secure a license to any newly generated intellectual property, our ability to successfully develop or commercialize our products may be hindered, possibly materially.</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8" w:name="page69"/>
    <w:bookmarkEnd w:id="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may be harmed.</w:t>
      </w:r>
    </w:p>
    <w:p>
      <w:pPr>
        <w:spacing w:after="0" w:line="159"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In addition to the protection afforded by patents, we rely upon unpatented trade secret protection, unpatented know-how and continuing technological innovation to develop and maintain our competitive position. With respect to the building of our proprietary compound library, we consider trade secrets and know-how to be our primary intellectual property. We seek to protect our proprietary technology and processes, in part, by entering into confidentiality agreements with our collaborators, scientific advisors, employees and consultants, and invention assignment agreements with our consultants and employees. We may not be able to prevent the unauthorized disclosure or use of our technical know-how or other trade secrets by the parties to these agreements, however, despite the existence generally of confidentiality agreements and other contractual restrictions. Monitoring unauthorized uses and disclosures is difficult, and we do not know whether the steps we have taken to protect our proprietary technologies will be effective. If any of the collaborators, scientific advisors, employees and consultants who are parties to these agreements breaches or violates the terms of any of these agreements, we may not have adequate remedies for any such breach or violation, and we could lose our trade secrets as a result. Enforcing a claim that a third party illegally obtained and is using our trade secrets, like patent litigation, is expensive and time-consuming, and the outcome is unpredictable. In addition, courts outside the United States are sometimes less willing to protect trade secrets.</w:t>
      </w:r>
    </w:p>
    <w:p>
      <w:pPr>
        <w:spacing w:after="0" w:line="197"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Our trade secrets could otherwise become known or be independently discovered by our competitors. Competitors could purchase our drug candidates and attempt to replicate some or all of the competitive advantages we derive from our development efforts, willfully infringe our intellectual property rights, design around our protected technology or develop their own competitive technologies that fall outside of our intellectual property rights. If any of our trade secrets were to be lawfully obtained or independently developed by a competitor, we would have no right to prevent them, or those to whom they communicate it, from using that technology or information to compete with us. If our trade secrets are not adequately protected so as to protect our market against competitors’ drugs, our competitive position could be adversely affected, as could our business.</w:t>
      </w:r>
    </w:p>
    <w:p>
      <w:pPr>
        <w:spacing w:after="0" w:line="188"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damages resulting from claims that we or our employees have wrongfully used or disclosed alleged trade secrets of our competitors or are in breach of non-competition or non-solicitation agreements with our competitors.</w:t>
      </w:r>
    </w:p>
    <w:p>
      <w:pPr>
        <w:spacing w:after="0" w:line="175"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We could in the future be subject to claims that we or our employees have inadvertently or otherwise used or disclosed alleged trade secrets or other proprietary information of former employers or competitors. Although we try to ensure that our employees and consultants do not use the intellectual property, proprietary information, know-how or trade secrets of others in their work for us, we may in the future be subject to claims that we caused an employee to breach the terms of his or her non-competition or non-solicitation agreement, or that we or these individuals have, inadvertently or otherwise, used or disclosed the alleged trade secrets or other proprietary information of a former employer or competitor. Litigation may be necessary to defend against these claims. Even if we are successful in defending against these claims, litigation could result in substantial costs and could be a distraction to management. If our defenses to these claims fail, in addition to requiring us to pay monetary damages, a court could prohibit us from using technologies or features that are essential to our drug candidates, if such technologies or features are found to incorporate or be derived from the trade secrets or other proprietary information of the former employers. An inability to incorporate such technologies or features would have a material adverse effect on our business and may prevent us from successfully commercializing our drug candidates. In addition, we may lose valuable intellectual property rights or personnel as a result of such claims. Moreover, any such litigation or the threat thereof may adversely affect our ability to hire employees or contract with independent sales representatives. A loss of key personnel or their work product could hamper or prevent our ability to commercialize our drug candidates, which would have an adverse effect on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9" w:name="page70"/>
    <w:bookmarkEnd w:id="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Business Organization and Governance, Strategy, Employees and Growth Management</w:t>
      </w:r>
    </w:p>
    <w:p>
      <w:pPr>
        <w:spacing w:after="0" w:line="225"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attract and keep key management, commercial, and clinical development personnel, we may be unable to successfully develop or commercialize our product candidates.</w:t>
      </w:r>
    </w:p>
    <w:p>
      <w:pPr>
        <w:spacing w:after="0" w:line="15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We are highly dependent on the research and development, commercialization, manufacturing, quality, financial and legal expertise of our senior management team as well as the other principal members of our management. Although we have entered into an employment agreement with our chief executive officer and employment letters with our senior managers, each of our executive officers may terminate their employment with us at any time. We do not maintain key person insurance for any of our executives or other employees.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88"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Recruiting and retaining qualified scientific, clinical, manufacturing and medical affairs, and commercial personnel, particularly in MS, will be critical to our success. The loss of the services of our chief executive officer or other key employees could impede the achievement of our research, development and commercialization objectives and seriously harm our ability to successfully implement our business strategy. Furthermore, replacing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anticipate that the withdrawal of the BLA and sNDA for U2 and the withdrawal of UKONIQ from sale may make it more challenging to recruit and retain qualified personnel across functions. In January and April 2022, we engaged in streamlining efforts across the Company, reducing headcount and external expenses, primarily related to our oncology commercialization and research and development functions. Those streamlining efforts have made and may continue to make retention of key personnel more difficult. If we are not able to attract and retain the necessary personnel to accomplish our business objectives, we may experience constraints that will significantly impede the achievement of our development and commercialization objectives, our ability to raise additional capital, and our ability to implement our business strategy.</w:t>
      </w:r>
    </w:p>
    <w:p>
      <w:pPr>
        <w:spacing w:after="0" w:line="191" w:lineRule="exact"/>
        <w:rPr>
          <w:sz w:val="20"/>
          <w:szCs w:val="20"/>
          <w:color w:val="auto"/>
        </w:rPr>
      </w:pPr>
    </w:p>
    <w:p>
      <w:pPr>
        <w:ind w:left="60" w:right="1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to develop and expand our business, and we may encounter difficulties in managing this development and expansion, which could disrupt our operations.</w:t>
      </w:r>
    </w:p>
    <w:p>
      <w:pPr>
        <w:spacing w:after="0" w:line="159"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We may attempt to expand our business by acquiring additional businesses or drugs, forming strategic alliances or creating joint ventures with third parties. We may encounter numerous difficulties in developing, manufacturing and marketing any new products resulting from any such arrangement or transaction that may delay or prevent us from realizing their expected benefits. If we are unable to successfully integrate such acquired businesses with our existing operations and company culture, we may never realize the benefits of such acquisitions or strategic alliances. We cannot assure you that, following any such transaction, we will achieve the expected synergies to justify the transaction.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0" w:name="page71"/>
    <w:bookmarkEnd w:id="7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As of August 5, 2022, we had 173 full-time employees. Our management and medical, commercial, and scientific personnel, systems and facilities currently in place, which were largely designed to support research and development and commercialization in oncology, may not be adequate to support our anticipated future growth, particularly in MS. To manage our anticipated future growth and focus in neurology and immunology, we must continue to implement and improve our managerial, operational and financial systems, and continue to recruit and train additional qualified personnel. Also, our management may need to divert a disproportionate amount of its attention away from its day-to-day activities and devote a substantial amount of time to managing these activities. Due to our limited resources, we may not be able to effectively manage the expansion and shift of our operations or recruit and train additional qualified personnel. This may result in weaknesses in our infrastructure, give rise to operational mistakes, loss of business opportunities, loss of employees and reduced productivity among remaining employees. If our management is unable to effectively manage our transition to a strategy primarily focused on neurology and immunology, our expenses may increase more than expected, our ability to generate or increase our revenue could be reduced and we may not be able to implement our business strategy. Our future financial performance and our ability to commercialize our drug candidates, if approved, and compete effectively will depend, in part, on our ability to effectively manage the future development and changes to our business.</w:t>
      </w:r>
    </w:p>
    <w:p>
      <w:pPr>
        <w:spacing w:after="0" w:line="197"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Additionally, to help manage the evolving needs, we may utilize the services of outside vendors or consultants to perform tasks including clinical trial management, statistics and analysis, regulatory affairs, formulation development, chemistry, manufacturing, controls, and other pharmaceutical development functions. Our growth strategy may also entail expanding our group of contractors or consultants to implement these tasks going forward. Because we rely on a substantial number of consultants, effectively outsourcing many key functions of our business, we will need to be able to effectively manage these consultants to ensure that they successfully carry out their contractual obligations and meet expected deadlines. However, if we are unable to effectively manage our outsourced activities or if the quality or accuracy of the services provided by consultants is compromised for any reason, our clinical trials may be extended, delayed or terminated, and we may not be able to obtain regulatory approval for our product candidates or otherwise advance our business. There can be no assurance that we will be able to manage our existing consultants or find other competent outside contractors and consultants on economically reasonable terms, or at all. If we are not able to effectively expand our organization by hiring new employees and expanding our groups of consultants and contractors when needed, we may be unable to successfully implement the tasks necessary to achieve our research, development and commercialization goals.</w:t>
      </w:r>
    </w:p>
    <w:p>
      <w:pPr>
        <w:spacing w:after="0" w:line="170"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anti-takeover provisions in our governing documents and Delaware law could make a third-party acquisition of us difficult. This could limit the price investors might be willing to pay in the future for our common stock.</w:t>
      </w:r>
    </w:p>
    <w:p>
      <w:pPr>
        <w:spacing w:after="0" w:line="15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Certain provisions in our amended and restated certificate of incorporation and restated bylaws may make it more difficult for a third party to acquire us, or discourage a third party from attempting to acquire or control us and may limit the price that certain investors might be willing to pay in the future for shares of our common stock. For example, our amended and restated certificate of incorporation allows us to issue preferred stock without the approval of our stockholders, the issuance of which could decrease the amount of earnings and assets available for distribution to, or affect the rights and powers, including voting rights, of our common stockholders. In certain circumstances, such issuance could have the effect of decreasing the market price of our common stock. In addition, our restated bylaws eliminate the right of stockholders to call a special meeting of stockholders, which could make it more difficult for stockholders to effect certain corporate actions. Any of these provisions could also have the effect of delaying or preventing a change in control.</w:t>
      </w:r>
    </w:p>
    <w:p>
      <w:pPr>
        <w:spacing w:after="0" w:line="188"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On July 18, 2014, the Board of Directors declared a distribution of one right for each outstanding share of common stock. The rights may have certain anti-takeover effects. The rights will cause substantial dilution to a person or group that attempts to acquire us on terms not approved by the Board of Directors unless the offer is conditioned on a substantial number of rights being acquired. However, the rights should not interfere with any merger, statutory share exchange or other business combination approved by the Board of Directors since the rights may be terminated by us upon resolution of the Board of Directors. Thus, the rights are intended to encourage persons who may seek to acquire control of the Company to initiate such an acquisition through negotiations with the Board of Directors. However, the effect of the rights may be to discourage a third party from making a partial tender offer or otherwise attempting to obtain a substantial equity position in the equity securities of, or seeking to obtain control of, the Company. To the extent any potential acquirers are deterred by the rights, the rights may have the effect of preserving incumbent management in office.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1" w:name="page72"/>
    <w:bookmarkEnd w:id="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utilize our net operating loss carryforwards and certain other tax attributes may be limited.</w:t>
      </w:r>
    </w:p>
    <w:p>
      <w:pPr>
        <w:spacing w:after="0" w:line="229"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Under Section 382 of the Internal Revenue Code of 1986, as amended, if a corporation undergoes an ownership change (generally defined as a greater than 50% change (by value) in the ownership of its equity over a three-year period), the corporation’s ability to use its pre-change net operating loss carryforwards and certain other pre-change tax attributes to offset its post-change income may be limited. We may have experienced such ownership changes in the past, and we may experience ownership changes in the future as a result of shifts in our stock ownership, some of which are outside our control. As of December 31, 2021, we had federal net operating loss carryforwards of approximately $1.3 billion, and our ability to utilize those net operating loss carryforwards could be limited by an ownership change as described above, which could result in increased tax liability to us. In addition, pursuant to the Tax Act, we may not use net operating loss carry-forwards to reduce our taxable income in any year by more than 80%, and we may not carry back any net operating losses to prior years. On March 27, 2020, the Coronavirus Aid, Relief, and Economic Security (CARES) Act was signed by President Trump. Certain provisions of the CARES Act alter the rules regarding net-operating losses for such losses arising in 2018, 2019 and 2020. Such losses may be carried back for five years. We cannot assure you, however, of our ability to utilize these favorable offset rules within the applicable time period. These rules apply regardless of the occurrence of an ownership change.</w:t>
      </w:r>
    </w:p>
    <w:p>
      <w:pPr>
        <w:spacing w:after="0" w:line="180" w:lineRule="exact"/>
        <w:rPr>
          <w:sz w:val="20"/>
          <w:szCs w:val="20"/>
          <w:color w:val="auto"/>
        </w:rPr>
      </w:pPr>
    </w:p>
    <w:p>
      <w:pPr>
        <w:jc w:val="both"/>
        <w:ind w:left="60" w:right="5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Certain of our executive officers, directors, principal stockholders and their affiliates maintain the ability to exercise significant influence over our company and all matters submitted to stockholders for approval.</w:t>
      </w:r>
    </w:p>
    <w:p>
      <w:pPr>
        <w:spacing w:after="0" w:line="131" w:lineRule="exact"/>
        <w:rPr>
          <w:sz w:val="20"/>
          <w:szCs w:val="20"/>
          <w:color w:val="auto"/>
        </w:rPr>
      </w:pPr>
    </w:p>
    <w:p>
      <w:pPr>
        <w:jc w:val="both"/>
        <w:ind w:left="60" w:right="59" w:firstLine="648"/>
        <w:spacing w:after="0" w:line="235" w:lineRule="auto"/>
        <w:rPr>
          <w:sz w:val="20"/>
          <w:szCs w:val="20"/>
          <w:color w:val="auto"/>
        </w:rPr>
      </w:pPr>
      <w:r>
        <w:rPr>
          <w:rFonts w:ascii="Times New Roman" w:cs="Times New Roman" w:eastAsia="Times New Roman" w:hAnsi="Times New Roman"/>
          <w:sz w:val="18"/>
          <w:szCs w:val="18"/>
          <w:color w:val="auto"/>
        </w:rPr>
        <w:t>Certain of our executive officers, directors and stockholders own more than 5% of our outstanding common stock and, together with their affiliates and related persons, beneficially own a significant percentage of our capital stock. If these stockholders were to choose to act together, they would be able to influence our management and affairs and the outcome of matters submitted to our stockholders for approval, including the election of directors and any sale, merger, consolidation, or sale of all or substantially all of our assets. This concentration of voting power could delay or prevent an acquisition of our company on terms that other stockholders may desire. In addition, this concentration of ownership might adversely affect the market price of our common stock by:</w:t>
      </w:r>
    </w:p>
    <w:p>
      <w:pPr>
        <w:spacing w:after="0" w:line="188" w:lineRule="exact"/>
        <w:rPr>
          <w:sz w:val="20"/>
          <w:szCs w:val="20"/>
          <w:color w:val="auto"/>
        </w:rPr>
      </w:pPr>
    </w:p>
    <w:p>
      <w:pPr>
        <w:ind w:left="1040" w:hanging="315"/>
        <w:spacing w:after="0"/>
        <w:tabs>
          <w:tab w:leader="none" w:pos="10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delaying, deferring or preventing a change of control of us;</w:t>
      </w:r>
    </w:p>
    <w:p>
      <w:pPr>
        <w:spacing w:after="0" w:line="2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impeding a merger, consolidation, takeover or other business combination involving us; or</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discouraging a potential acquirer from making a tender offer or otherwise attempting to obtain control of us.</w:t>
      </w:r>
    </w:p>
    <w:p>
      <w:pPr>
        <w:spacing w:after="0" w:line="203"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internal information technology systems, or those of our third-party CROs, CMOs, or other contractors or consultants, may fail or suffer security breaches, which could result in a material disruption of our drug candidates’ development programs and our commercialization of any products for which we receive regulatory approval.</w:t>
      </w:r>
    </w:p>
    <w:p>
      <w:pPr>
        <w:spacing w:after="0" w:line="148"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Despite the implementation of security measures, our internal information technology systems and those of our third-party CROs, CMOs, and other contractors and consultants are vulnerable to damage from computer viruses, unauthorized access, cyber-attacks or cyber-intrusions over the Internet, natural disasters, terrorism, war and telecommunication and electrical failures. Although we have been the targets of cyber-attacks and cyber-intrusions, the impact on our operations and financial condition has not been material. We expect such cybersecurity threats to continue and become more sophisticated. A significant cyber-attack or cyber-intrusion could cause our systems to fail, leakage of confidential information, or business interruption, which could result in a material disruption of our operations, financial loss, or reputational harm. For example, the loss of clinical trial data for our drug candidates could result in delays in our regulatory approval efforts and significantly increase our costs to recover or reproduce the data. We have invested in protections and monitoring practices of our data and information technology systems to reduce these risks and expect to continue do so as our information technology systems increase in magnitude and complexity. However, there can be no assurance that our efforts and investments will prevent breakdowns or breaches in our systems that could adversely affect our business.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2" w:name="page73"/>
    <w:bookmarkEnd w:id="7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Unfavorable global economic conditions could adversely affect our business, financial condition or results of operations.</w:t>
      </w:r>
    </w:p>
    <w:p>
      <w:pPr>
        <w:spacing w:after="0" w:line="15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global economy and in the global financial markets. Key national economies, including the United States, have been affected from time to time by economic downturns or recessions, supply chain constraints, rising inflation, restricted credit, poor liquidity, reduced corporate profitability, debt, equity and foreign exchange market volatility, bankruptcies, rising interest rates, and overall uncertainty with respect to the economy. Increasing interest rates in the United States to respond to inflationary pressures and market volatility could negatively impact our results of operations and financial condition. In addition, increased interest rates or a general economic downturn or recession could reduce our ability to raise additional capital when needed on acceptable terms, if at all. A weak or declining economy, supply disruptions or international trade disputes could also strain our third-party suppliers, possibly resulting in supply disruption.</w:t>
      </w:r>
    </w:p>
    <w:p>
      <w:pPr>
        <w:spacing w:after="0" w:line="188"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Furthermore, the COVID-19 pandemic has caused extreme volatility and disruptions in the capital and credit markets. Likewise, the capital and credit markets may be adversely affected by the recent conflict between Russia and Ukraine, the possibility of a wider European or global conflict, and global sanctions imposed in response thereto. A severe or prolonged economic downturn could result in a variety of risks to our business, including, weakened demand for our drug candidates and our ability to raise additional capital when needed on acceptable terms, if at all. A weak or declining economy could also strain our suppliers, possibly resulting in supply disruption, or cause our customers to delay making payments for our services.</w:t>
      </w:r>
    </w:p>
    <w:p>
      <w:pPr>
        <w:spacing w:after="0" w:line="185"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employees, principal investigators, CROs, CMOs and consultants may engage in misconduct or other improper activities, including non-compliance with regulatory standards and requirements and insider trading, which could have a material adverse effect on our business.</w:t>
      </w:r>
    </w:p>
    <w:p>
      <w:pPr>
        <w:spacing w:after="0" w:line="175"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We are exposed to the risk that our employees, principal investigators, CROs, CMOs, and consultants may engage in fraudulent conduct or other illegal activity. Misconduct by these parties could include intentional failures to comply with FDA regulations, provide accurate information to the FDA, comply with manufacturing standards we have established, comply with federal and state healthcare fraud and abuse laws and regulations,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or creating fraudulent data in our pre-clinical studies or clinical trials, which could result in regulatory sanctions and cause serious harm to our reputation. We have adopted a code of ethics applicable to all of our employees and have implemented a compliance program, but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In addition, we are subject to the risk that a person could allege such fraud or other misconduct, even if none occurred. If any such actions are instituted against us, regardless of the outcome, our reputation and our business may suffer. If we are not successful in defending ourselves or asserting our rights, those actions could lead to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w:t>
      </w:r>
    </w:p>
    <w:p>
      <w:pPr>
        <w:spacing w:after="0" w:line="157" w:lineRule="exact"/>
        <w:rPr>
          <w:sz w:val="20"/>
          <w:szCs w:val="20"/>
          <w:color w:val="auto"/>
        </w:rPr>
      </w:pPr>
    </w:p>
    <w:p>
      <w:pPr>
        <w:jc w:val="both"/>
        <w:ind w:left="60" w:right="5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acquire businesses or drugs, or form strategic alliances, in the future, and we may not realize the benefits of such acquisitions.</w:t>
      </w:r>
    </w:p>
    <w:p>
      <w:pPr>
        <w:spacing w:after="0" w:line="131" w:lineRule="exact"/>
        <w:rPr>
          <w:sz w:val="20"/>
          <w:szCs w:val="20"/>
          <w:color w:val="auto"/>
        </w:rPr>
      </w:pPr>
    </w:p>
    <w:p>
      <w:pPr>
        <w:jc w:val="both"/>
        <w:ind w:left="60" w:right="59" w:firstLine="648"/>
        <w:spacing w:after="0" w:line="239" w:lineRule="auto"/>
        <w:rPr>
          <w:sz w:val="20"/>
          <w:szCs w:val="20"/>
          <w:color w:val="auto"/>
        </w:rPr>
      </w:pPr>
      <w:r>
        <w:rPr>
          <w:rFonts w:ascii="Times New Roman" w:cs="Times New Roman" w:eastAsia="Times New Roman" w:hAnsi="Times New Roman"/>
          <w:sz w:val="18"/>
          <w:szCs w:val="18"/>
          <w:color w:val="auto"/>
        </w:rPr>
        <w:t>We may acquire additional businesses or drugs,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or acquisition that delay or prevent us</w:t>
      </w:r>
    </w:p>
    <w:p>
      <w:pPr>
        <w:sectPr>
          <w:pgSz w:w="11900" w:h="16838" w:orient="portrait"/>
          <w:cols w:equalWidth="0" w:num="1">
            <w:col w:w="9019"/>
          </w:cols>
          <w:pgMar w:left="1440" w:top="513"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3" w:name="page74"/>
    <w:bookmarkEnd w:id="7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from realizing their expected benefits or enhancing our business. We cannot assure you that, following any such acquisition, we will achieve the expected synergies to justify the transaction.</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adverse legislative or regulatory tax changes that could negatively impact our financial condition.</w:t>
      </w:r>
    </w:p>
    <w:p>
      <w:pPr>
        <w:spacing w:after="0" w:line="202" w:lineRule="exact"/>
        <w:rPr>
          <w:sz w:val="20"/>
          <w:szCs w:val="20"/>
          <w:color w:val="auto"/>
        </w:rPr>
      </w:pPr>
    </w:p>
    <w:p>
      <w:pPr>
        <w:jc w:val="both"/>
        <w:ind w:left="60" w:right="59" w:firstLine="648"/>
        <w:spacing w:after="0" w:line="235" w:lineRule="auto"/>
        <w:rPr>
          <w:sz w:val="20"/>
          <w:szCs w:val="20"/>
          <w:color w:val="auto"/>
        </w:rPr>
      </w:pPr>
      <w:r>
        <w:rPr>
          <w:rFonts w:ascii="Times New Roman" w:cs="Times New Roman" w:eastAsia="Times New Roman" w:hAnsi="Times New Roman"/>
          <w:sz w:val="18"/>
          <w:szCs w:val="18"/>
          <w:color w:val="auto"/>
        </w:rPr>
        <w:t>The rules dealing with U.S. federal, state and local income taxation are constantly under review by persons involved in the legislative process and by the IRS and the U.S. Treasury Department. Changes to tax laws (which changes may have retroactive application) could adversely affect our stockholders or us. In recent years, many such changes have been made and changes are likely to continue to occur in the future. We cannot predict whether, when, in what form, or with what effective dates, tax laws, regulations and rulings may be enacted, promulgated or decided, which could result in an increase in our, or our stockholders, tax liability or require changes in the manner in which we operate in order to minimize increases in our tax liability.</w:t>
      </w:r>
    </w:p>
    <w:p>
      <w:pPr>
        <w:spacing w:after="0" w:line="161" w:lineRule="exact"/>
        <w:rPr>
          <w:sz w:val="20"/>
          <w:szCs w:val="20"/>
          <w:color w:val="auto"/>
        </w:rPr>
      </w:pPr>
    </w:p>
    <w:p>
      <w:pPr>
        <w:jc w:val="both"/>
        <w:ind w:left="60" w:right="59" w:firstLine="648"/>
        <w:spacing w:after="0" w:line="232" w:lineRule="auto"/>
        <w:rPr>
          <w:sz w:val="20"/>
          <w:szCs w:val="20"/>
          <w:color w:val="auto"/>
        </w:rPr>
      </w:pPr>
      <w:r>
        <w:rPr>
          <w:rFonts w:ascii="Times New Roman" w:cs="Times New Roman" w:eastAsia="Times New Roman" w:hAnsi="Times New Roman"/>
          <w:sz w:val="18"/>
          <w:szCs w:val="18"/>
          <w:color w:val="auto"/>
        </w:rPr>
        <w:t>On December 22, 2017, legislation commonly referred to as the Tax Act was signed into law and is generally effective after December 31, 2017. The Tax Act makes significant changes to the United States federal income tax rules for taxation of individuals and business entities. Most of the changes applicable to individuals are temporary and apply only to taxable years beginning after December 31, 2017 and before January 1, 2026. For corporations, the Tax Act reduces the top corporate income tax rate to 21% and repeals the corporate alternative minimum tax, limits the deduction for net interest expense, limits the deduction for net operating losses and eliminates net operating loss carrybacks, modifies or repeals many business deductions and credits, shifts the United States toward a more territorial tax system, and imposes new taxes to combat erosion of the U.S. federal income tax base. The Tax Act makes numerous other large and small changes to the federal income tax rules that may affect potential investors and may directly or indirectly affect us. We continue to examine the impact this tax reform legislation may have on our business. However, the effect of the Tax Act on us, whether adverse or favorable, is uncertain, and may not become evident for some period of time. This document does not discuss such legislation or the manner in which it might affect us or purchasers of our common stock. Prospective investors are urged to consult with their legal and tax advisors with respect to the Tax Act and any other regulatory or administrative developments and proposals, and their potential effects on them based on their unique circumstances.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the COVID-19 Pandemic</w:t>
      </w:r>
    </w:p>
    <w:p>
      <w:pPr>
        <w:spacing w:after="0" w:line="225"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COVID-19 pandemic could have a material adverse effect on our business if new variants continue to circulate and government control measures are reinstated.</w:t>
      </w:r>
    </w:p>
    <w:p>
      <w:pPr>
        <w:spacing w:after="0" w:line="15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ongoing COVID-19 pandemic has presented substantial public health challenges and has negatively impacted the global economy, global supply chains, and the global healthcare system, including the conduct of clinical trials in the U.S. and other parts of the world. New variants continue to circulate, and uncertainty remains as to whether restrictions that have been lifted will be reinstated or new measures will be implemented to address the spread of new variants. The extent to which the COVID-19 pandemic impacts our business and operating results will depend on future developments that cannot be accurately predicted. Should the COVID-19 pandemic worsen and government restrictions be reinstated, our business operations could be materially delayed or interrupted. For instance, our supply chain may be disrupted; health authority inspections of clinical sites, marketing application sponsor, CROs, or manufacturing facilities or review of our regulatory submissions may be delayed; and our commercialization efforts may be impacted.</w:t>
      </w:r>
    </w:p>
    <w:p>
      <w:pPr>
        <w:spacing w:after="0" w:line="188"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In addition, we may encounter delays in our clinical development program. The majority of our clinical trials involve patients with multiple sclerosis who may be at higher risk of infection. These patients are thus more likely to be subject to travel restrictions and self-quarantining and may be more likely to withdraw from our clinical trials or unable to complete study assessments, which may affect our ability to meet our projected timelines. Further, patients and healthcare providers have raised concerns that B-cell targeted agents, like anti-CD20 antibodies, may increase the risk of acquiring COVID-19 or lead to more severe complications or outcomes upon infection, including death, which could have a material adverse affect on ublituximab and our other B-cell targeted candidate by negatively impacting:</w:t>
      </w:r>
    </w:p>
    <w:p>
      <w:pPr>
        <w:spacing w:after="0" w:line="3" w:lineRule="exact"/>
        <w:rPr>
          <w:sz w:val="20"/>
          <w:szCs w:val="20"/>
          <w:color w:val="auto"/>
        </w:rPr>
      </w:pPr>
    </w:p>
    <w:p>
      <w:pPr>
        <w:ind w:left="1380" w:hanging="331"/>
        <w:spacing w:after="0"/>
        <w:tabs>
          <w:tab w:leader="none" w:pos="13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w:t>
      </w:r>
    </w:p>
    <w:p>
      <w:pPr>
        <w:spacing w:after="0" w:line="9"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review and approval;</w:t>
      </w:r>
    </w:p>
    <w:p>
      <w:pPr>
        <w:spacing w:after="0" w:line="9"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labeling, if approved, including restrictions on use or other warnings, or</w:t>
      </w:r>
    </w:p>
    <w:p>
      <w:pPr>
        <w:spacing w:after="0" w:line="9"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their acceptance among patients, healthcare providers, and payors, if approved.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4" w:name="page75"/>
    <w:bookmarkEnd w:id="7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The pandemic also may adversely affect our ability to complete ongoing clinical trials or conduct new trials. Some factors from the COVID-19 outbreak that may delay or otherwise adversely affect our clinical trial programs, as well as adversely impact our business generally, include:</w:t>
      </w:r>
    </w:p>
    <w:p>
      <w:pPr>
        <w:spacing w:after="0" w:line="176" w:lineRule="exact"/>
        <w:rPr>
          <w:sz w:val="20"/>
          <w:szCs w:val="20"/>
          <w:color w:val="auto"/>
        </w:rPr>
      </w:pPr>
    </w:p>
    <w:p>
      <w:pPr>
        <w:jc w:val="both"/>
        <w:ind w:left="1040" w:right="79" w:hanging="315"/>
        <w:spacing w:after="0" w:line="253" w:lineRule="auto"/>
        <w:tabs>
          <w:tab w:leader="none" w:pos="1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clinical site initiation, including difficulties in recruiting and retaining clinical sites, impacts on compliance with clinical study protocols, delays enrolling patients in our clinical trials, decreased enrollment in our clinical trials or increased rates of patients withdrawing from our clinical trials following enrollment, in each case, as a result of patients contracting COVID-19, being forced to quarantine, experiencing reluctance to seek medical attention in a healthcare facility setting, or otherwise not being able or willing to complete study assessments, particularly for older patients or others with a higher risk of contracting COVID-19;</w:t>
      </w:r>
    </w:p>
    <w:p>
      <w:pPr>
        <w:spacing w:after="0" w:line="2" w:lineRule="exact"/>
        <w:rPr>
          <w:rFonts w:ascii="Times New Roman" w:cs="Times New Roman" w:eastAsia="Times New Roman" w:hAnsi="Times New Roman"/>
          <w:sz w:val="18"/>
          <w:szCs w:val="18"/>
          <w:color w:val="auto"/>
        </w:rPr>
      </w:pPr>
    </w:p>
    <w:p>
      <w:pPr>
        <w:ind w:left="1040" w:right="79" w:hanging="315"/>
        <w:spacing w:after="0" w:line="191" w:lineRule="auto"/>
        <w:tabs>
          <w:tab w:leader="none" w:pos="1040" w:val="left"/>
        </w:tabs>
        <w:numPr>
          <w:ilvl w:val="0"/>
          <w:numId w:val="4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impacts to clinical results, including an increased number of observed adverse events, as a result of participants enrolled in our clinical trials contracting COVID-19;</w:t>
      </w:r>
    </w:p>
    <w:p>
      <w:pPr>
        <w:spacing w:after="0" w:line="1" w:lineRule="exact"/>
        <w:rPr>
          <w:rFonts w:ascii="Times New Roman" w:cs="Times New Roman" w:eastAsia="Times New Roman" w:hAnsi="Times New Roman"/>
          <w:sz w:val="29"/>
          <w:szCs w:val="29"/>
          <w:color w:val="auto"/>
          <w:vertAlign w:val="superscript"/>
        </w:rPr>
      </w:pPr>
    </w:p>
    <w:p>
      <w:pPr>
        <w:jc w:val="both"/>
        <w:ind w:left="1040" w:right="79" w:hanging="315"/>
        <w:spacing w:after="0" w:line="217" w:lineRule="auto"/>
        <w:tabs>
          <w:tab w:leader="none" w:pos="1040" w:val="left"/>
        </w:tabs>
        <w:numPr>
          <w:ilvl w:val="0"/>
          <w:numId w:val="4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prioritization by healthcare providers, facilities, lawmakers, and regulators of COVID-19-related healthcare needs or, when the pandemic subsides, to address the potential backlog of patients who have deferred medical procedures during the pendency of the pandemic, which may reduce availability of professionals and resources for clinical trials in other disease areas;</w:t>
      </w:r>
    </w:p>
    <w:p>
      <w:pPr>
        <w:spacing w:after="0" w:line="1" w:lineRule="exact"/>
        <w:rPr>
          <w:rFonts w:ascii="Times New Roman" w:cs="Times New Roman" w:eastAsia="Times New Roman" w:hAnsi="Times New Roman"/>
          <w:sz w:val="29"/>
          <w:szCs w:val="29"/>
          <w:color w:val="auto"/>
          <w:vertAlign w:val="superscript"/>
        </w:rPr>
      </w:pPr>
    </w:p>
    <w:p>
      <w:pPr>
        <w:jc w:val="both"/>
        <w:ind w:left="1040" w:right="79" w:hanging="315"/>
        <w:spacing w:after="0" w:line="250" w:lineRule="auto"/>
        <w:tabs>
          <w:tab w:leader="none" w:pos="1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travel, including limitations on domestic and international travel, and government-imposed quarantines or restrictions imposed by key third parties that could interrupt key trial activities, such as clinical trial site initiations and monitoring, which could impact the reliability or integrity of subject data and clinical study endpoints;</w:t>
      </w:r>
    </w:p>
    <w:p>
      <w:pPr>
        <w:spacing w:after="0" w:line="1" w:lineRule="exact"/>
        <w:rPr>
          <w:rFonts w:ascii="Times New Roman" w:cs="Times New Roman" w:eastAsia="Times New Roman" w:hAnsi="Times New Roman"/>
          <w:sz w:val="18"/>
          <w:szCs w:val="18"/>
          <w:color w:val="auto"/>
        </w:rPr>
      </w:pPr>
    </w:p>
    <w:p>
      <w:pPr>
        <w:jc w:val="both"/>
        <w:ind w:left="1040" w:right="79" w:hanging="315"/>
        <w:spacing w:after="0" w:line="208" w:lineRule="auto"/>
        <w:tabs>
          <w:tab w:leader="none" w:pos="1040" w:val="left"/>
        </w:tabs>
        <w:numPr>
          <w:ilvl w:val="0"/>
          <w:numId w:val="4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interruption of, or delays in receiving, supplies of our product candidates from our contract manufacturing organizations due to staffing shortages, production slowdowns or stoppages or interruption in global shipping that may affect the transport of clinical trial materials;</w:t>
      </w:r>
    </w:p>
    <w:p>
      <w:pPr>
        <w:ind w:left="1040" w:right="79" w:hanging="315"/>
        <w:spacing w:after="0" w:line="191" w:lineRule="auto"/>
        <w:tabs>
          <w:tab w:leader="none" w:pos="1040" w:val="left"/>
        </w:tabs>
        <w:numPr>
          <w:ilvl w:val="0"/>
          <w:numId w:val="4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disruptions and delays caused by potential workplace, laboratory, and office closures, an increased reliance on employees working from home across the healthcare system, and staffing shortages;</w:t>
      </w:r>
    </w:p>
    <w:p>
      <w:pPr>
        <w:spacing w:after="0" w:line="1" w:lineRule="exact"/>
        <w:rPr>
          <w:rFonts w:ascii="Times New Roman" w:cs="Times New Roman" w:eastAsia="Times New Roman" w:hAnsi="Times New Roman"/>
          <w:sz w:val="29"/>
          <w:szCs w:val="29"/>
          <w:color w:val="auto"/>
          <w:vertAlign w:val="superscript"/>
        </w:rPr>
      </w:pPr>
    </w:p>
    <w:p>
      <w:pPr>
        <w:jc w:val="both"/>
        <w:ind w:left="1040" w:right="79" w:hanging="315"/>
        <w:spacing w:after="0" w:line="250" w:lineRule="auto"/>
        <w:tabs>
          <w:tab w:leader="none" w:pos="1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or delays to regulatory reviews, responses, inspections, or other regulatory activities, including review of marketing applications and approvals of protocol changes or amendments to SPAs, as a result of the spread of COVID-19 affecting the operations of the FDA or other regulatory authorities;</w:t>
      </w:r>
    </w:p>
    <w:p>
      <w:pPr>
        <w:spacing w:after="0" w:line="1" w:lineRule="exact"/>
        <w:rPr>
          <w:rFonts w:ascii="Times New Roman" w:cs="Times New Roman" w:eastAsia="Times New Roman" w:hAnsi="Times New Roman"/>
          <w:sz w:val="18"/>
          <w:szCs w:val="18"/>
          <w:color w:val="auto"/>
        </w:rPr>
      </w:pPr>
    </w:p>
    <w:p>
      <w:pPr>
        <w:jc w:val="both"/>
        <w:ind w:left="1040" w:right="79" w:hanging="315"/>
        <w:spacing w:after="0" w:line="250" w:lineRule="auto"/>
        <w:tabs>
          <w:tab w:leader="none" w:pos="1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local regulations as part of a response to the COVID-19 pandemic which may require us to change the ways in which clinical trials are conducted, which may result in unexpected costs, or to discontinue the clinical trials altogether; and</w:t>
      </w:r>
    </w:p>
    <w:p>
      <w:pPr>
        <w:spacing w:after="0" w:line="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effects on the quality, completeness, integrity, interpretability, and cost of our clinical study data.</w:t>
      </w:r>
    </w:p>
    <w:p>
      <w:pPr>
        <w:spacing w:after="0" w:line="207"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potential disruptions and other impacts discussed above and other consequences of the COVID-19 pandemic could result in missed study visits or study procedures in our clinical trials, which could lead to an abundance of protocol deviations that impact the interpretability of the trial results. A significant number of deviations may call into question whether the execution of a clinical trial was consistent with the protocol, which is of particular importance where study designs were agreed to as part of a SPA as in the case of our Phase 3 clinical trial for ublituximab in RMS (ULTIMATE I and II). In extreme cases, significant deviations from the protocol may be considered a violation of the SPA and result in potential rescindment of the SPA agreement, which could adversely affect our ability to use the results of the impacted study to support a future regulatory application. The impacts of COVID-19 on clinical studies described above may be greater in geographies outside the U.S., including in Eastern European countries where we have a number of study sites for ULTIMATE I and II.</w:t>
      </w:r>
    </w:p>
    <w:p>
      <w:pPr>
        <w:spacing w:after="0" w:line="194"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In the event government-imposed restrictions related to COVID-19 that have been lifted are reinstated or new measures are implemented to address the spread of new variants, our ability to successfully commercialize any of our product candidates for which we in the future obtain regulatory approval also may be adversely impacted. In response to the COVID-19 pandemic, many healthcare institutions reduced access of pharmaceutical and biotechnology companies to healthcare providers as part of their safety measures. Should limitations on access continue, our commercialization activities, including the manner in which our field teams engage with healthcare providers and facilities, may limit our ability to provide product education and information, which could slow adoption and impact potential sales.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5" w:name="page76"/>
    <w:bookmarkEnd w:id="7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We will continue to monitor the potential impact of COVID-19 on our business; however, the full extent to which the COVID-19 pandemic may directly or indirectly impact the progress of our current and planned trials will depend on future developments that are uncertain and cannot be accurately predicted.</w:t>
      </w:r>
    </w:p>
    <w:p>
      <w:pPr>
        <w:spacing w:after="0" w:line="1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General Risks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Common Stock and Being a Publicly-Traded Company</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is, and we expect it to remain, volatile, which could limit investors’ ability to sell stock at a profit.</w:t>
      </w:r>
    </w:p>
    <w:p>
      <w:pPr>
        <w:spacing w:after="0" w:line="216"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trading price of our common stock has been and is likely to continue to be highly volatile and subject to wide fluctuations in price in response to various factors, many of which are beyond our control. These factors include:</w:t>
      </w:r>
    </w:p>
    <w:p>
      <w:pPr>
        <w:ind w:left="1040" w:right="79" w:hanging="315"/>
        <w:spacing w:after="0" w:line="226" w:lineRule="auto"/>
        <w:tabs>
          <w:tab w:leader="none" w:pos="10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publicity regarding actual or potential clinical results relating to products under development by our competitors or us;</w:t>
      </w:r>
    </w:p>
    <w:p>
      <w:pPr>
        <w:spacing w:after="0" w:line="1" w:lineRule="exact"/>
        <w:rPr>
          <w:rFonts w:ascii="Times New Roman" w:cs="Times New Roman" w:eastAsia="Times New Roman" w:hAnsi="Times New Roman"/>
          <w:sz w:val="18"/>
          <w:szCs w:val="18"/>
          <w:color w:val="auto"/>
        </w:rPr>
      </w:pPr>
    </w:p>
    <w:p>
      <w:pPr>
        <w:ind w:left="1040" w:right="79" w:hanging="315"/>
        <w:spacing w:after="0" w:line="226" w:lineRule="auto"/>
        <w:tabs>
          <w:tab w:leader="none" w:pos="10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failure in initiating, completing or analyzing nonclinical or clinical trials or the unsatisfactory design or results of these trials;</w:t>
      </w:r>
    </w:p>
    <w:p>
      <w:pPr>
        <w:spacing w:after="0" w:line="1" w:lineRule="exact"/>
        <w:rPr>
          <w:rFonts w:ascii="Times New Roman" w:cs="Times New Roman" w:eastAsia="Times New Roman" w:hAnsi="Times New Roman"/>
          <w:sz w:val="18"/>
          <w:szCs w:val="18"/>
          <w:color w:val="auto"/>
        </w:rPr>
      </w:pPr>
    </w:p>
    <w:p>
      <w:pPr>
        <w:ind w:left="1040" w:hanging="315"/>
        <w:spacing w:after="0" w:line="234" w:lineRule="auto"/>
        <w:tabs>
          <w:tab w:leader="none" w:pos="10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achievement or rejection of regulatory approvals by us or our competitors;</w:t>
      </w:r>
    </w:p>
    <w:p>
      <w:pPr>
        <w:jc w:val="both"/>
        <w:ind w:left="1040" w:right="79" w:hanging="315"/>
        <w:spacing w:after="0" w:line="230" w:lineRule="auto"/>
        <w:tabs>
          <w:tab w:leader="none" w:pos="10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 in our regulatory review for ublituximab or any other product candidate we may develop, and any adverse development or perceived adverse development with respect to the applicable regulatory authority’s review of such filings, including without limitation a change to the projected approval date, scheduling of an advisory committee meeting or issuance of a “refusal to file” letter;</w:t>
      </w:r>
    </w:p>
    <w:p>
      <w:pPr>
        <w:spacing w:after="0" w:line="3" w:lineRule="exact"/>
        <w:rPr>
          <w:rFonts w:ascii="Times New Roman" w:cs="Times New Roman" w:eastAsia="Times New Roman" w:hAnsi="Times New Roman"/>
          <w:sz w:val="18"/>
          <w:szCs w:val="18"/>
          <w:color w:val="auto"/>
        </w:rPr>
      </w:pPr>
    </w:p>
    <w:p>
      <w:pPr>
        <w:ind w:left="1040" w:hanging="315"/>
        <w:spacing w:after="0" w:line="234" w:lineRule="auto"/>
        <w:tabs>
          <w:tab w:leader="none" w:pos="10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technological innovations or new commercial products by our competitors or us;</w:t>
      </w:r>
    </w:p>
    <w:p>
      <w:pPr>
        <w:ind w:left="1040" w:hanging="315"/>
        <w:spacing w:after="0" w:line="234" w:lineRule="auto"/>
        <w:tabs>
          <w:tab w:leader="none" w:pos="10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concerning proprietary rights, including patents;</w:t>
      </w:r>
    </w:p>
    <w:p>
      <w:pPr>
        <w:ind w:left="1040" w:hanging="315"/>
        <w:spacing w:after="0" w:line="234" w:lineRule="auto"/>
        <w:tabs>
          <w:tab w:leader="none" w:pos="10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concerning our collaborations;</w:t>
      </w:r>
    </w:p>
    <w:p>
      <w:pPr>
        <w:ind w:left="1040" w:hanging="315"/>
        <w:spacing w:after="0" w:line="234" w:lineRule="auto"/>
        <w:tabs>
          <w:tab w:leader="none" w:pos="10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and foreign countries;</w:t>
      </w:r>
    </w:p>
    <w:p>
      <w:pPr>
        <w:ind w:left="1040" w:right="79" w:hanging="315"/>
        <w:spacing w:after="0" w:line="226" w:lineRule="auto"/>
        <w:tabs>
          <w:tab w:leader="none" w:pos="10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or other crises and other external factors such as the disruptions in the global economy caused by the COVID-19 pandemic and the conflict between Russia and Ukraine;</w:t>
      </w:r>
    </w:p>
    <w:p>
      <w:pPr>
        <w:spacing w:after="0" w:line="1" w:lineRule="exact"/>
        <w:rPr>
          <w:rFonts w:ascii="Times New Roman" w:cs="Times New Roman" w:eastAsia="Times New Roman" w:hAnsi="Times New Roman"/>
          <w:sz w:val="18"/>
          <w:szCs w:val="18"/>
          <w:color w:val="auto"/>
        </w:rPr>
      </w:pPr>
    </w:p>
    <w:p>
      <w:pPr>
        <w:ind w:left="1040" w:hanging="315"/>
        <w:spacing w:after="0" w:line="234" w:lineRule="auto"/>
        <w:tabs>
          <w:tab w:leader="none" w:pos="10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period-to-period fluctuations in our revenues and other results of operations;</w:t>
      </w:r>
    </w:p>
    <w:p>
      <w:pPr>
        <w:ind w:left="1040" w:hanging="315"/>
        <w:spacing w:after="0" w:line="234" w:lineRule="auto"/>
        <w:tabs>
          <w:tab w:leader="none" w:pos="10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our revenue projections or guidance;</w:t>
      </w:r>
    </w:p>
    <w:p>
      <w:pPr>
        <w:ind w:left="1040" w:hanging="315"/>
        <w:spacing w:after="0" w:line="234" w:lineRule="auto"/>
        <w:tabs>
          <w:tab w:leader="none" w:pos="10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by securities analysts; and</w:t>
      </w:r>
    </w:p>
    <w:p>
      <w:pPr>
        <w:ind w:left="1040" w:hanging="315"/>
        <w:spacing w:after="0"/>
        <w:tabs>
          <w:tab w:leader="none" w:pos="10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w:t>
      </w:r>
    </w:p>
    <w:p>
      <w:pPr>
        <w:spacing w:after="0" w:line="192"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We will not be able to control many of these factors, and we believe that period-to-period comparisons of our financial results will not necessarily be indicative of our future performance.</w:t>
      </w:r>
    </w:p>
    <w:p>
      <w:pPr>
        <w:spacing w:after="0" w:line="135" w:lineRule="exact"/>
        <w:rPr>
          <w:sz w:val="20"/>
          <w:szCs w:val="20"/>
          <w:color w:val="auto"/>
        </w:rPr>
      </w:pPr>
    </w:p>
    <w:p>
      <w:pPr>
        <w:jc w:val="both"/>
        <w:ind w:left="60" w:right="59" w:firstLine="648"/>
        <w:spacing w:after="0" w:line="239" w:lineRule="auto"/>
        <w:rPr>
          <w:sz w:val="20"/>
          <w:szCs w:val="20"/>
          <w:color w:val="auto"/>
        </w:rPr>
      </w:pPr>
      <w:r>
        <w:rPr>
          <w:rFonts w:ascii="Times New Roman" w:cs="Times New Roman" w:eastAsia="Times New Roman" w:hAnsi="Times New Roman"/>
          <w:sz w:val="18"/>
          <w:szCs w:val="18"/>
          <w:color w:val="auto"/>
        </w:rPr>
        <w:t>In addition, the stock market in general, and the market for biotechnology companies in particular, has experienced extreme price and volume fluctuations that may have been unrelated or disproportionate to the operating performance of individual companies. These broad market and industry factors may seriously harm the market price of our common stock, regardless of our operating performance. As a result of this volatility, investors may not be able to sell their common stock at or above the price paid for the shares.</w:t>
      </w:r>
    </w:p>
    <w:p>
      <w:pPr>
        <w:spacing w:after="0" w:line="167"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capital stock in the foreseeable future, capital appreciation, if any, will be the sole source of gain for our stockholders.</w:t>
      </w:r>
    </w:p>
    <w:p>
      <w:pPr>
        <w:spacing w:after="0" w:line="15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retain all of our future earnings, if any, to finance the growth and development of our business. In addition, under the Amended Loan Agreement with Hercules, we are currently restricted from paying cash dividends, and we expect these restrictions to continue in the future. Furthermore, the terms of any future debt agreements may continue to preclude us from paying dividends. As a result, capital appreciation, if any, of our common stock will be the sole source of gain for our stockholders for the foreseeable future.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6" w:name="page77"/>
    <w:bookmarkEnd w:id="7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common stock may not be sustained, and investors may not be able to resell their shares at or above the price they paid.</w:t>
      </w:r>
    </w:p>
    <w:p>
      <w:pPr>
        <w:spacing w:after="0" w:line="15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Although we have listed our common stock on the Nasdaq Capital Market, an active trading market for our shares may not be sustained. In the absence of an active trading market for our common stock, investors may not be able to sell their common stock at or above the price at which they acquired their shares or at the time that they would like to sell. An inactive trading market may also impair our ability to raise capital to continue to fund operations by selling shares and may impair our ability to acquire other companies or technologies by using our shares as consideration.</w:t>
      </w:r>
    </w:p>
    <w:p>
      <w:pPr>
        <w:spacing w:after="0" w:line="179"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equity research analysts do not publish research or reports about our business or if they publish negative evaluations of or downgrade our common stock, the price of our common stock could decline.</w:t>
      </w:r>
    </w:p>
    <w:p>
      <w:pPr>
        <w:spacing w:after="0" w:line="15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relies in part on the research and reports that equity research analysts publish about us or our business. We do not control these analysts. If one or more of the analysts covering our business downgrade their evaluations of our common stock, the price of our common stock could decline. If one or more of these analysts cease to cover our common stock, we could lose visibility in the market for our common stock, which in turn could cause our common stock price to decline.</w:t>
      </w:r>
    </w:p>
    <w:p>
      <w:pPr>
        <w:spacing w:after="0" w:line="179"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significant increased costs as a result of operating as a public company, and our management is required to devote substantial time to compliance initiatives.</w:t>
      </w:r>
    </w:p>
    <w:p>
      <w:pPr>
        <w:spacing w:after="0" w:line="15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As a public company, we incur significant legal, accounting and other expenses under the Sarbanes-Oxley Act of 2002, as well as rules subsequently implemented by the SEC, and the rules of any stock exchange on which we are listed. These rules impose various requirements on public companies, including requiring establishment and maintenance of effective disclosure and financial controls and appropriate corporate governance practices. Our team has devoted and will continue to devote a substantial amount of time to these compliance initiatives. Moreover, these rules and regulations increase our legal and financial compliance costs and make some activities more time-consuming and costly. For example, these rules and regulations make it more difficult and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persons to serve on our Board of Directors, on our Board committees, or as executive officers.</w:t>
      </w:r>
    </w:p>
    <w:p>
      <w:pPr>
        <w:spacing w:after="0" w:line="194"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Sarbanes-Oxley Act of 2002 requires, among other things, that we maintain effective internal control over financial reporting and disclosure controls and procedures. As a result, we are required to periodically perform an evaluation of our internal control over financial reporting to allow management to report on the effectiveness of those controls, as required by Section 404 of the Sarbanes-Oxley Act. Additionally, our independent auditors are required to perform a similar evaluation and report on the effectiveness of our internal control over financial reporting. These efforts to comply with Section 404 will require the commitment of significant financial and managerial resources. While we anticipate maintaining the integrity of our internal control over financial reporting and all other aspects of Section 404, we cannot be certain that a material weakness will not be identified when we test the effectiveness of our control systems in the future. If a material weakness is identified, we could be subject to sanctions or investigations by the SEC or other regulatory authorities, which would require additional financial and management resources, costly litigation or a loss of public confidence in our internal control over financial reporting, which could have an adverse effect on the market price of our stock.</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7" w:name="page78"/>
    <w:bookmarkEnd w:id="7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Volatility in the price of our common stock may subject us to securities and shareholder derivative litigation, which could cause us to incur substantial costs and divert management’s attention, financial resources and other company assets.</w:t>
      </w:r>
    </w:p>
    <w:p>
      <w:pPr>
        <w:spacing w:after="0" w:line="175"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In the past, securities class action and shareholder derivative litigation has often been brought against a company following periods of volatility in the market price of its securities. This risk is especially relevant for us because pharmaceutical companies have experienced significant stock price volatility in recent years. Past lawsuits, the Class Action Lawsuit, and any future lawsuits to which we may become a party are subject to inherent uncertainties and will likely be expensive and time-consuming to investigate, defend, and resolve, and will divert our management’s attention and financial and other resources. The outcome of litigation, including the Class Action Lawsuit, is necessarily uncertain, and we could be forced to expend significant resources in the defense of these and other suits in which we may not prevail. Any litigation to which we are a party, including the Class Action Lawsuit, may result in an onerous or unfavorable judgment that may not be reversed upon appeal or in payments of substantial monetary damages or fines, or we may decide to settle this or other lawsuits on similarly unfavorable terms, which could adversely affect our business, financial condition, results of operations or stock price.</w:t>
      </w:r>
    </w:p>
    <w:p>
      <w:pPr>
        <w:spacing w:after="0" w:line="188"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including by us or our directors and executive officers or shares issued upon the exercise of currently outstanding options, could cause our stock price to decline.</w:t>
      </w:r>
    </w:p>
    <w:p>
      <w:pPr>
        <w:spacing w:after="0" w:line="159"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A substantial portion of our outstanding common stock can be traded without restriction at any time. In addition, a portion of our outstanding common stock is currently restricted as a result of federal securities laws, but can be sold at any time subject to applicable volume limitations. As such, sales of a substantial number of shares of our common stock in the public market could occur at any time. These sales, or the perception in the market that the holders of a large number of shares intend to sell shares, by us or others, could reduce the market price of our common stock or impair our ability to raise adequate capital through the sale of additional equity securities. In addition, we have a significant number of shares that are subject to outstanding options. The exercise of these options and the subsequent sale of the underlying common stock could cause a further decline in our stock price. These sales also might make it difficult for us to sell equity securities in the future at a time and at a price that we deem appropriate. We cannot predict the number, timing or size of future issuances or the effect, if any, that any future issuances may have on the market price for our common stock.</w:t>
      </w:r>
    </w:p>
    <w:p>
      <w:pPr>
        <w:spacing w:after="0" w:line="190"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ongoing military conflict between Russia and Ukraine may result in market volatility that could adversely affect our stock price.</w:t>
      </w:r>
    </w:p>
    <w:p>
      <w:pPr>
        <w:spacing w:after="0" w:line="15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In late February 2022, Russia invaded Ukraine, significantly amplifying already existing geopolitical tensions among Russia and other countries in the region and in the West, including the U.S. The invasion by Russia, responses of countries and political bodies to the invasion, the broader overarching tensions, Ukraine’s military response, and the potential for broader conflict may increase financial market volatility and could have severe adverse effects on regional and global economic markets.</w:t>
      </w:r>
    </w:p>
    <w:p>
      <w:pPr>
        <w:spacing w:after="0" w:line="183"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Following Russia’s actions, various countries, including the U.S., Canada, the United Kingdom, Germany and France, as well as the European Union, issued broad-ranging economic sanctions against Russia. Such sanctions included, among other things, a prohibition on doing business with certain Russian companies, officials, and oligarchs; a commitment by certain countries and the European Union to remove selected Russian banks from the Society for Worldwide Interbank Financial Telecommunications (SWIFT) electronic banking network that connects banks globally; and restrictive measures to prevent the Russian Central Bank from undermining the impact of the sanctions. The current sanctions (and potential further sanctions in response to continued Russian military activity) and other actions may have adverse effects on regional and global economic markets, and may result in increased volatility in the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8" w:name="page79"/>
    <w:bookmarkEnd w:id="7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DEFAULTS OF SENIOR SECURITIES.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exhibits listed on the Exhibit Index are included with this report.</w:t>
      </w:r>
    </w:p>
    <w:p>
      <w:pPr>
        <w:spacing w:after="0" w:line="212" w:lineRule="exact"/>
        <w:rPr>
          <w:sz w:val="20"/>
          <w:szCs w:val="20"/>
          <w:color w:val="auto"/>
        </w:rPr>
      </w:pPr>
    </w:p>
    <w:p>
      <w:pPr>
        <w:ind w:left="1080" w:right="619" w:hanging="580"/>
        <w:spacing w:after="0" w:line="261" w:lineRule="auto"/>
        <w:tabs>
          <w:tab w:leader="none" w:pos="106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8"/>
          <w:szCs w:val="18"/>
          <w:u w:val="single" w:color="auto"/>
          <w:color w:val="0000EE"/>
        </w:rPr>
        <w:t>Certification of Chief Executive Officer pursuant to Rule 13a-14(a)/15d-14(a), as adopted pursuant to Section 302 of the Sarbanes-Oxley Act of 2002, dated August 9, 2022.</w:t>
      </w:r>
    </w:p>
    <w:p>
      <w:pPr>
        <w:ind w:left="1080" w:right="679" w:hanging="580"/>
        <w:spacing w:after="0" w:line="250" w:lineRule="auto"/>
        <w:tabs>
          <w:tab w:leader="none" w:pos="106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8"/>
          <w:szCs w:val="18"/>
          <w:u w:val="single" w:color="auto"/>
          <w:color w:val="0000EE"/>
        </w:rPr>
        <w:t>Certification of Chief Financial Officer pursuant to Rule 13a-14(a)/15d-14(a), as adopted pursuant to Section 302 of the Sarbanes-Oxley Act of 2002, dated August 9, 2022.</w:t>
      </w:r>
    </w:p>
    <w:p>
      <w:pPr>
        <w:spacing w:after="0" w:line="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 xml:space="preserve">32.1** </w:t>
      </w:r>
      <w:r>
        <w:rPr>
          <w:rFonts w:ascii="Times New Roman" w:cs="Times New Roman" w:eastAsia="Times New Roman" w:hAnsi="Times New Roman"/>
          <w:sz w:val="18"/>
          <w:szCs w:val="18"/>
          <w:u w:val="single" w:color="auto"/>
          <w:color w:val="0000EE"/>
        </w:rPr>
        <w:t>Certification of Chief Executive Officer pursuant to 18 U.S.C. 1350, as adopted pursuant to Section</w:t>
      </w:r>
    </w:p>
    <w:p>
      <w:pPr>
        <w:spacing w:after="0" w:line="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u w:val="single" w:color="auto"/>
          <w:color w:val="0000EE"/>
        </w:rPr>
        <w:t>906 of the Sarbanes-Oxley Act of 2002, dated August 9, 2022.</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 xml:space="preserve">32.2** </w:t>
      </w:r>
      <w:r>
        <w:rPr>
          <w:rFonts w:ascii="Times New Roman" w:cs="Times New Roman" w:eastAsia="Times New Roman" w:hAnsi="Times New Roman"/>
          <w:sz w:val="18"/>
          <w:szCs w:val="18"/>
          <w:u w:val="single" w:color="auto"/>
          <w:color w:val="0000EE"/>
        </w:rPr>
        <w:t>Certification of Chief Financial Officer pursuant to 18 U.S.C. 1350, as adopted pursuant to Section</w:t>
      </w:r>
    </w:p>
    <w:p>
      <w:pPr>
        <w:spacing w:after="0" w:line="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u w:val="single" w:color="auto"/>
          <w:color w:val="0000EE"/>
        </w:rPr>
        <w:t>906 of the Sarbanes-Oxley Act of 2002, dated August 9, 2022.</w:t>
      </w:r>
    </w:p>
    <w:p>
      <w:pPr>
        <w:spacing w:after="0" w:line="9" w:lineRule="exact"/>
        <w:rPr>
          <w:sz w:val="20"/>
          <w:szCs w:val="20"/>
          <w:color w:val="auto"/>
        </w:rPr>
      </w:pPr>
    </w:p>
    <w:p>
      <w:pPr>
        <w:ind w:left="1080" w:right="539" w:hanging="579"/>
        <w:spacing w:after="0" w:line="250" w:lineRule="auto"/>
        <w:tabs>
          <w:tab w:leader="none" w:pos="1060" w:val="left"/>
        </w:tabs>
        <w:rPr>
          <w:sz w:val="20"/>
          <w:szCs w:val="20"/>
          <w:color w:val="auto"/>
        </w:rPr>
      </w:pPr>
      <w:r>
        <w:rPr>
          <w:rFonts w:ascii="Times New Roman" w:cs="Times New Roman" w:eastAsia="Times New Roman" w:hAnsi="Times New Roman"/>
          <w:sz w:val="18"/>
          <w:szCs w:val="18"/>
          <w:color w:val="auto"/>
        </w:rPr>
        <w:t>101*</w:t>
        <w:tab/>
        <w:t>The following financial information from the Company’s Quarterly Report on Form 10-Q for the period ended June 30, 2022, formatted in Inline Extensible Business Reporting Language (iXBRL): (i) the Condensed Consolidated Balance Sheets, (ii) the Condensed Consolidated Statements of Operations, (iii) the Condensed Consolidated Statements of Changes in Stockholders’ Equity, (iv) the Condensed Consolidated Statements of Cash Flows, and (v) Notes to the Condensed Consolidated Financial Statements (filed herewith).</w:t>
      </w:r>
    </w:p>
    <w:p>
      <w:pPr>
        <w:spacing w:after="0" w:line="2" w:lineRule="exact"/>
        <w:rPr>
          <w:sz w:val="20"/>
          <w:szCs w:val="20"/>
          <w:color w:val="auto"/>
        </w:rPr>
      </w:pPr>
    </w:p>
    <w:p>
      <w:pPr>
        <w:ind w:left="500"/>
        <w:spacing w:after="0"/>
        <w:tabs>
          <w:tab w:leader="none" w:pos="1060" w:val="left"/>
        </w:tabs>
        <w:rPr>
          <w:sz w:val="20"/>
          <w:szCs w:val="20"/>
          <w:color w:val="auto"/>
        </w:rPr>
      </w:pPr>
      <w:r>
        <w:rPr>
          <w:rFonts w:ascii="Times New Roman" w:cs="Times New Roman" w:eastAsia="Times New Roman" w:hAnsi="Times New Roman"/>
          <w:sz w:val="18"/>
          <w:szCs w:val="18"/>
          <w:color w:val="auto"/>
        </w:rPr>
        <w:t>104*</w:t>
        <w:tab/>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74295</wp:posOffset>
            </wp:positionV>
            <wp:extent cx="141414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9" w:name="page80"/>
    <w:bookmarkEnd w:id="7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ind w:left="60" w:right="139" w:firstLine="49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35"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980" w:type="dxa"/>
            <w:vAlign w:val="bottom"/>
          </w:tcPr>
          <w:p>
            <w:pPr>
              <w:spacing w:after="0"/>
              <w:rPr>
                <w:sz w:val="20"/>
                <w:szCs w:val="20"/>
                <w:color w:val="auto"/>
              </w:rPr>
            </w:pPr>
          </w:p>
        </w:tc>
        <w:tc>
          <w:tcPr>
            <w:tcW w:w="590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rPr>
              <w:t>TG THERAPEUTICS, INC.</w:t>
            </w:r>
          </w:p>
        </w:tc>
      </w:tr>
      <w:tr>
        <w:trPr>
          <w:trHeight w:val="432"/>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Date: August 9, 2022</w:t>
            </w:r>
          </w:p>
        </w:tc>
        <w:tc>
          <w:tcPr>
            <w:tcW w:w="590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rPr>
              <w:t>By: /s/ Sean A. Power</w:t>
            </w:r>
          </w:p>
        </w:tc>
      </w:tr>
      <w:tr>
        <w:trPr>
          <w:trHeight w:val="191"/>
        </w:trPr>
        <w:tc>
          <w:tcPr>
            <w:tcW w:w="29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41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Sean A. Power</w:t>
            </w:r>
          </w:p>
        </w:tc>
      </w:tr>
      <w:tr>
        <w:trPr>
          <w:trHeight w:val="216"/>
        </w:trPr>
        <w:tc>
          <w:tcPr>
            <w:tcW w:w="29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29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0" w:name="page81"/>
    <w:bookmarkEnd w:id="80"/>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PERIODIC REPORT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Michael S. Weiss, certify that:</w:t>
      </w:r>
    </w:p>
    <w:p>
      <w:pPr>
        <w:spacing w:after="0" w:line="225" w:lineRule="exact"/>
        <w:rPr>
          <w:sz w:val="20"/>
          <w:szCs w:val="20"/>
          <w:color w:val="auto"/>
        </w:rPr>
      </w:pPr>
    </w:p>
    <w:p>
      <w:pPr>
        <w:ind w:left="380" w:hanging="330"/>
        <w:spacing w:after="0"/>
        <w:tabs>
          <w:tab w:leader="none" w:pos="3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TG Therapeutics, Inc.;</w:t>
      </w:r>
    </w:p>
    <w:p>
      <w:pPr>
        <w:spacing w:after="0" w:line="225" w:lineRule="exact"/>
        <w:rPr>
          <w:rFonts w:ascii="Times New Roman" w:cs="Times New Roman" w:eastAsia="Times New Roman" w:hAnsi="Times New Roman"/>
          <w:sz w:val="18"/>
          <w:szCs w:val="18"/>
          <w:color w:val="auto"/>
        </w:rPr>
      </w:pPr>
    </w:p>
    <w:p>
      <w:pPr>
        <w:jc w:val="both"/>
        <w:ind w:left="380" w:right="119" w:hanging="330"/>
        <w:spacing w:after="0" w:line="266" w:lineRule="auto"/>
        <w:tabs>
          <w:tab w:leader="none" w:pos="3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80" w:right="79" w:hanging="330"/>
        <w:spacing w:after="0" w:line="266" w:lineRule="auto"/>
        <w:tabs>
          <w:tab w:leader="none" w:pos="3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380" w:right="339" w:hanging="330"/>
        <w:spacing w:after="0" w:line="266" w:lineRule="auto"/>
        <w:tabs>
          <w:tab w:leader="none" w:pos="3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700" w:right="359" w:hanging="326"/>
        <w:spacing w:after="0" w:line="261" w:lineRule="auto"/>
        <w:tabs>
          <w:tab w:leader="none" w:pos="7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700" w:right="139" w:hanging="326"/>
        <w:spacing w:after="0" w:line="261" w:lineRule="auto"/>
        <w:tabs>
          <w:tab w:leader="none" w:pos="7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jc w:val="both"/>
        <w:ind w:left="700" w:right="199" w:hanging="326"/>
        <w:spacing w:after="0" w:line="266" w:lineRule="auto"/>
        <w:tabs>
          <w:tab w:leader="none" w:pos="7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700" w:right="99" w:hanging="326"/>
        <w:spacing w:after="0" w:line="261" w:lineRule="auto"/>
        <w:tabs>
          <w:tab w:leader="none" w:pos="7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380" w:right="119" w:hanging="330"/>
        <w:spacing w:after="0" w:line="266" w:lineRule="auto"/>
        <w:tabs>
          <w:tab w:leader="none" w:pos="3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700" w:right="139" w:hanging="326"/>
        <w:spacing w:after="0" w:line="266" w:lineRule="auto"/>
        <w:tabs>
          <w:tab w:leader="none" w:pos="7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700" w:right="239" w:hanging="326"/>
        <w:spacing w:after="0" w:line="282" w:lineRule="auto"/>
        <w:tabs>
          <w:tab w:leader="none" w:pos="7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August 9, 2022</w:t>
            </w:r>
          </w:p>
        </w:tc>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S. Weiss</w:t>
            </w:r>
          </w:p>
        </w:tc>
      </w:tr>
      <w:tr>
        <w:trPr>
          <w:trHeight w:val="191"/>
        </w:trPr>
        <w:tc>
          <w:tcPr>
            <w:tcW w:w="4480" w:type="dxa"/>
            <w:vAlign w:val="bottom"/>
          </w:tcPr>
          <w:p>
            <w:pPr>
              <w:spacing w:after="0"/>
              <w:rPr>
                <w:sz w:val="16"/>
                <w:szCs w:val="16"/>
                <w:color w:val="auto"/>
              </w:rPr>
            </w:pPr>
          </w:p>
        </w:tc>
        <w:tc>
          <w:tcPr>
            <w:tcW w:w="44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S. Weiss</w:t>
            </w:r>
          </w:p>
        </w:tc>
      </w:tr>
      <w:tr>
        <w:trPr>
          <w:trHeight w:val="234"/>
        </w:trPr>
        <w:tc>
          <w:tcPr>
            <w:tcW w:w="448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Chairman, Chief Executive Officer and President</w:t>
            </w:r>
          </w:p>
        </w:tc>
      </w:tr>
      <w:tr>
        <w:trPr>
          <w:trHeight w:val="993"/>
        </w:trPr>
        <w:tc>
          <w:tcPr>
            <w:tcW w:w="448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81" w:name="page82"/>
    <w:bookmarkEnd w:id="81"/>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PERIODIC REPORT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Sean A. Power, certify that:</w:t>
      </w:r>
    </w:p>
    <w:p>
      <w:pPr>
        <w:spacing w:after="0" w:line="225" w:lineRule="exact"/>
        <w:rPr>
          <w:sz w:val="20"/>
          <w:szCs w:val="20"/>
          <w:color w:val="auto"/>
        </w:rPr>
      </w:pPr>
    </w:p>
    <w:p>
      <w:pPr>
        <w:ind w:left="380" w:hanging="330"/>
        <w:spacing w:after="0"/>
        <w:tabs>
          <w:tab w:leader="none" w:pos="3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TG Therapeutics, Inc.;</w:t>
      </w:r>
    </w:p>
    <w:p>
      <w:pPr>
        <w:spacing w:after="0" w:line="225" w:lineRule="exact"/>
        <w:rPr>
          <w:rFonts w:ascii="Times New Roman" w:cs="Times New Roman" w:eastAsia="Times New Roman" w:hAnsi="Times New Roman"/>
          <w:sz w:val="18"/>
          <w:szCs w:val="18"/>
          <w:color w:val="auto"/>
        </w:rPr>
      </w:pPr>
    </w:p>
    <w:p>
      <w:pPr>
        <w:jc w:val="both"/>
        <w:ind w:left="380" w:right="119" w:hanging="330"/>
        <w:spacing w:after="0" w:line="266" w:lineRule="auto"/>
        <w:tabs>
          <w:tab w:leader="none" w:pos="3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80" w:right="79" w:hanging="330"/>
        <w:spacing w:after="0" w:line="266" w:lineRule="auto"/>
        <w:tabs>
          <w:tab w:leader="none" w:pos="3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380" w:right="339" w:hanging="330"/>
        <w:spacing w:after="0" w:line="266" w:lineRule="auto"/>
        <w:tabs>
          <w:tab w:leader="none" w:pos="3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700" w:right="359" w:hanging="326"/>
        <w:spacing w:after="0" w:line="261" w:lineRule="auto"/>
        <w:tabs>
          <w:tab w:leader="none" w:pos="7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700" w:right="139" w:hanging="326"/>
        <w:spacing w:after="0" w:line="261" w:lineRule="auto"/>
        <w:tabs>
          <w:tab w:leader="none" w:pos="7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jc w:val="both"/>
        <w:ind w:left="700" w:right="199" w:hanging="326"/>
        <w:spacing w:after="0" w:line="266" w:lineRule="auto"/>
        <w:tabs>
          <w:tab w:leader="none" w:pos="7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700" w:right="99" w:hanging="326"/>
        <w:spacing w:after="0" w:line="261" w:lineRule="auto"/>
        <w:tabs>
          <w:tab w:leader="none" w:pos="7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380" w:right="119" w:hanging="330"/>
        <w:spacing w:after="0" w:line="266" w:lineRule="auto"/>
        <w:tabs>
          <w:tab w:leader="none" w:pos="3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700" w:right="139" w:hanging="326"/>
        <w:spacing w:after="0" w:line="266" w:lineRule="auto"/>
        <w:tabs>
          <w:tab w:leader="none" w:pos="7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700" w:right="239" w:hanging="326"/>
        <w:spacing w:after="0" w:line="282" w:lineRule="auto"/>
        <w:tabs>
          <w:tab w:leader="none" w:pos="7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August 9, 2022</w:t>
            </w:r>
          </w:p>
        </w:tc>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Sean A. Power</w:t>
            </w:r>
          </w:p>
        </w:tc>
      </w:tr>
      <w:tr>
        <w:trPr>
          <w:trHeight w:val="191"/>
        </w:trPr>
        <w:tc>
          <w:tcPr>
            <w:tcW w:w="4480" w:type="dxa"/>
            <w:vAlign w:val="bottom"/>
          </w:tcPr>
          <w:p>
            <w:pPr>
              <w:spacing w:after="0"/>
              <w:rPr>
                <w:sz w:val="16"/>
                <w:szCs w:val="16"/>
                <w:color w:val="auto"/>
              </w:rPr>
            </w:pPr>
          </w:p>
        </w:tc>
        <w:tc>
          <w:tcPr>
            <w:tcW w:w="44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Sean A. Power</w:t>
            </w:r>
          </w:p>
        </w:tc>
      </w:tr>
      <w:tr>
        <w:trPr>
          <w:trHeight w:val="216"/>
        </w:trPr>
        <w:tc>
          <w:tcPr>
            <w:tcW w:w="448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448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776"/>
        </w:trPr>
        <w:tc>
          <w:tcPr>
            <w:tcW w:w="448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82" w:name="page83"/>
    <w:bookmarkEnd w:id="82"/>
    <w:p>
      <w:pPr>
        <w:ind w:left="802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STATEMENT OF CHIEF EXECUTIVE OFFICER OF</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TG THERAPEUTICS,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29"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TG Therapeutics, Inc. (the “Company”) on Form 10-Q for the period ended June 30, 2022 as filed with the Securities and Exchange Commission (the “Report”), I, Michael S. Weiss, Chairman, Chief Executive Officer and President of the Company, certify, pursuant to 18 U.S.C. §1350, as adopted pursuant to §906 of the Sarbanes-Oxley Act of 2002, that, based on my knowledge:</w:t>
      </w:r>
    </w:p>
    <w:p>
      <w:pPr>
        <w:spacing w:after="0" w:line="180" w:lineRule="exact"/>
        <w:rPr>
          <w:sz w:val="20"/>
          <w:szCs w:val="20"/>
          <w:color w:val="auto"/>
        </w:rPr>
      </w:pPr>
    </w:p>
    <w:p>
      <w:pPr>
        <w:ind w:left="700" w:right="519" w:hanging="326"/>
        <w:spacing w:after="0" w:line="282" w:lineRule="auto"/>
        <w:tabs>
          <w:tab w:leader="none" w:pos="7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700" w:right="99" w:hanging="326"/>
        <w:spacing w:after="0" w:line="282" w:lineRule="auto"/>
        <w:tabs>
          <w:tab w:leader="none" w:pos="7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August 9, 2022</w:t>
            </w:r>
          </w:p>
        </w:tc>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S. Weiss</w:t>
            </w:r>
          </w:p>
        </w:tc>
      </w:tr>
      <w:tr>
        <w:trPr>
          <w:trHeight w:val="191"/>
        </w:trPr>
        <w:tc>
          <w:tcPr>
            <w:tcW w:w="4480" w:type="dxa"/>
            <w:vAlign w:val="bottom"/>
          </w:tcPr>
          <w:p>
            <w:pPr>
              <w:spacing w:after="0"/>
              <w:rPr>
                <w:sz w:val="16"/>
                <w:szCs w:val="16"/>
                <w:color w:val="auto"/>
              </w:rPr>
            </w:pPr>
          </w:p>
        </w:tc>
        <w:tc>
          <w:tcPr>
            <w:tcW w:w="44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S. Weiss</w:t>
            </w:r>
          </w:p>
        </w:tc>
      </w:tr>
      <w:tr>
        <w:trPr>
          <w:trHeight w:val="234"/>
        </w:trPr>
        <w:tc>
          <w:tcPr>
            <w:tcW w:w="448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Chairman, Chief Executive Officer and President</w:t>
            </w:r>
          </w:p>
        </w:tc>
      </w:tr>
      <w:tr>
        <w:trPr>
          <w:trHeight w:val="992"/>
        </w:trPr>
        <w:tc>
          <w:tcPr>
            <w:tcW w:w="448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83" w:name="page84"/>
    <w:bookmarkEnd w:id="83"/>
    <w:p>
      <w:pPr>
        <w:ind w:left="8020"/>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STATEMENT OF CHIEF FINANCIAL OFFICER OF</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TG THERAPEUTICS,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29"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TG Therapeutics, Inc. (the “Company”) on Form 10-Q for the period ended June 30, 2022 as filed with the Securities and Exchange Commission (the “Report”), I, Sean A. Power, Chief Financial Officer of the Company, certify, pursuant to 18 U.S.C. §1350, as adopted pursuant to §906 of the Sarbanes-Oxley Act of 2002, that, based on my knowledge:</w:t>
      </w:r>
    </w:p>
    <w:p>
      <w:pPr>
        <w:spacing w:after="0" w:line="180" w:lineRule="exact"/>
        <w:rPr>
          <w:sz w:val="20"/>
          <w:szCs w:val="20"/>
          <w:color w:val="auto"/>
        </w:rPr>
      </w:pPr>
    </w:p>
    <w:p>
      <w:pPr>
        <w:ind w:left="700" w:right="519" w:hanging="326"/>
        <w:spacing w:after="0" w:line="282" w:lineRule="auto"/>
        <w:tabs>
          <w:tab w:leader="none" w:pos="7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700" w:right="99" w:hanging="326"/>
        <w:spacing w:after="0" w:line="282" w:lineRule="auto"/>
        <w:tabs>
          <w:tab w:leader="none" w:pos="7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August 9, 2022</w:t>
            </w:r>
          </w:p>
        </w:tc>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Sean A. Power</w:t>
            </w:r>
          </w:p>
        </w:tc>
      </w:tr>
      <w:tr>
        <w:trPr>
          <w:trHeight w:val="191"/>
        </w:trPr>
        <w:tc>
          <w:tcPr>
            <w:tcW w:w="4480" w:type="dxa"/>
            <w:vAlign w:val="bottom"/>
          </w:tcPr>
          <w:p>
            <w:pPr>
              <w:spacing w:after="0"/>
              <w:rPr>
                <w:sz w:val="16"/>
                <w:szCs w:val="16"/>
                <w:color w:val="auto"/>
              </w:rPr>
            </w:pPr>
          </w:p>
        </w:tc>
        <w:tc>
          <w:tcPr>
            <w:tcW w:w="44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Sean A. Power</w:t>
            </w:r>
          </w:p>
        </w:tc>
      </w:tr>
      <w:tr>
        <w:trPr>
          <w:trHeight w:val="216"/>
        </w:trPr>
        <w:tc>
          <w:tcPr>
            <w:tcW w:w="448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448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776"/>
        </w:trPr>
        <w:tc>
          <w:tcPr>
            <w:tcW w:w="448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
      <w:numFmt w:val="bullet"/>
      <w:start w:val="1"/>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
      <w:numFmt w:val="bullet"/>
      <w:start w:val="1"/>
    </w:lvl>
  </w:abstractNum>
  <w:abstractNum w:abstractNumId="7">
    <w:nsid w:val="2CA88611"/>
    <w:multiLevelType w:val="hybridMultilevel"/>
    <w:lvl w:ilvl="0">
      <w:lvlJc w:val="left"/>
      <w:lvlText w:val="●"/>
      <w:numFmt w:val="bullet"/>
      <w:start w:val="1"/>
    </w:lvl>
  </w:abstractNum>
  <w:abstractNum w:abstractNumId="8">
    <w:nsid w:val="836C40E"/>
    <w:multiLevelType w:val="hybridMultilevel"/>
    <w:lvl w:ilvl="0">
      <w:lvlJc w:val="left"/>
      <w:lvlText w:val="●"/>
      <w:numFmt w:val="bullet"/>
      <w:start w:val="1"/>
    </w:lvl>
  </w:abstractNum>
  <w:abstractNum w:abstractNumId="9">
    <w:nsid w:val="2901D82"/>
    <w:multiLevelType w:val="hybridMultilevel"/>
    <w:lvl w:ilvl="0">
      <w:lvlJc w:val="left"/>
      <w:lvlText w:val="●"/>
      <w:numFmt w:val="bullet"/>
      <w:start w:val="1"/>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
      <w:numFmt w:val="bullet"/>
      <w:start w:val="1"/>
    </w:lvl>
  </w:abstractNum>
  <w:abstractNum w:abstractNumId="12">
    <w:nsid w:val="1E7FF521"/>
    <w:multiLevelType w:val="hybridMultilevel"/>
    <w:lvl w:ilvl="0">
      <w:lvlJc w:val="left"/>
      <w:lvlText w:val="(%1)"/>
      <w:numFmt w:val="decimal"/>
      <w:start w:val="1"/>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1)"/>
      <w:numFmt w:val="lowerRoman"/>
      <w:start w:val="6"/>
    </w:lvl>
  </w:abstractNum>
  <w:abstractNum w:abstractNumId="15">
    <w:nsid w:val="6CEAF087"/>
    <w:multiLevelType w:val="hybridMultilevel"/>
    <w:lvl w:ilvl="0">
      <w:lvlJc w:val="left"/>
      <w:lvlText w:val="(*)"/>
      <w:numFmt w:val="bullet"/>
      <w:start w:val="1"/>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
      <w:numFmt w:val="bullet"/>
      <w:start w:val="1"/>
    </w:lvl>
  </w:abstractNum>
  <w:abstractNum w:abstractNumId="18">
    <w:nsid w:val="3006C83E"/>
    <w:multiLevelType w:val="hybridMultilevel"/>
    <w:lvl w:ilvl="0">
      <w:lvlJc w:val="left"/>
      <w:lvlText w:val="●"/>
      <w:numFmt w:val="bullet"/>
      <w:start w:val="1"/>
    </w:lvl>
  </w:abstractNum>
  <w:abstractNum w:abstractNumId="19">
    <w:nsid w:val="614FD4A1"/>
    <w:multiLevelType w:val="hybridMultilevel"/>
    <w:lvl w:ilvl="0">
      <w:lvlJc w:val="left"/>
      <w:lvlText w:val="●"/>
      <w:numFmt w:val="bullet"/>
      <w:start w:val="1"/>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
      <w:numFmt w:val="bullet"/>
      <w:start w:val="1"/>
    </w:lvl>
  </w:abstractNum>
  <w:abstractNum w:abstractNumId="22">
    <w:nsid w:val="440BADFC"/>
    <w:multiLevelType w:val="hybridMultilevel"/>
    <w:lvl w:ilvl="0">
      <w:lvlJc w:val="left"/>
      <w:lvlText w:val="●"/>
      <w:numFmt w:val="bullet"/>
      <w:start w:val="1"/>
    </w:lvl>
  </w:abstractNum>
  <w:abstractNum w:abstractNumId="23">
    <w:nsid w:val="5072367"/>
    <w:multiLevelType w:val="hybridMultilevel"/>
    <w:lvl w:ilvl="0">
      <w:lvlJc w:val="left"/>
      <w:lvlText w:val="●"/>
      <w:numFmt w:val="bullet"/>
      <w:start w:val="1"/>
    </w:lvl>
  </w:abstractNum>
  <w:abstractNum w:abstractNumId="24">
    <w:nsid w:val="3804823E"/>
    <w:multiLevelType w:val="hybridMultilevel"/>
    <w:lvl w:ilvl="0">
      <w:lvlJc w:val="left"/>
      <w:lvlText w:val="●"/>
      <w:numFmt w:val="bullet"/>
      <w:start w:val="1"/>
    </w:lvl>
  </w:abstractNum>
  <w:abstractNum w:abstractNumId="25">
    <w:nsid w:val="77465F01"/>
    <w:multiLevelType w:val="hybridMultilevel"/>
    <w:lvl w:ilvl="0">
      <w:lvlJc w:val="left"/>
      <w:lvlText w:val="●"/>
      <w:numFmt w:val="bullet"/>
      <w:start w:val="1"/>
    </w:lvl>
  </w:abstractNum>
  <w:abstractNum w:abstractNumId="26">
    <w:nsid w:val="7724C67E"/>
    <w:multiLevelType w:val="hybridMultilevel"/>
    <w:lvl w:ilvl="0">
      <w:lvlJc w:val="left"/>
      <w:lvlText w:val="●"/>
      <w:numFmt w:val="bullet"/>
      <w:start w:val="1"/>
    </w:lvl>
  </w:abstractNum>
  <w:abstractNum w:abstractNumId="27">
    <w:nsid w:val="5C482A97"/>
    <w:multiLevelType w:val="hybridMultilevel"/>
    <w:lvl w:ilvl="0">
      <w:lvlJc w:val="left"/>
      <w:lvlText w:val="●"/>
      <w:numFmt w:val="bullet"/>
      <w:start w:val="1"/>
    </w:lvl>
  </w:abstractNum>
  <w:abstractNum w:abstractNumId="28">
    <w:nsid w:val="2463B9EA"/>
    <w:multiLevelType w:val="hybridMultilevel"/>
    <w:lvl w:ilvl="0">
      <w:lvlJc w:val="left"/>
      <w:lvlText w:val="●"/>
      <w:numFmt w:val="bullet"/>
      <w:start w:val="1"/>
    </w:lvl>
  </w:abstractNum>
  <w:abstractNum w:abstractNumId="29">
    <w:nsid w:val="5E884ADC"/>
    <w:multiLevelType w:val="hybridMultilevel"/>
    <w:lvl w:ilvl="0">
      <w:lvlJc w:val="left"/>
      <w:lvlText w:val="●"/>
      <w:numFmt w:val="bullet"/>
      <w:start w:val="1"/>
    </w:lvl>
  </w:abstractNum>
  <w:abstractNum w:abstractNumId="30">
    <w:nsid w:val="51EAD36B"/>
    <w:multiLevelType w:val="hybridMultilevel"/>
    <w:lvl w:ilvl="0">
      <w:lvlJc w:val="left"/>
      <w:lvlText w:val="●"/>
      <w:numFmt w:val="bullet"/>
      <w:start w:val="1"/>
    </w:lvl>
  </w:abstractNum>
  <w:abstractNum w:abstractNumId="31">
    <w:nsid w:val="2D517796"/>
    <w:multiLevelType w:val="hybridMultilevel"/>
    <w:lvl w:ilvl="0">
      <w:lvlJc w:val="left"/>
      <w:lvlText w:val="●"/>
      <w:numFmt w:val="bullet"/>
      <w:start w:val="1"/>
    </w:lvl>
  </w:abstractNum>
  <w:abstractNum w:abstractNumId="32">
    <w:nsid w:val="580BD78F"/>
    <w:multiLevelType w:val="hybridMultilevel"/>
    <w:lvl w:ilvl="0">
      <w:lvlJc w:val="left"/>
      <w:lvlText w:val="●"/>
      <w:numFmt w:val="bullet"/>
      <w:start w:val="1"/>
    </w:lvl>
  </w:abstractNum>
  <w:abstractNum w:abstractNumId="33">
    <w:nsid w:val="153EA438"/>
    <w:multiLevelType w:val="hybridMultilevel"/>
    <w:lvl w:ilvl="0">
      <w:lvlJc w:val="left"/>
      <w:lvlText w:val="●"/>
      <w:numFmt w:val="bullet"/>
      <w:start w:val="1"/>
    </w:lvl>
    <w:lvl w:ilvl="1">
      <w:lvlJc w:val="left"/>
      <w:lvlText w:val="●"/>
      <w:numFmt w:val="bullet"/>
      <w:start w:val="1"/>
    </w:lvl>
  </w:abstractNum>
  <w:abstractNum w:abstractNumId="34">
    <w:nsid w:val="3855585C"/>
    <w:multiLevelType w:val="hybridMultilevel"/>
    <w:lvl w:ilvl="0">
      <w:lvlJc w:val="left"/>
      <w:lvlText w:val="●"/>
      <w:numFmt w:val="bullet"/>
      <w:start w:val="1"/>
    </w:lvl>
    <w:lvl w:ilvl="1">
      <w:lvlJc w:val="left"/>
      <w:lvlText w:val="●"/>
      <w:numFmt w:val="bullet"/>
      <w:start w:val="1"/>
    </w:lvl>
  </w:abstractNum>
  <w:abstractNum w:abstractNumId="35">
    <w:nsid w:val="70A64E2A"/>
    <w:multiLevelType w:val="hybridMultilevel"/>
    <w:lvl w:ilvl="0">
      <w:lvlJc w:val="left"/>
      <w:lvlText w:val="●"/>
      <w:numFmt w:val="bullet"/>
      <w:start w:val="1"/>
    </w:lvl>
  </w:abstractNum>
  <w:abstractNum w:abstractNumId="36">
    <w:nsid w:val="6A2342EC"/>
    <w:multiLevelType w:val="hybridMultilevel"/>
    <w:lvl w:ilvl="0">
      <w:lvlJc w:val="left"/>
      <w:lvlText w:val="●"/>
      <w:numFmt w:val="bullet"/>
      <w:start w:val="1"/>
    </w:lvl>
  </w:abstractNum>
  <w:abstractNum w:abstractNumId="37">
    <w:nsid w:val="2A487CB0"/>
    <w:multiLevelType w:val="hybridMultilevel"/>
    <w:lvl w:ilvl="0">
      <w:lvlJc w:val="left"/>
      <w:lvlText w:val="●"/>
      <w:numFmt w:val="bullet"/>
      <w:start w:val="1"/>
    </w:lvl>
  </w:abstractNum>
  <w:abstractNum w:abstractNumId="38">
    <w:nsid w:val="1D4ED43B"/>
    <w:multiLevelType w:val="hybridMultilevel"/>
    <w:lvl w:ilvl="0">
      <w:lvlJc w:val="left"/>
      <w:lvlText w:val="●"/>
      <w:numFmt w:val="bullet"/>
      <w:start w:val="1"/>
    </w:lvl>
  </w:abstractNum>
  <w:abstractNum w:abstractNumId="39">
    <w:nsid w:val="725A06FB"/>
    <w:multiLevelType w:val="hybridMultilevel"/>
    <w:lvl w:ilvl="0">
      <w:lvlJc w:val="left"/>
      <w:lvlText w:val="●"/>
      <w:numFmt w:val="bullet"/>
      <w:start w:val="1"/>
    </w:lvl>
  </w:abstractNum>
  <w:abstractNum w:abstractNumId="40">
    <w:nsid w:val="2CD89A32"/>
    <w:multiLevelType w:val="hybridMultilevel"/>
    <w:lvl w:ilvl="0">
      <w:lvlJc w:val="left"/>
      <w:lvlText w:val="●"/>
      <w:numFmt w:val="bullet"/>
      <w:start w:val="1"/>
    </w:lvl>
  </w:abstractNum>
  <w:abstractNum w:abstractNumId="41">
    <w:nsid w:val="57E4CCAF"/>
    <w:multiLevelType w:val="hybridMultilevel"/>
    <w:lvl w:ilvl="0">
      <w:lvlJc w:val="left"/>
      <w:lvlText w:val="●"/>
      <w:numFmt w:val="bullet"/>
      <w:start w:val="1"/>
    </w:lvl>
  </w:abstractNum>
  <w:abstractNum w:abstractNumId="42">
    <w:nsid w:val="7A6D8D3C"/>
    <w:multiLevelType w:val="hybridMultilevel"/>
    <w:lvl w:ilvl="0">
      <w:lvlJc w:val="left"/>
      <w:lvlText w:val="●"/>
      <w:numFmt w:val="bullet"/>
      <w:start w:val="1"/>
    </w:lvl>
  </w:abstractNum>
  <w:abstractNum w:abstractNumId="43">
    <w:nsid w:val="4B588F54"/>
    <w:multiLevelType w:val="hybridMultilevel"/>
    <w:lvl w:ilvl="0">
      <w:lvlJc w:val="left"/>
      <w:lvlText w:val="●"/>
      <w:numFmt w:val="bullet"/>
      <w:start w:val="1"/>
    </w:lvl>
  </w:abstractNum>
  <w:abstractNum w:abstractNumId="44">
    <w:nsid w:val="542289EC"/>
    <w:multiLevelType w:val="hybridMultilevel"/>
    <w:lvl w:ilvl="0">
      <w:lvlJc w:val="left"/>
      <w:lvlText w:val="%1."/>
      <w:numFmt w:val="decimal"/>
      <w:start w:val="1"/>
    </w:lvl>
    <w:lvl w:ilvl="1">
      <w:lvlJc w:val="left"/>
      <w:lvlText w:val="%2)"/>
      <w:numFmt w:val="lowerLetter"/>
      <w:start w:val="1"/>
    </w:lvl>
  </w:abstractNum>
  <w:abstractNum w:abstractNumId="45">
    <w:nsid w:val="6DE91B18"/>
    <w:multiLevelType w:val="hybridMultilevel"/>
    <w:lvl w:ilvl="0">
      <w:lvlJc w:val="left"/>
      <w:lvlText w:val="%1."/>
      <w:numFmt w:val="decimal"/>
      <w:start w:val="1"/>
    </w:lvl>
    <w:lvl w:ilvl="1">
      <w:lvlJc w:val="left"/>
      <w:lvlText w:val="%2)"/>
      <w:numFmt w:val="lowerLetter"/>
      <w:start w:val="1"/>
    </w:lvl>
  </w:abstractNum>
  <w:abstractNum w:abstractNumId="46">
    <w:nsid w:val="38437FDB"/>
    <w:multiLevelType w:val="hybridMultilevel"/>
    <w:lvl w:ilvl="0">
      <w:lvlJc w:val="left"/>
      <w:lvlText w:val="%1)"/>
      <w:numFmt w:val="decimal"/>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2022-08-09T16:46:15Z</dcterms:created>
  <dcterms:modified xsi:type="dcterms:W3CDTF">2022-08-09T16:46:15Z</dcterms:modified>
</cp:coreProperties>
</file>