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ind w:left="4060" w:right="2700" w:hanging="1351"/>
        <w:spacing w:after="0" w:line="282" w:lineRule="auto"/>
        <w:tabs>
          <w:tab w:leader="none" w:pos="291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700" w:hanging="1358"/>
        <w:spacing w:after="0" w:line="282" w:lineRule="auto"/>
        <w:tabs>
          <w:tab w:leader="none" w:pos="290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2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855" w:right="239" w:bottom="32"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20" w:space="720"/>
            <w:col w:w="4280"/>
          </w:cols>
          <w:pgMar w:left="240" w:top="855" w:right="239" w:bottom="32" w:gutter="0" w:footer="0" w:header="0"/>
          <w:type w:val="continuous"/>
        </w:sectPr>
      </w:pPr>
    </w:p>
    <w:p>
      <w:pPr>
        <w:spacing w:after="0" w:line="18"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filed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Title of Class</w:t>
            </w:r>
          </w:p>
        </w:tc>
        <w:tc>
          <w:tcPr>
            <w:tcW w:w="388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80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Common Stock, par value $0.001</w:t>
            </w:r>
          </w:p>
        </w:tc>
        <w:tc>
          <w:tcPr>
            <w:tcW w:w="388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TGTX</w:t>
            </w:r>
          </w:p>
        </w:tc>
        <w:tc>
          <w:tcPr>
            <w:tcW w:w="374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855" w:right="239" w:bottom="32"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280" w:space="720"/>
            <w:col w:w="1420"/>
          </w:cols>
          <w:pgMar w:left="240" w:top="855" w:right="239" w:bottom="32"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520" w:space="720"/>
            <w:col w:w="2180"/>
          </w:cols>
          <w:pgMar w:left="240" w:top="855" w:right="239" w:bottom="32" w:gutter="0" w:footer="0" w:header="0"/>
          <w:type w:val="continuous"/>
        </w:sectPr>
      </w:pPr>
    </w:p>
    <w:p>
      <w:pPr>
        <w:spacing w:after="0" w:line="4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855" w:right="239" w:bottom="32" w:gutter="0" w:footer="0" w:header="0"/>
          <w:type w:val="continuous"/>
        </w:sectPr>
      </w:pPr>
    </w:p>
    <w:p>
      <w:pPr>
        <w:spacing w:after="0" w:line="28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99,561,434 shares of the registrant’s common stock, $0.001 par value, outstanding as of November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55" w:right="239" w:bottom="3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0" w:type="dxa"/>
            <w:vAlign w:val="bottom"/>
          </w:tcPr>
          <w:p>
            <w:pPr>
              <w:spacing w:after="0"/>
              <w:rPr>
                <w:sz w:val="23"/>
                <w:szCs w:val="23"/>
                <w:color w:val="auto"/>
              </w:rPr>
            </w:pPr>
          </w:p>
        </w:tc>
        <w:tc>
          <w:tcPr>
            <w:tcW w:w="10060" w:type="dxa"/>
            <w:vAlign w:val="bottom"/>
            <w:gridSpan w:val="20"/>
            <w:shd w:val="clear" w:color="auto" w:fill="CCEEFF"/>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SPECIAL CAUTIONARY NOTICE REGARDING FORWARD-LOOKING STATEMENTS</w:t>
              </w:r>
            </w:hyperlink>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5">
              <w:r>
                <w:rPr>
                  <w:rFonts w:ascii="Arial" w:cs="Arial" w:eastAsia="Arial" w:hAnsi="Arial"/>
                  <w:sz w:val="22"/>
                  <w:szCs w:val="22"/>
                  <w:color w:val="0000EE"/>
                </w:rPr>
                <w:t>PART I</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5">
              <w:r>
                <w:rPr>
                  <w:rFonts w:ascii="Arial" w:cs="Arial" w:eastAsia="Arial" w:hAnsi="Arial"/>
                  <w:sz w:val="22"/>
                  <w:szCs w:val="22"/>
                  <w:color w:val="0000EE"/>
                </w:rPr>
                <w:t>FINANCIAL INFORMATION</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5">
              <w:r>
                <w:rPr>
                  <w:rFonts w:ascii="Arial" w:cs="Arial" w:eastAsia="Arial" w:hAnsi="Arial"/>
                  <w:sz w:val="22"/>
                  <w:szCs w:val="22"/>
                  <w:color w:val="0000EE"/>
                </w:rPr>
                <w:t>Item 1</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5">
              <w:r>
                <w:rPr>
                  <w:rFonts w:ascii="Arial" w:cs="Arial" w:eastAsia="Arial" w:hAnsi="Arial"/>
                  <w:sz w:val="22"/>
                  <w:szCs w:val="22"/>
                  <w:color w:val="0000EE"/>
                </w:rPr>
                <w:t>Financial Statements:</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5">
              <w:r>
                <w:rPr>
                  <w:rFonts w:ascii="Arial" w:cs="Arial" w:eastAsia="Arial" w:hAnsi="Arial"/>
                  <w:sz w:val="22"/>
                  <w:szCs w:val="22"/>
                  <w:color w:val="0000EE"/>
                </w:rPr>
                <w:t>Condensed Consolidated Balance Sheets</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6">
              <w:r>
                <w:rPr>
                  <w:rFonts w:ascii="Arial" w:cs="Arial" w:eastAsia="Arial" w:hAnsi="Arial"/>
                  <w:sz w:val="22"/>
                  <w:szCs w:val="22"/>
                  <w:color w:val="0000EE"/>
                </w:rPr>
                <w:t>Condensed Consolidated Statements of Operations (unaudited)</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7">
              <w:r>
                <w:rPr>
                  <w:rFonts w:ascii="Arial" w:cs="Arial" w:eastAsia="Arial" w:hAnsi="Arial"/>
                  <w:sz w:val="22"/>
                  <w:szCs w:val="22"/>
                  <w:color w:val="0000EE"/>
                </w:rPr>
                <w:t>Condensed Consolidated Statements of Stockholders’ (Deficit) Equity (unaudited)</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9">
              <w:r>
                <w:rPr>
                  <w:rFonts w:ascii="Arial" w:cs="Arial" w:eastAsia="Arial" w:hAnsi="Arial"/>
                  <w:sz w:val="22"/>
                  <w:szCs w:val="22"/>
                  <w:color w:val="0000EE"/>
                </w:rPr>
                <w:t>Condensed Consolidated Statements of Cash Flows (unaudited)</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10">
              <w:r>
                <w:rPr>
                  <w:rFonts w:ascii="Arial" w:cs="Arial" w:eastAsia="Arial" w:hAnsi="Arial"/>
                  <w:sz w:val="22"/>
                  <w:szCs w:val="22"/>
                  <w:color w:val="0000EE"/>
                </w:rPr>
                <w:t>Notes to Condensed Consolidated Financial Statements (unaudited)</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25">
              <w:r>
                <w:rPr>
                  <w:rFonts w:ascii="Arial" w:cs="Arial" w:eastAsia="Arial" w:hAnsi="Arial"/>
                  <w:sz w:val="22"/>
                  <w:szCs w:val="22"/>
                  <w:color w:val="0000EE"/>
                </w:rPr>
                <w:t>Item 2</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25">
              <w:r>
                <w:rPr>
                  <w:rFonts w:ascii="Arial" w:cs="Arial" w:eastAsia="Arial" w:hAnsi="Arial"/>
                  <w:sz w:val="22"/>
                  <w:szCs w:val="22"/>
                  <w:color w:val="0000EE"/>
                </w:rPr>
                <w:t>Management’s Discussion and Analysis of Financial Condition and Results of Operations</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32">
              <w:r>
                <w:rPr>
                  <w:rFonts w:ascii="Arial" w:cs="Arial" w:eastAsia="Arial" w:hAnsi="Arial"/>
                  <w:sz w:val="22"/>
                  <w:szCs w:val="22"/>
                  <w:color w:val="0000EE"/>
                </w:rPr>
                <w:t>Item 3</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32">
              <w:r>
                <w:rPr>
                  <w:rFonts w:ascii="Arial" w:cs="Arial" w:eastAsia="Arial" w:hAnsi="Arial"/>
                  <w:sz w:val="22"/>
                  <w:szCs w:val="22"/>
                  <w:color w:val="0000EE"/>
                </w:rPr>
                <w:t>Quantitative and Qualitative Disclosures About Market Risk</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32">
              <w:r>
                <w:rPr>
                  <w:rFonts w:ascii="Arial" w:cs="Arial" w:eastAsia="Arial" w:hAnsi="Arial"/>
                  <w:sz w:val="22"/>
                  <w:szCs w:val="22"/>
                  <w:color w:val="0000EE"/>
                </w:rPr>
                <w:t>Item 4</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32">
              <w:r>
                <w:rPr>
                  <w:rFonts w:ascii="Arial" w:cs="Arial" w:eastAsia="Arial" w:hAnsi="Arial"/>
                  <w:sz w:val="22"/>
                  <w:szCs w:val="22"/>
                  <w:color w:val="0000EE"/>
                </w:rPr>
                <w:t>Controls and Procedures</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33">
              <w:r>
                <w:rPr>
                  <w:rFonts w:ascii="Arial" w:cs="Arial" w:eastAsia="Arial" w:hAnsi="Arial"/>
                  <w:sz w:val="22"/>
                  <w:szCs w:val="22"/>
                  <w:color w:val="0000EE"/>
                </w:rPr>
                <w:t>PART II</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33">
              <w:r>
                <w:rPr>
                  <w:rFonts w:ascii="Arial" w:cs="Arial" w:eastAsia="Arial" w:hAnsi="Arial"/>
                  <w:sz w:val="22"/>
                  <w:szCs w:val="22"/>
                  <w:color w:val="0000EE"/>
                </w:rPr>
                <w:t>OTHER INFORMATION</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33">
              <w:r>
                <w:rPr>
                  <w:rFonts w:ascii="Arial" w:cs="Arial" w:eastAsia="Arial" w:hAnsi="Arial"/>
                  <w:sz w:val="22"/>
                  <w:szCs w:val="22"/>
                  <w:color w:val="0000EE"/>
                </w:rPr>
                <w:t>Item 1</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33">
              <w:r>
                <w:rPr>
                  <w:rFonts w:ascii="Arial" w:cs="Arial" w:eastAsia="Arial" w:hAnsi="Arial"/>
                  <w:sz w:val="22"/>
                  <w:szCs w:val="22"/>
                  <w:color w:val="0000EE"/>
                </w:rPr>
                <w:t>Legal Proceedings</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33">
              <w:r>
                <w:rPr>
                  <w:rFonts w:ascii="Arial" w:cs="Arial" w:eastAsia="Arial" w:hAnsi="Arial"/>
                  <w:sz w:val="22"/>
                  <w:szCs w:val="22"/>
                  <w:color w:val="0000EE"/>
                </w:rPr>
                <w:t>Item 1A</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33">
              <w:r>
                <w:rPr>
                  <w:rFonts w:ascii="Arial" w:cs="Arial" w:eastAsia="Arial" w:hAnsi="Arial"/>
                  <w:sz w:val="22"/>
                  <w:szCs w:val="22"/>
                  <w:color w:val="0000EE"/>
                </w:rPr>
                <w:t>Risk Factors</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203" w:lineRule="exact"/>
              <w:rPr>
                <w:rFonts w:ascii="Arial" w:cs="Arial" w:eastAsia="Arial" w:hAnsi="Arial"/>
                <w:sz w:val="22"/>
                <w:szCs w:val="22"/>
                <w:color w:val="0000EE"/>
              </w:rPr>
            </w:pPr>
            <w:hyperlink w:anchor="page69">
              <w:r>
                <w:rPr>
                  <w:rFonts w:ascii="Arial" w:cs="Arial" w:eastAsia="Arial" w:hAnsi="Arial"/>
                  <w:sz w:val="22"/>
                  <w:szCs w:val="22"/>
                  <w:color w:val="0000EE"/>
                </w:rPr>
                <w:t>Item 6</w:t>
              </w:r>
            </w:hyperlink>
          </w:p>
        </w:tc>
        <w:tc>
          <w:tcPr>
            <w:tcW w:w="8920" w:type="dxa"/>
            <w:vAlign w:val="bottom"/>
            <w:gridSpan w:val="16"/>
            <w:shd w:val="clear" w:color="auto" w:fill="CCEEFF"/>
          </w:tcPr>
          <w:p>
            <w:pPr>
              <w:spacing w:after="0" w:line="203" w:lineRule="exact"/>
              <w:rPr>
                <w:rFonts w:ascii="Arial" w:cs="Arial" w:eastAsia="Arial" w:hAnsi="Arial"/>
                <w:sz w:val="22"/>
                <w:szCs w:val="22"/>
                <w:color w:val="0000EE"/>
              </w:rPr>
            </w:pPr>
            <w:hyperlink w:anchor="page69">
              <w:r>
                <w:rPr>
                  <w:rFonts w:ascii="Arial" w:cs="Arial" w:eastAsia="Arial" w:hAnsi="Arial"/>
                  <w:sz w:val="22"/>
                  <w:szCs w:val="22"/>
                  <w:color w:val="0000EE"/>
                </w:rPr>
                <w:t>Exhibits</w:t>
              </w:r>
            </w:hyperlink>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4500" w:type="dxa"/>
            <w:vAlign w:val="bottom"/>
            <w:tcBorders>
              <w:top w:val="single" w:sz="8" w:color="CCEEFF"/>
              <w:bottom w:val="single" w:sz="8" w:color="auto"/>
            </w:tcBorders>
            <w:gridSpan w:val="8"/>
          </w:tcPr>
          <w:p>
            <w:pPr>
              <w:jc w:val="right"/>
              <w:ind w:right="620"/>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spacing w:after="0" w:line="16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being accepted by doctors, patients or payors;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980" w:right="74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and its volatility;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 should read this report and the documents that we have filed as exhibits to this report completely and with the understanding that our actual future results, performance or achievements may be materially different from what we expect. Any forward-looking statements contained in this report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 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INFORMATION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8020" w:type="dxa"/>
            <w:vAlign w:val="bottom"/>
          </w:tcPr>
          <w:p>
            <w:pPr>
              <w:ind w:left="4840"/>
              <w:spacing w:after="0"/>
              <w:rPr>
                <w:sz w:val="20"/>
                <w:szCs w:val="20"/>
                <w:color w:val="auto"/>
              </w:rPr>
            </w:pPr>
            <w:r>
              <w:rPr>
                <w:rFonts w:ascii="Arial" w:cs="Arial" w:eastAsia="Arial" w:hAnsi="Arial"/>
                <w:sz w:val="18"/>
                <w:szCs w:val="18"/>
                <w:b w:val="1"/>
                <w:bCs w:val="1"/>
                <w:color w:val="auto"/>
              </w:rPr>
              <w:t>TG Therapeutics,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20"/>
              <w:spacing w:after="0"/>
              <w:rPr>
                <w:sz w:val="20"/>
                <w:szCs w:val="20"/>
                <w:color w:val="auto"/>
              </w:rPr>
            </w:pPr>
            <w:r>
              <w:rPr>
                <w:rFonts w:ascii="Arial" w:cs="Arial" w:eastAsia="Arial" w:hAnsi="Arial"/>
                <w:sz w:val="18"/>
                <w:szCs w:val="18"/>
                <w:color w:val="auto"/>
              </w:rPr>
              <w:t>Condensed Consolidated Balance Sheets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940"/>
              <w:spacing w:after="0"/>
              <w:rPr>
                <w:sz w:val="20"/>
                <w:szCs w:val="20"/>
                <w:color w:val="auto"/>
              </w:rPr>
            </w:pPr>
            <w:r>
              <w:rPr>
                <w:rFonts w:ascii="Arial" w:cs="Arial" w:eastAsia="Arial" w:hAnsi="Arial"/>
                <w:sz w:val="18"/>
                <w:szCs w:val="18"/>
                <w:color w:val="auto"/>
                <w:w w:val="97"/>
              </w:rPr>
              <w:t>(in thousands, except share and per share amounts)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44,675</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27,776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Equipment,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31,780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44,035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 liability – current portion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28,741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non current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Preferred stock, $0.001 par value per share (10,000,000 shares authorized, none issued and outstanding as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September 30, 2019 and December 31, 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$0.001 par value per share (150,000,000 shares authorized, 96,670,197 and 83,911,855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6"/>
              </w:rPr>
              <w:t>issued, 96,628,888 and 83,870,546 shares outstanding at September 30, 2019 and December 31, 2018,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635,989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552,531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September 30, 2019 and December 31, 2018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(661,643)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(528,345)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(deficit) equity</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liabilities and stockholders’ (deficit) equity</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00" w:type="dxa"/>
            <w:vAlign w:val="bottom"/>
            <w:gridSpan w:val="4"/>
          </w:tcPr>
          <w:p>
            <w:pPr>
              <w:jc w:val="right"/>
              <w:ind w:right="90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9"/>
              </w:rPr>
              <w:t>Three months ended September 30,</w:t>
            </w:r>
          </w:p>
        </w:tc>
        <w:tc>
          <w:tcPr>
            <w:tcW w:w="80" w:type="dxa"/>
            <w:vAlign w:val="bottom"/>
          </w:tcPr>
          <w:p>
            <w:pPr>
              <w:spacing w:after="0"/>
              <w:rPr>
                <w:sz w:val="24"/>
                <w:szCs w:val="24"/>
                <w:color w:val="auto"/>
              </w:rPr>
            </w:pPr>
          </w:p>
        </w:tc>
        <w:tc>
          <w:tcPr>
            <w:tcW w:w="280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0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24"/>
                <w:szCs w:val="24"/>
                <w:color w:val="auto"/>
              </w:rPr>
            </w:pPr>
          </w:p>
        </w:tc>
        <w:tc>
          <w:tcPr>
            <w:tcW w:w="60" w:type="dxa"/>
            <w:vAlign w:val="bottom"/>
            <w:tcBorders>
              <w:top w:val="single" w:sz="8" w:color="auto"/>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Noncash stock expense associated with in–licensing agreements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5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57,985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6,580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(131,094)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(120,250)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(income), net</w:t>
            </w:r>
          </w:p>
        </w:tc>
        <w:tc>
          <w:tcPr>
            <w:tcW w:w="5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(61,930)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(33,951)</w:t>
            </w:r>
          </w:p>
        </w:tc>
        <w:tc>
          <w:tcPr>
            <w:tcW w:w="34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(133,299)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(119,622)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84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60" w:type="dxa"/>
            <w:vAlign w:val="bottom"/>
            <w:gridSpan w:val="3"/>
          </w:tcPr>
          <w:p>
            <w:pPr>
              <w:spacing w:after="0" w:line="201" w:lineRule="exact"/>
              <w:rPr>
                <w:sz w:val="20"/>
                <w:szCs w:val="20"/>
                <w:color w:val="auto"/>
              </w:rPr>
            </w:pPr>
            <w:r>
              <w:rPr>
                <w:rFonts w:ascii="Arial" w:cs="Arial" w:eastAsia="Arial" w:hAnsi="Arial"/>
                <w:sz w:val="18"/>
                <w:szCs w:val="18"/>
                <w:color w:val="auto"/>
                <w:w w:val="98"/>
              </w:rPr>
              <w:t>Weighted average shares used in computing basic and diluted net loss per</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89,667,979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78,221,069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85,911,878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74,399,243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common share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Condensed Consolidated Statements of Stockholders’ (Deficit) Equity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8"/>
                <w:szCs w:val="18"/>
                <w:color w:val="auto"/>
                <w:w w:val="99"/>
              </w:rPr>
              <w:t>(Unaudited)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6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7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paid-in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capital</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73,181,750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422,017</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87,500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Forfeiture of restricted stock</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(123,911)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spacing w:after="0" w:line="201" w:lineRule="exact"/>
              <w:rPr>
                <w:sz w:val="20"/>
                <w:szCs w:val="20"/>
                <w:color w:val="auto"/>
              </w:rPr>
            </w:pPr>
            <w:r>
              <w:rPr>
                <w:rFonts w:ascii="Arial" w:cs="Arial" w:eastAsia="Arial" w:hAnsi="Arial"/>
                <w:sz w:val="18"/>
                <w:szCs w:val="18"/>
                <w:color w:val="auto"/>
              </w:rPr>
              <w:t>Issuance of common stock in At-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7"/>
              </w:rPr>
              <w:t>the-Market offerings (net of offering</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costs of $0.9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3,989,344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52,426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52,430</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in respect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granted to</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employees, directors and</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(41,529)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(41,529)</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77,134,683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481,781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(396,392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rPr>
              <w:t>Issuance of restricted stock</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1,333,011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Forfeiture of restricted stock</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Pr>
          <w:p>
            <w:pPr>
              <w:spacing w:after="0" w:line="201" w:lineRule="exact"/>
              <w:rPr>
                <w:sz w:val="20"/>
                <w:szCs w:val="20"/>
                <w:color w:val="auto"/>
              </w:rPr>
            </w:pPr>
            <w:r>
              <w:rPr>
                <w:rFonts w:ascii="Arial" w:cs="Arial" w:eastAsia="Arial" w:hAnsi="Arial"/>
                <w:sz w:val="18"/>
                <w:szCs w:val="18"/>
                <w:color w:val="auto"/>
              </w:rPr>
              <w:t>Issuance of common stock in At-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7"/>
              </w:rPr>
              <w:t>the-Market offerings (net of offering</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costs of $1.0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3,744,605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52,018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52,022</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in respect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granted to</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employees, directors and</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02"/>
        </w:trPr>
        <w:tc>
          <w:tcPr>
            <w:tcW w:w="2760" w:type="dxa"/>
            <w:vAlign w:val="bottom"/>
          </w:tcPr>
          <w:p>
            <w:pPr>
              <w:spacing w:after="0" w:line="201" w:lineRule="exact"/>
              <w:rPr>
                <w:sz w:val="20"/>
                <w:szCs w:val="20"/>
                <w:color w:val="auto"/>
              </w:rPr>
            </w:pPr>
            <w:r>
              <w:rPr>
                <w:rFonts w:ascii="Arial" w:cs="Arial" w:eastAsia="Arial" w:hAnsi="Arial"/>
                <w:sz w:val="18"/>
                <w:szCs w:val="18"/>
                <w:color w:val="auto"/>
                <w:w w:val="95"/>
              </w:rPr>
              <w:t>Shares issued in connection with in-</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licensing agreements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333,868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(44,142)</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82,539,417</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542,062</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(440,534)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(24,785)</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At-</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7"/>
              </w:rPr>
              <w:t>the-Market offerings (net of offering</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costs of $0.1 million)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02"/>
        </w:trPr>
        <w:tc>
          <w:tcPr>
            <w:tcW w:w="2760" w:type="dxa"/>
            <w:vAlign w:val="bottom"/>
          </w:tcPr>
          <w:p>
            <w:pPr>
              <w:spacing w:after="0" w:line="201" w:lineRule="exact"/>
              <w:rPr>
                <w:sz w:val="20"/>
                <w:szCs w:val="20"/>
                <w:color w:val="auto"/>
              </w:rPr>
            </w:pPr>
            <w:r>
              <w:rPr>
                <w:rFonts w:ascii="Arial" w:cs="Arial" w:eastAsia="Arial" w:hAnsi="Arial"/>
                <w:sz w:val="18"/>
                <w:szCs w:val="18"/>
                <w:color w:val="auto"/>
              </w:rPr>
              <w:t>Compensation in respect of</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restricted stock granted to</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employees, directors and</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consultants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(33,951)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Balance at September 30, 2018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82,973,332</w:t>
            </w:r>
          </w:p>
        </w:tc>
        <w:tc>
          <w:tcPr>
            <w:tcW w:w="2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546,380</w:t>
            </w: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41,309</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(474,485</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71,744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6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7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paid-in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capital</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83,911,855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552,531</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23,000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6"/>
              </w:rPr>
              <w:t>Warrants issued with debt financing</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(67,628)</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common stock in public</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offering costs of</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$0.2 million)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27,494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27,499</w:t>
            </w:r>
          </w:p>
        </w:tc>
        <w:tc>
          <w:tcPr>
            <w:tcW w:w="0" w:type="dxa"/>
            <w:vAlign w:val="bottom"/>
          </w:tcPr>
          <w:p>
            <w:pPr>
              <w:spacing w:after="0"/>
              <w:rPr>
                <w:sz w:val="1"/>
                <w:szCs w:val="1"/>
                <w:color w:val="auto"/>
              </w:rPr>
            </w:pPr>
          </w:p>
        </w:tc>
      </w:tr>
      <w:tr>
        <w:trPr>
          <w:trHeight w:val="202"/>
        </w:trPr>
        <w:tc>
          <w:tcPr>
            <w:tcW w:w="2760" w:type="dxa"/>
            <w:vAlign w:val="bottom"/>
          </w:tcPr>
          <w:p>
            <w:pPr>
              <w:spacing w:after="0" w:line="201" w:lineRule="exact"/>
              <w:rPr>
                <w:sz w:val="20"/>
                <w:szCs w:val="20"/>
                <w:color w:val="auto"/>
              </w:rPr>
            </w:pPr>
            <w:r>
              <w:rPr>
                <w:rFonts w:ascii="Arial" w:cs="Arial" w:eastAsia="Arial" w:hAnsi="Arial"/>
                <w:sz w:val="18"/>
                <w:szCs w:val="18"/>
                <w:color w:val="auto"/>
              </w:rPr>
              <w:t>Compensation in respect of</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restricted stock granted to</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employees, directors and</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consultants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1,882</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(35,156)</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88,582,227</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582,900</w:t>
            </w:r>
          </w:p>
        </w:tc>
        <w:tc>
          <w:tcPr>
            <w:tcW w:w="26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( 234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Issuance of restricted stock</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1,245,080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(38,418)</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common stock in public</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760" w:type="dxa"/>
            <w:vAlign w:val="bottom"/>
          </w:tcPr>
          <w:p>
            <w:pPr>
              <w:spacing w:after="0" w:line="201" w:lineRule="exact"/>
              <w:rPr>
                <w:sz w:val="20"/>
                <w:szCs w:val="20"/>
                <w:color w:val="auto"/>
              </w:rPr>
            </w:pPr>
            <w:r>
              <w:rPr>
                <w:rFonts w:ascii="Arial" w:cs="Arial" w:eastAsia="Arial" w:hAnsi="Arial"/>
                <w:sz w:val="18"/>
                <w:szCs w:val="18"/>
                <w:color w:val="auto"/>
              </w:rPr>
              <w:t>Issuance of common stock in At-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7"/>
              </w:rPr>
              <w:t>the-Market offerings (net of offering</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costs of $0.5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3,616,359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28,392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in respect of</w:t>
            </w:r>
          </w:p>
        </w:tc>
        <w:tc>
          <w:tcPr>
            <w:tcW w:w="12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1,757</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granted to</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27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96"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employees, directors and</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consultants</w:t>
            </w: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195"/>
        </w:trPr>
        <w:tc>
          <w:tcPr>
            <w:tcW w:w="2820" w:type="dxa"/>
            <w:vAlign w:val="bottom"/>
          </w:tcPr>
          <w:p>
            <w:pPr>
              <w:spacing w:after="0" w:line="195" w:lineRule="exact"/>
              <w:rPr>
                <w:sz w:val="20"/>
                <w:szCs w:val="20"/>
                <w:color w:val="auto"/>
              </w:rPr>
            </w:pPr>
            <w:r>
              <w:rPr>
                <w:rFonts w:ascii="Arial" w:cs="Arial" w:eastAsia="Arial" w:hAnsi="Arial"/>
                <w:sz w:val="18"/>
                <w:szCs w:val="18"/>
                <w:color w:val="auto"/>
              </w:rPr>
              <w:t>Balance at June 30, 2019</w:t>
            </w:r>
          </w:p>
        </w:tc>
        <w:tc>
          <w:tcPr>
            <w:tcW w:w="12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93,405,248</w:t>
            </w:r>
          </w:p>
        </w:tc>
        <w:tc>
          <w:tcPr>
            <w:tcW w:w="48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w:t>
            </w:r>
          </w:p>
        </w:tc>
        <w:tc>
          <w:tcPr>
            <w:tcW w:w="120" w:type="dxa"/>
            <w:vAlign w:val="bottom"/>
          </w:tcPr>
          <w:p>
            <w:pPr>
              <w:spacing w:after="0"/>
              <w:rPr>
                <w:sz w:val="16"/>
                <w:szCs w:val="16"/>
                <w:color w:val="auto"/>
              </w:rPr>
            </w:pP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318,440</w:t>
            </w: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(5,334)</w:t>
            </w: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Issuance of common stock in At-</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9"/>
              </w:rPr>
              <w:t>the-Market offerings (net of offering</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costs of $0.4 million)</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2,943,460</w:t>
            </w: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Compensation in respect of</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restricted stock granted to</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employees, directors and</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consultants</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7"/>
              </w:rPr>
              <w:t>Shares issued in connection with in-</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8"/>
        </w:trPr>
        <w:tc>
          <w:tcPr>
            <w:tcW w:w="2820" w:type="dxa"/>
            <w:vAlign w:val="bottom"/>
          </w:tcPr>
          <w:p>
            <w:pPr>
              <w:spacing w:after="0"/>
              <w:rPr>
                <w:sz w:val="20"/>
                <w:szCs w:val="20"/>
                <w:color w:val="auto"/>
              </w:rPr>
            </w:pPr>
            <w:r>
              <w:rPr>
                <w:rFonts w:ascii="Arial" w:cs="Arial" w:eastAsia="Arial" w:hAnsi="Arial"/>
                <w:sz w:val="18"/>
                <w:szCs w:val="18"/>
                <w:color w:val="auto"/>
              </w:rPr>
              <w:t>licensing agreements</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8,383</w:t>
            </w:r>
          </w:p>
        </w:tc>
        <w:tc>
          <w:tcPr>
            <w:tcW w:w="4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(36,212)</w:t>
            </w:r>
          </w:p>
        </w:tc>
        <w:tc>
          <w:tcPr>
            <w:tcW w:w="2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(36,212)</w:t>
            </w:r>
          </w:p>
        </w:tc>
      </w:tr>
      <w:tr>
        <w:trPr>
          <w:trHeight w:val="195"/>
        </w:trPr>
        <w:tc>
          <w:tcPr>
            <w:tcW w:w="84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86"/>
              </w:rPr>
              <w:t>613,059</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41,309</w:t>
            </w:r>
          </w:p>
        </w:tc>
        <w:tc>
          <w:tcPr>
            <w:tcW w:w="220" w:type="dxa"/>
            <w:vAlign w:val="bottom"/>
          </w:tcPr>
          <w:p>
            <w:pPr>
              <w:spacing w:after="0"/>
              <w:rPr>
                <w:sz w:val="16"/>
                <w:szCs w:val="16"/>
                <w:color w:val="auto"/>
              </w:rPr>
            </w:pPr>
          </w:p>
        </w:tc>
        <w:tc>
          <w:tcPr>
            <w:tcW w:w="38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(234)</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(599,713)</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13,205</w:t>
            </w:r>
          </w:p>
        </w:tc>
        <w:tc>
          <w:tcPr>
            <w:tcW w:w="60" w:type="dxa"/>
            <w:vAlign w:val="bottom"/>
          </w:tcPr>
          <w:p>
            <w:pPr>
              <w:spacing w:after="0"/>
              <w:rPr>
                <w:sz w:val="16"/>
                <w:szCs w:val="16"/>
                <w:color w:val="auto"/>
              </w:rPr>
            </w:pPr>
          </w:p>
        </w:tc>
      </w:tr>
      <w:tr>
        <w:trPr>
          <w:trHeight w:val="216"/>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648"/>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20,755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20,759</w:t>
            </w:r>
          </w:p>
        </w:tc>
        <w:tc>
          <w:tcPr>
            <w:tcW w:w="60" w:type="dxa"/>
            <w:vAlign w:val="bottom"/>
          </w:tcPr>
          <w:p>
            <w:pPr>
              <w:spacing w:after="0"/>
              <w:rPr>
                <w:sz w:val="24"/>
                <w:szCs w:val="24"/>
                <w:color w:val="auto"/>
              </w:rPr>
            </w:pPr>
          </w:p>
        </w:tc>
      </w:tr>
      <w:tr>
        <w:trPr>
          <w:trHeight w:val="86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2,075</w:t>
            </w:r>
          </w:p>
        </w:tc>
        <w:tc>
          <w:tcPr>
            <w:tcW w:w="60" w:type="dxa"/>
            <w:vAlign w:val="bottom"/>
          </w:tcPr>
          <w:p>
            <w:pPr>
              <w:spacing w:after="0"/>
              <w:rPr>
                <w:sz w:val="24"/>
                <w:szCs w:val="24"/>
                <w:color w:val="auto"/>
              </w:rPr>
            </w:pPr>
          </w:p>
        </w:tc>
      </w:tr>
      <w:tr>
        <w:trPr>
          <w:trHeight w:val="4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-2073275</wp:posOffset>
            </wp:positionV>
            <wp:extent cx="72466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-1370330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-821690</wp:posOffset>
            </wp:positionV>
            <wp:extent cx="7246620"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-1653540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420" w:space="360"/>
            <w:col w:w="564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(61,930)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(61,930)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Balance at September 30, 2019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96,670,197</w:t>
            </w:r>
          </w:p>
        </w:tc>
        <w:tc>
          <w:tcPr>
            <w:tcW w:w="24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ind w:left="380"/>
              <w:spacing w:after="0" w:line="196" w:lineRule="exact"/>
              <w:rPr>
                <w:sz w:val="20"/>
                <w:szCs w:val="20"/>
                <w:color w:val="auto"/>
              </w:rPr>
            </w:pPr>
            <w:r>
              <w:rPr>
                <w:rFonts w:ascii="Arial" w:cs="Arial" w:eastAsia="Arial" w:hAnsi="Arial"/>
                <w:sz w:val="18"/>
                <w:szCs w:val="18"/>
                <w:color w:val="auto"/>
                <w:w w:val="79"/>
              </w:rPr>
              <w:t>97</w:t>
            </w:r>
          </w:p>
        </w:tc>
        <w:tc>
          <w:tcPr>
            <w:tcW w:w="2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635,989</w:t>
            </w: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41,309</w:t>
            </w:r>
          </w:p>
        </w:tc>
        <w:tc>
          <w:tcPr>
            <w:tcW w:w="22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(234</w:t>
            </w:r>
          </w:p>
        </w:tc>
        <w:tc>
          <w:tcPr>
            <w:tcW w:w="220" w:type="dxa"/>
            <w:vAlign w:val="bottom"/>
            <w:vMerge w:val="continue"/>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(661,643</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(25,791</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(133,299)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Noncash licensing expense</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investment securities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leasehold interest</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Noncash change in lease liability and right-of-use asset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1,921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 and accrued interest</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prepaid research and development and other current assets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Decrease in accrued interest receivable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accounts payable and accrued expenses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Decrease in lease liability</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interest payable</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Increase in other current liabilities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24,651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rent</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Decrease in deferred revenue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(102,413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Purchases of equipment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short-term securities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22,500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Proceeds from sale of common stock, net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76,664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 financings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29,675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Financing costs paid</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43,199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45,923</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44,675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NONCASH TRANSACTIONS: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Warrants issued with debt financing</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in-licensing</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and NHL, with ublituximab also in pivotal trials for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Additionally, we have recently brought into Phase 1 clinical development TG-1501, an anti-PD-L1 monoclonal antibody, TG-1701, a covalently-bound Bruton’s Tyrosine Kinase (BTK) inhibitor, and TG-1801, an anti-CD47/CD19 bispecific antibody.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2018. The accompanying condensed December 31, 2018 balance sheet has been derived from these statements. The results of operations for the nine months ended September 30, 2019 are not necessarily indicative of the results that may be expected for the entire fiscal year or any other interim period.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2018, the Company created an Australian corporation, TG Therapeutics AUS Pty Ltd, as a wholly-owned subsidiary. This corporation’s functional currency, the Australian dollar, is also its reporting currency, and its financial statements are translated to U.S. dollars, the Company’s reporting currency, prior to consolidation. The accompanying consolidated financial statements include the accounts of the Company and its subsidiaries, and all intercompany accounts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incurred operating losses since our inception, expect to continue to incur operating losses for the foreseeable future, and may never become profitable. As of September 30, 2019, we have an accumulated deficit of approximately $661.6 million.</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as well as debt financings.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2019, we had $72.5 million in cash and cash equivalents, and investment securities. The Company believes its cash, cash equivalents, and investment securities on hand as of September 30, 2019 along with the additional capital raised in the fourth quarter of 2019 (see Note 5)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September 30, 2019 and December 31, 2018, we have approximately $1.2 million of restricted cash pledged to secure a line of credit as a security deposit for an Office Agreement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Investment securities at September 30, 2019 and December 31, 2018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Effective January 1, 2018, the Company began recognizing revenue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7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1" w:lineRule="exact"/>
        <w:rPr>
          <w:sz w:val="20"/>
          <w:szCs w:val="20"/>
          <w:color w:val="auto"/>
        </w:rPr>
      </w:pPr>
    </w:p>
    <w:p>
      <w:pPr>
        <w:ind w:left="980" w:right="24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Prepaid research and development in our condensed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September 30, 2019 and December 31, 2018, we recorded approximately $7.0 million and $9.7 million, respectively, in prepaid research and development related to such advance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 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periods presented or because such potentially dilutive securities were out of the money and the Company realized net income during the periods presented. The amounts of potentially dilutive securities excluded from the calculation were 8,060,758 and 5,230,922 for the three and nine months ended September 30, 2019 and 2018, respectively.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3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Three and Nine Months Ended</w:t>
            </w:r>
          </w:p>
        </w:tc>
      </w:tr>
      <w:tr>
        <w:trPr>
          <w:trHeight w:val="234"/>
        </w:trPr>
        <w:tc>
          <w:tcPr>
            <w:tcW w:w="812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CEEFF"/>
            </w:tcBorders>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5,357,204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4,604,775</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Stock options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2,539,540</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610,000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147,058</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Shares issuable upon note conversion</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16,956</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16,147</w:t>
            </w:r>
          </w:p>
        </w:tc>
      </w:tr>
      <w:tr>
        <w:trPr>
          <w:trHeight w:val="210"/>
        </w:trPr>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8,060,758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5,230,922</w:t>
            </w:r>
          </w:p>
        </w:tc>
        <w:tc>
          <w:tcPr>
            <w:tcW w:w="10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September 30, 2019 and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42,302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Money market funds</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44,675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Our investments as of September 30, 2019 and December 31, 2018 are classified as held-to-maturity. Held-to-maturity investments are recorded at amortized cost.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our investment securities at September 30, 2019 and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90"/>
              </w:rPr>
              <w:t>September 30, 2019</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Estimated fair</w:t>
            </w:r>
          </w:p>
        </w:tc>
      </w:t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holding 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3"/>
              </w:rPr>
              <w:t>Obligations of domestic governmental agencies (maturing between October</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2019 and September 2020) (held-to-maturity)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27,776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27,808</w:t>
            </w: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Estimated fair</w:t>
            </w:r>
          </w:p>
        </w:tc>
      </w:t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as adjusted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holding 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3"/>
              </w:rPr>
              <w:t>Obligations of domestic governmental agencies (maturing between January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26,943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26,935</w:t>
            </w:r>
          </w:p>
        </w:tc>
      </w:tr>
    </w:tbl>
    <w:p>
      <w:pPr>
        <w:sectPr>
          <w:pgSz w:w="11900" w:h="16844" w:orient="portrait"/>
          <w:cols w:equalWidth="0" w:num="1">
            <w:col w:w="11420"/>
          </w:cols>
          <w:pgMar w:left="240" w:top="1233"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2019 and November 2019) (held-to-maturity)</w:t>
      </w:r>
    </w:p>
    <w:p>
      <w:pPr>
        <w:spacing w:after="0" w:line="23" w:lineRule="exact"/>
        <w:rPr>
          <w:sz w:val="20"/>
          <w:szCs w:val="20"/>
          <w:color w:val="auto"/>
        </w:rPr>
      </w:pPr>
    </w:p>
    <w:p>
      <w:pPr>
        <w:spacing w:after="0"/>
        <w:tabs>
          <w:tab w:leader="none" w:pos="5600" w:val="left"/>
          <w:tab w:leader="none" w:pos="6360" w:val="left"/>
          <w:tab w:leader="none" w:pos="7100" w:val="left"/>
          <w:tab w:leader="none" w:pos="8280" w:val="left"/>
          <w:tab w:leader="none" w:pos="8600" w:val="left"/>
          <w:tab w:leader="none" w:pos="9660" w:val="left"/>
          <w:tab w:leader="none" w:pos="10040" w:val="left"/>
          <w:tab w:leader="none" w:pos="10800" w:val="left"/>
        </w:tabs>
        <w:rPr>
          <w:sz w:val="20"/>
          <w:szCs w:val="20"/>
          <w:color w:val="auto"/>
        </w:rPr>
      </w:pPr>
      <w:r>
        <w:rPr>
          <w:rFonts w:ascii="Arial" w:cs="Arial" w:eastAsia="Arial" w:hAnsi="Arial"/>
          <w:sz w:val="18"/>
          <w:szCs w:val="18"/>
          <w:color w:val="auto"/>
        </w:rPr>
        <w:t>Total short-term investment securities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26,943</w:t>
        <w:tab/>
        <w:t>$</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8"/>
          <w:szCs w:val="18"/>
          <w:color w:val="auto"/>
        </w:rPr>
        <w:t>10</w:t>
        <w:tab/>
        <w:t>$</w:t>
      </w:r>
      <w:r>
        <w:rPr>
          <w:sz w:val="20"/>
          <w:szCs w:val="20"/>
          <w:color w:val="auto"/>
        </w:rPr>
        <w:tab/>
      </w:r>
      <w:r>
        <w:rPr>
          <w:rFonts w:ascii="Arial" w:cs="Arial" w:eastAsia="Arial" w:hAnsi="Arial"/>
          <w:sz w:val="16"/>
          <w:szCs w:val="16"/>
          <w:color w:val="auto"/>
        </w:rPr>
        <w:t>26,935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780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5" w:name="page16"/>
    <w:bookmarkEnd w:id="15"/>
    <w:p>
      <w:pPr>
        <w:ind w:right="640" w:firstLine="486"/>
        <w:spacing w:after="0" w:line="277" w:lineRule="auto"/>
        <w:rPr>
          <w:sz w:val="20"/>
          <w:szCs w:val="20"/>
          <w:color w:val="auto"/>
        </w:rPr>
      </w:pPr>
      <w:r>
        <w:rPr>
          <w:rFonts w:ascii="Arial" w:cs="Arial" w:eastAsia="Arial" w:hAnsi="Arial"/>
          <w:sz w:val="18"/>
          <w:szCs w:val="18"/>
          <w:color w:val="auto"/>
        </w:rPr>
        <w:t>As of September 30, 2019 and December 31, 2018, the fair values of cash and cash equivalents, restricted cash, and notes and interest payable, approximate their carrying value.</w:t>
      </w:r>
    </w:p>
    <w:p>
      <w:pPr>
        <w:spacing w:after="0" w:line="1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8"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cumulative liability to the Ariston subsidiary including accrued and unpaid interest of the 5% Notes was approximately $19.1 million at September 30, 2019 and $18.4 million at December 31, 2018. No payments have been made on the 5% Notes since the merger and through September 30, 2019.</w:t>
      </w:r>
    </w:p>
    <w:p>
      <w:pPr>
        <w:spacing w:after="0" w:line="124"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September 30, 2019 and December 31, 2018.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provide the fair value measurements of applicable financial liabilities as of September 30, 2019 and December 31,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0"/>
              </w:rPr>
              <w:t>Financial liabilities at fair value as of September 30, 2019</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940" w:type="dxa"/>
            <w:vAlign w:val="bottom"/>
            <w:gridSpan w:val="2"/>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21"/>
                <w:szCs w:val="2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11"/>
          </w:tcPr>
          <w:p>
            <w:pPr>
              <w:jc w:val="center"/>
              <w:ind w:left="10"/>
              <w:spacing w:after="0"/>
              <w:rPr>
                <w:sz w:val="20"/>
                <w:szCs w:val="20"/>
                <w:color w:val="auto"/>
              </w:rPr>
            </w:pPr>
            <w:r>
              <w:rPr>
                <w:rFonts w:ascii="Arial" w:cs="Arial" w:eastAsia="Arial" w:hAnsi="Arial"/>
                <w:sz w:val="18"/>
                <w:szCs w:val="18"/>
                <w:b w:val="1"/>
                <w:bCs w:val="1"/>
                <w:color w:val="auto"/>
                <w:w w:val="90"/>
              </w:rPr>
              <w:t>Financial liabilities at fair value as of December 31, 2018</w:t>
            </w: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940" w:type="dxa"/>
            <w:vAlign w:val="bottom"/>
            <w:gridSpan w:val="2"/>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21"/>
                <w:szCs w:val="2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Company’s financial instruments include cash, cash equivalents consisting of money market funds, accounts payable and debt. Cash, cash</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equivalents, accounts payable and debt are stated at their respective historical carrying amounts, which approximate fair value due to their short-term nature.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40" w:type="dxa"/>
            <w:vAlign w:val="bottom"/>
          </w:tcPr>
          <w:p>
            <w:pPr>
              <w:ind w:left="480"/>
              <w:spacing w:after="0"/>
              <w:rPr>
                <w:sz w:val="20"/>
                <w:szCs w:val="20"/>
                <w:color w:val="auto"/>
              </w:rPr>
            </w:pPr>
            <w:r>
              <w:rPr>
                <w:rFonts w:ascii="Arial" w:cs="Arial" w:eastAsia="Arial" w:hAnsi="Arial"/>
                <w:sz w:val="18"/>
                <w:szCs w:val="18"/>
                <w:color w:val="auto"/>
              </w:rPr>
              <w:t>The following table summarizes the changes in Level 3 instruments during the nine months ended September 30, 2019:</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5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10060" w:type="dxa"/>
            <w:vAlign w:val="bottom"/>
            <w:gridSpan w:val="2"/>
          </w:tcPr>
          <w:p>
            <w:pPr>
              <w:spacing w:after="0"/>
              <w:rPr>
                <w:sz w:val="20"/>
                <w:szCs w:val="20"/>
                <w:color w:val="auto"/>
              </w:rPr>
            </w:pPr>
            <w:r>
              <w:rPr>
                <w:rFonts w:ascii="Arial" w:cs="Arial" w:eastAsia="Arial" w:hAnsi="Arial"/>
                <w:sz w:val="18"/>
                <w:szCs w:val="18"/>
                <w:color w:val="auto"/>
              </w:rPr>
              <w:t>Fair value at September 30, 2019</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amended and restated certificate of incorporation authorizes the issuance of up to 150,000,000 shares of $ 0.001 par value common stock.</w:t>
      </w:r>
    </w:p>
    <w:p>
      <w:pPr>
        <w:spacing w:after="0" w:line="23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March 2019, we completed an underwritten public offering of 4,100,000 shares of our common stock (plus a 30-day underwriter overallotment option to purchase up to an additional 615,000 shares of common stock, which was exercised), at a price of $5.87 per share. Proceeds from this offering, including the overallotment, after underwriting discounts and offering expenses were approximately $27.5 million.</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nine months ended September 30, 2019, we sold a total of 6,559,819 shares of common stock under the 2017 ATM for aggregate total gross proceeds of approximately $50.0 million at an average selling price of $7.62 per share, resulting in net proceeds of approximately $49.2 million after deducting commissions and other transactions costs.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Subsequent to the third quarter, from October 1, 2019 through November 12, 2019, we sold an aggregate of 3,641,346 shares of common stock pursuant to the 2017 ATM for aggregate total gross proceeds of approximately $22.4 million at an average selling price of $6.16 per share, resulting in net proceeds of approximately $22.1 million after deducting commissions and other transactions costs.</w:t>
      </w:r>
    </w:p>
    <w:p>
      <w:pPr>
        <w:spacing w:after="0" w:line="181"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8"/>
          <w:szCs w:val="18"/>
          <w:color w:val="auto"/>
        </w:rPr>
        <w:t>The 2017 S-3 is currently our only active shelf registration statement. After deducting shares already sold there is approximately $36.3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The TG Therapeutics, Inc. Amended and Restated 2012 Incentive Plan (“2012 Incentive Plan”) was approved by stockholders in June 2018. As of September 30, 2019, 6,857,207 shares of restricted stock and 2,539,540 options were outstanding and up to an additional 1,114,263 shares may be issued under the 2012 Incentive Plan.</w:t>
      </w:r>
    </w:p>
    <w:p>
      <w:pPr>
        <w:spacing w:after="0" w:line="18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Effective as of January 1, 2017, we entered into an amendment (the “Amendment”) to the employment agreement entered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for the nine months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Weighted- 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Number of 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 price</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contractual term</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 years)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1,916,900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740,000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(117,360)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8"/>
                <w:szCs w:val="18"/>
                <w:color w:val="auto"/>
              </w:rPr>
              <w:t>Outstanding at September 30, 2019</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2,539,540</w:t>
            </w:r>
          </w:p>
        </w:tc>
        <w:tc>
          <w:tcPr>
            <w:tcW w:w="1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9.14</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1,849,055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to vest at September 30, 2019</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2,539,540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1,849,055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Exercisable at September 30,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Total expense associated with the stock options was approximately $0.8 million and zero during the three months ended September 30, 2019 and 2018, respectively, and $2.3 million and zero during the nine months ended September 30, 2019 and 2018, respectively. As of September 30, 2019, there was approximately $3.4 million of total unrecognized compensation cost related to unvested time-based stock options, which is expected to be recognized over a weighted-average period of 1.72 years. As of September 30, 2019, the stock options outstanding include options granted to both employees and non-employees which are both time-based and milestone-based. Stock-based compensation for milestone-based options will be recorded if and when a milestone occurs.</w:t>
      </w:r>
    </w:p>
    <w:p>
      <w:pPr>
        <w:spacing w:after="0" w:line="19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fair value of the Company’s option awards granted during the nine months ended September 30, 2019 and 2018 were estimated on the grant date using the Black-Scholes option-pricing model using the assumptions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38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74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September 30,</w:t>
            </w:r>
          </w:p>
        </w:tc>
        <w:tc>
          <w:tcPr>
            <w:tcW w:w="148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58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4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172.99-291.61</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186.99-305.77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080" w:type="dxa"/>
            <w:vAlign w:val="bottom"/>
            <w:gridSpan w:val="3"/>
          </w:tcPr>
          <w:p>
            <w:pPr>
              <w:jc w:val="right"/>
              <w:ind w:right="260"/>
              <w:spacing w:after="0"/>
              <w:rPr>
                <w:sz w:val="20"/>
                <w:szCs w:val="20"/>
                <w:color w:val="auto"/>
              </w:rPr>
            </w:pPr>
            <w:r>
              <w:rPr>
                <w:rFonts w:ascii="Arial" w:cs="Arial" w:eastAsia="Arial" w:hAnsi="Arial"/>
                <w:sz w:val="18"/>
                <w:szCs w:val="18"/>
                <w:color w:val="auto"/>
              </w:rPr>
              <w:t>5.0-6.25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5.0-6.25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6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1.96-2.49%</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2.56-2.72%</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34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762"/>
        </w:trPr>
        <w:tc>
          <w:tcPr>
            <w:tcW w:w="37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jc w:val="right"/>
              <w:ind w:right="2150"/>
              <w:spacing w:after="0"/>
              <w:rPr>
                <w:sz w:val="20"/>
                <w:szCs w:val="20"/>
                <w:color w:val="auto"/>
              </w:rPr>
            </w:pPr>
            <w:r>
              <w:rPr>
                <w:rFonts w:ascii="Arial" w:cs="Arial" w:eastAsia="Arial" w:hAnsi="Arial"/>
                <w:sz w:val="18"/>
                <w:szCs w:val="18"/>
                <w:color w:val="auto"/>
              </w:rPr>
              <w:t>15</w:t>
            </w:r>
          </w:p>
        </w:tc>
        <w:tc>
          <w:tcPr>
            <w:tcW w:w="1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500"/>
              <w:spacing w:after="0"/>
              <w:rPr>
                <w:sz w:val="20"/>
                <w:szCs w:val="20"/>
                <w:color w:val="auto"/>
              </w:rPr>
            </w:pPr>
            <w:r>
              <w:rPr>
                <w:rFonts w:ascii="Arial" w:cs="Arial" w:eastAsia="Arial" w:hAnsi="Arial"/>
                <w:sz w:val="18"/>
                <w:szCs w:val="18"/>
                <w:color w:val="auto"/>
                <w:w w:val="91"/>
              </w:rPr>
              <w:t>The following table summarizes restricted share activity for the nine months ended September 30, 2019:</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Number of Shares</w:t>
            </w: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6,095,692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1,586,520</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(713,625)</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(111,380)</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r>
      <w:tr>
        <w:trPr>
          <w:trHeight w:val="210"/>
        </w:trPr>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2019</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6,857,207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Total expense associated with restricted stock grants was approximately $1.3 million and $(0.2) million during the three months ended September 30, 2019 and 2018, respectively, and $3.4 million, and $11.4 million during the nine months ended September 30, 2019 and 2018, respectively. As of September 30, 2019, there was approximately $5.3 million of total unrecognized compensation cost related to unvested time-based restricted stock, which is expected to be recognized over a weighted-average period of 1.2 years. This amount does not include, as of September 30, 2019, 4,182,391 shares of restricted stock outstanding which are milestone-based and vest upon certain corporate milestones. Until the measurement date is reached for milestone awards, the total amount of compensation expense remains uncertain. We record compensation expense based on the fair value of the award at the grant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and nine months ended September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Three months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ended September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ended September</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 thousands)</w:t>
            </w:r>
          </w:p>
        </w:tc>
        <w:tc>
          <w:tcPr>
            <w:tcW w:w="12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8"/>
              </w:rPr>
              <w:t>30, 2019</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30, 2019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1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color w:val="auto"/>
                <w:w w:val="87"/>
              </w:rPr>
              <w:t>Warrants</w:t>
            </w:r>
          </w:p>
        </w:tc>
        <w:tc>
          <w:tcPr>
            <w:tcW w:w="620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60" w:type="dxa"/>
            <w:vAlign w:val="bottom"/>
            <w:tcBorders>
              <w:bottom w:val="single" w:sz="8" w:color="auto"/>
            </w:tcBorders>
            <w:vMerge w:val="continue"/>
          </w:tcPr>
          <w:p>
            <w:pPr>
              <w:spacing w:after="0"/>
              <w:rPr>
                <w:sz w:val="24"/>
                <w:szCs w:val="24"/>
                <w:color w:val="auto"/>
              </w:rPr>
            </w:pPr>
          </w:p>
        </w:tc>
        <w:tc>
          <w:tcPr>
            <w:tcW w:w="6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280" w:type="dxa"/>
            <w:vAlign w:val="bottom"/>
            <w:gridSpan w:val="5"/>
          </w:tcPr>
          <w:p>
            <w:pPr>
              <w:ind w:left="500"/>
              <w:spacing w:after="0"/>
              <w:rPr>
                <w:sz w:val="20"/>
                <w:szCs w:val="20"/>
                <w:color w:val="auto"/>
              </w:rPr>
            </w:pPr>
            <w:r>
              <w:rPr>
                <w:rFonts w:ascii="Arial" w:cs="Arial" w:eastAsia="Arial" w:hAnsi="Arial"/>
                <w:sz w:val="18"/>
                <w:szCs w:val="18"/>
                <w:color w:val="auto"/>
              </w:rPr>
              <w:t>The following table summarizes warrant activity for the nine months ended September 30,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91"/>
              </w:rPr>
              <w:t>Weighted-average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4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exercise price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Issued</w:t>
            </w: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147,058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5"/>
          </w:tcPr>
          <w:p>
            <w:pPr>
              <w:jc w:val="right"/>
              <w:ind w:right="5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Expired</w:t>
            </w: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2019</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4.08</w:t>
            </w:r>
          </w:p>
        </w:tc>
        <w:tc>
          <w:tcPr>
            <w:tcW w:w="22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stock compensation expense related to warrants during the nine months ended September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LIABILITIES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is a summary of Notes Payable included in other current liabilities on the Company’s condensed consolidated balance sheet: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2019</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w:t>
            </w:r>
            <w:r>
              <w:rPr>
                <w:rFonts w:ascii="Arial" w:cs="Arial" w:eastAsia="Arial" w:hAnsi="Arial"/>
                <w:sz w:val="18"/>
                <w:szCs w:val="18"/>
                <w:color w:val="auto"/>
                <w:w w:val="88"/>
              </w:rPr>
              <w:t>,</w:t>
            </w:r>
            <w:r>
              <w:rPr>
                <w:rFonts w:ascii="Arial" w:cs="Arial" w:eastAsia="Arial" w:hAnsi="Arial"/>
                <w:sz w:val="18"/>
                <w:szCs w:val="18"/>
                <w:b w:val="1"/>
                <w:bCs w:val="1"/>
                <w:color w:val="auto"/>
                <w:w w:val="88"/>
              </w:rPr>
              <w:t xml:space="preserve"> 2018</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Current</w:t>
            </w:r>
          </w:p>
        </w:tc>
        <w:tc>
          <w:tcPr>
            <w:tcW w:w="340" w:type="dxa"/>
            <w:vAlign w:val="bottom"/>
          </w:tcPr>
          <w:p>
            <w:pPr>
              <w:spacing w:after="0"/>
              <w:rPr>
                <w:sz w:val="16"/>
                <w:szCs w:val="16"/>
                <w:color w:val="auto"/>
              </w:rPr>
            </w:pPr>
          </w:p>
        </w:tc>
        <w:tc>
          <w:tcPr>
            <w:tcW w:w="140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Non-current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Current</w:t>
            </w:r>
          </w:p>
        </w:tc>
        <w:tc>
          <w:tcPr>
            <w:tcW w:w="320" w:type="dxa"/>
            <w:vAlign w:val="bottom"/>
          </w:tcPr>
          <w:p>
            <w:pPr>
              <w:spacing w:after="0"/>
              <w:rPr>
                <w:sz w:val="16"/>
                <w:szCs w:val="16"/>
                <w:color w:val="auto"/>
              </w:rPr>
            </w:pPr>
          </w:p>
        </w:tc>
        <w:tc>
          <w:tcPr>
            <w:tcW w:w="1340" w:type="dxa"/>
            <w:vAlign w:val="bottom"/>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Non-current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40" w:type="dxa"/>
            <w:vAlign w:val="bottom"/>
          </w:tcPr>
          <w:p>
            <w:pPr>
              <w:spacing w:after="0"/>
              <w:rPr>
                <w:sz w:val="20"/>
                <w:szCs w:val="20"/>
                <w:color w:val="auto"/>
              </w:rPr>
            </w:pPr>
            <w:r>
              <w:rPr>
                <w:rFonts w:ascii="Arial" w:cs="Arial" w:eastAsia="Arial" w:hAnsi="Arial"/>
                <w:sz w:val="18"/>
                <w:szCs w:val="18"/>
                <w:color w:val="auto"/>
              </w:rPr>
              <w:t>(in thousands)</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portion, net</w:t>
            </w:r>
          </w:p>
        </w:tc>
        <w:tc>
          <w:tcPr>
            <w:tcW w:w="340" w:type="dxa"/>
            <w:vAlign w:val="bottom"/>
          </w:tcPr>
          <w:p>
            <w:pPr>
              <w:spacing w:after="0"/>
              <w:rPr>
                <w:sz w:val="20"/>
                <w:szCs w:val="20"/>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portion, net</w:t>
            </w: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portion, net</w:t>
            </w:r>
          </w:p>
        </w:tc>
        <w:tc>
          <w:tcPr>
            <w:tcW w:w="3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portion, net</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cumulative liability including accrued and unpaid interest of these notes was approximately $19.1 million at September 30, 2019 and $18.4 million at December 31, 2018. No payments have been made on the 5% Notes as of September 30, 2019.</w:t>
      </w:r>
    </w:p>
    <w:p>
      <w:pPr>
        <w:spacing w:after="0" w:line="170"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To date we have incurred expenses related to this agreement of approximately $43.0 million as of September 30, 2019, which include both service fees and raw material costs. No payments have been made to the contract manufacturer as of September 30, 2019. Accordingly, as of September 30, 2019, $43.0 million is included in current liabilities in the Company’s unaudited condensed consolidated balance sheet, of which $17.7 million, $4.0 million and $21.3 million are due in the first, second and third quarter of 2020, respectively. As of December 31, 2018, $18.4 million is included in long-term liabilities in the Company’s condensed consolidated balance sheet. We will incur an administrative fee of six percent (6%) per year starting from the date of invoice issuance. For the three and nine months ended September 30, 2019, we have accrued $0.5 million in administrative fees in connection with these costs, which has been included in interest expense in the Company’s unaudited condensed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February 28, 2019 (the “Closing Date”), the Company (“Borrower”) entered into a term loan facility of up to $60.0 million (“Term Loan”) with Hercules Capital, Inc., (“Hercules”), the proceeds of which will be used for its ongoing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the Borrower’s option but subject to the clinical trial milestones, and the fourth advance of $10.0 million, available in minimum increments of $5.0 million, is available through December 15, 2020 subject to the approval of Hercules’ investment committee.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20" w:name="page21"/>
    <w:bookmarkEnd w:id="20"/>
    <w:p>
      <w:pPr>
        <w:jc w:val="both"/>
        <w:ind w:firstLine="486"/>
        <w:spacing w:after="0" w:line="286" w:lineRule="auto"/>
        <w:rPr>
          <w:sz w:val="20"/>
          <w:szCs w:val="20"/>
          <w:color w:val="auto"/>
        </w:rPr>
      </w:pPr>
      <w:r>
        <w:rPr>
          <w:rFonts w:ascii="Arial" w:cs="Arial" w:eastAsia="Arial" w:hAnsi="Arial"/>
          <w:sz w:val="16"/>
          <w:szCs w:val="16"/>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the Borrower, on or before September 30, 2020, achieves either the third milestone or the Company has raised at least an amount equal to $150.0 million in unrestricted net cash proceeds from one or more equity financings, subordinated indebtedness and/or upfront proceeds from business development transactions permitted under the Loan Agreement, in each case after February 7, 2019, and prior to September 30, 2020. Thereafter, amortization payments will be payable monthly in eighteen installments (or, if the period requiring interest-only payments has been extended to April 1, 2021, in twelve installments) of principal and interest (subject to recalculation upon a change in prime rates). At its option upon seven business days’ prior written notice to Hercules, the Company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an end of term charge equal to 3.25% of the aggregate principal amount of the loan extended by Hercules is due on the maturity date. Amounts outstanding during an event of default shall be payable on demand and shall accrue interest at an additional rate of 4.0% per annum of the past due amount outstanding.</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September 30, 2019, the Company has been in compliance with all covenants.</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occurrence of a material adverse effect, (4) the Borrower making a false or misleading representation or warranty in any material respect, (5) the Borrower’s insolvency or bankruptcy, (6) certain attachments or judgments on the Borrower’s assets, or (7) the occurrence of any material default under certain agreements or obligations of the Borrower involving indebtedness in excess of $750,000. If an event of default occurs, Hercules is entitled to take enforcement action, including acceleration of amounts due under the Loan Agreement.</w:t>
      </w:r>
    </w:p>
    <w:p>
      <w:pPr>
        <w:spacing w:after="0" w:line="16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Loan Agreement also contains warrant coverage of 2% of the total amount funded. A warrant (the “Warrant”) was issued by Borrower to Hercules to purchase 147,058 shares of common stock with an exercise price of $4.08. The Warrant shall be exercisable for seven years from the date of issuance. Hercules may exercise the Warrant either by (a) cash or check or (b) through a net issuance conversion. The shares will be registered and freely tradeable within six months of issuance. The Company accounted for the Warrant as an equity instrument since it was indexed to the Company’s common shares and met the criteria for classification in shareholders’ equity. The relative fair value of the Warrant on the date of issuance was approximately $1.0 million and was treated as an offset to the Term Loan. This amount will be amortized to interest expense using the straight line method, which approximates the effective interest method, over the life of the Term Loan.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660" w:type="dxa"/>
            <w:vAlign w:val="bottom"/>
          </w:tcPr>
          <w:p>
            <w:pPr>
              <w:ind w:left="480"/>
              <w:spacing w:after="0"/>
              <w:rPr>
                <w:sz w:val="20"/>
                <w:szCs w:val="20"/>
                <w:color w:val="auto"/>
              </w:rPr>
            </w:pPr>
            <w:r>
              <w:rPr>
                <w:rFonts w:ascii="Arial" w:cs="Arial" w:eastAsia="Arial" w:hAnsi="Arial"/>
                <w:sz w:val="18"/>
                <w:szCs w:val="18"/>
                <w:color w:val="auto"/>
                <w:w w:val="91"/>
              </w:rPr>
              <w:t>The Company estimated the fair value of the Warrant using the Black-Scholes model based on the following key assumptions:</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Common share price on date of issuance</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52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7.00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The Company incurred financing expenses of $2.8 million related to the Hercules Loan Agreement which are recorded as an offset to long-term debt on the Company’s condensed consolidated balance sheet. The debt issuance costs are being amortized over the term of the debt using the straight-line method, which approximates the effective interest method, and are included in interest expense in the Company’s unaudited condensed consolidated statements of operations. Amortization of debt issuance costs was $0.2 million and $0.5 million for the three and nine months ended September 30, 2019, respectively. At September 30, 2019, the remaining unamortized balance of debt issuance costs were $2.2 million.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9840" w:type="dxa"/>
            <w:vAlign w:val="bottom"/>
          </w:tcPr>
          <w:p>
            <w:pPr>
              <w:ind w:left="500"/>
              <w:spacing w:after="0"/>
              <w:rPr>
                <w:sz w:val="20"/>
                <w:szCs w:val="20"/>
                <w:color w:val="auto"/>
              </w:rPr>
            </w:pPr>
            <w:r>
              <w:rPr>
                <w:rFonts w:ascii="Arial" w:cs="Arial" w:eastAsia="Arial" w:hAnsi="Arial"/>
                <w:sz w:val="18"/>
                <w:szCs w:val="18"/>
                <w:color w:val="auto"/>
              </w:rPr>
              <w:t>Long-term debt as of as of September 30, 2019, is as follows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9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End of term fee</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r>
      <w:tr>
        <w:trPr>
          <w:trHeight w:val="210"/>
        </w:trPr>
        <w:tc>
          <w:tcPr>
            <w:tcW w:w="9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(2,234)</w:t>
            </w:r>
          </w:p>
        </w:tc>
      </w:tr>
      <w:tr>
        <w:trPr>
          <w:trHeight w:val="210"/>
        </w:trPr>
        <w:tc>
          <w:tcPr>
            <w:tcW w:w="9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9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non-current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29"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and corresponding Right of Use (ROU) asset based on the present value of the remaining lease payments for all of our leased office spaces, the majority of which is comprised of our New York City office space. The present values of our lease liability and corresponding ROU asset are $10.7 million and $8.5 million, respectively, as of September 30, 2019. Our leases have remaining lease terms of 1 year to 12 years. One lease has a renewal option to extend the lease for an additional term of 2 years.</w:t>
      </w:r>
    </w:p>
    <w:p>
      <w:pPr>
        <w:spacing w:after="0" w:line="17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initial commitment period of the 45% rate is for a period of three (3) years. We and FBIO currently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8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components of lease expense are included in the Company’s condensed consolidated statements of operations for the three and nine months ended September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Three months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Nine months</w:t>
            </w:r>
          </w:p>
        </w:tc>
      </w:tr>
      <w:tr>
        <w:trPr>
          <w:trHeight w:val="216"/>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Net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As of September 30, 2019, the weighted-average remaining operating lease term was 9.5 years and the weighted-average discount rate for operating leases was 10.25%. Cash paid for amounts included in the measurement of operating lease liabilities during the nine months ended September 30, 2019 was $1.1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w w:val="94"/>
              </w:rPr>
              <w:t>The balance sheet classification of lease liabilities was as follows:</w:t>
            </w: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 thousands)</w:t>
            </w:r>
          </w:p>
        </w:tc>
        <w:tc>
          <w:tcPr>
            <w:tcW w:w="4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Lease liability – current portion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non-current</w:t>
            </w: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0"/>
        </w:trPr>
        <w:tc>
          <w:tcPr>
            <w:tcW w:w="5440" w:type="dxa"/>
            <w:vAlign w:val="bottom"/>
          </w:tcPr>
          <w:p>
            <w:pPr>
              <w:ind w:left="660"/>
              <w:spacing w:after="0"/>
              <w:rPr>
                <w:sz w:val="20"/>
                <w:szCs w:val="20"/>
                <w:color w:val="auto"/>
              </w:rPr>
            </w:pPr>
            <w:r>
              <w:rPr>
                <w:rFonts w:ascii="Arial" w:cs="Arial" w:eastAsia="Arial" w:hAnsi="Arial"/>
                <w:sz w:val="18"/>
                <w:szCs w:val="18"/>
                <w:color w:val="auto"/>
              </w:rPr>
              <w:t>Total lease liability</w:t>
            </w:r>
          </w:p>
        </w:tc>
        <w:tc>
          <w:tcPr>
            <w:tcW w:w="44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400" w:type="dxa"/>
            <w:vAlign w:val="bottom"/>
            <w:vMerge w:val="restart"/>
          </w:tcPr>
          <w:p>
            <w:pPr>
              <w:jc w:val="right"/>
              <w:ind w:right="395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4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3"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As of September 30, 2019, the maturities of lease liabilities were as follows: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20" w:type="dxa"/>
            <w:vAlign w:val="bottom"/>
          </w:tcPr>
          <w:p>
            <w:pPr>
              <w:spacing w:after="0"/>
              <w:rPr>
                <w:sz w:val="20"/>
                <w:szCs w:val="20"/>
                <w:color w:val="auto"/>
              </w:rPr>
            </w:pPr>
            <w:r>
              <w:rPr>
                <w:rFonts w:ascii="Arial" w:cs="Arial" w:eastAsia="Arial" w:hAnsi="Arial"/>
                <w:sz w:val="18"/>
                <w:szCs w:val="18"/>
                <w:color w:val="auto"/>
              </w:rPr>
              <w:t>(in thousands)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Operating leases</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2020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1,586</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After 2023</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12,061</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Less: Interest</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(7,987)</w:t>
            </w:r>
          </w:p>
        </w:tc>
      </w:tr>
      <w:tr>
        <w:trPr>
          <w:trHeight w:val="210"/>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4" w:lineRule="auto"/>
        <w:tabs>
          <w:tab w:leader="none" w:pos="277"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2019 and 2018, and $114,000 for each of the nine months ended September 30, 2019 and 2018 and, at September 30, 2019 and December 31, 2018, have deferred revenue of approximately $1.0 million and $1.1 million, respectively, associated with this $2 million payment (approximately $152,000 of which has been classified in current liabilities at September 30, 2019 and December 31, 2018).</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Jiangsu an upfront fee of $1.0 million in our common stock recorded to noncash stock expense associated with in-licensing agreements in our condensed consolidated statement of operations. In addition, in July 2019, we paid Jiangsu the first milestone of $0.1 million in our common stock recorded to noncash stock expense associated with in-licensing agreements in our consolidated statement of operations.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6" w:right="239" w:bottom="802"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of $9.3 million, with a corresponding Right of Use (ROU) asset of $7.7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8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Under the Office Agreement, we agreed to pay FBIO our portion of the build out costs, which have been allocated to us at the 45% rate mentioned above. The allocated build-out costs have been recorded in Leasehold Interest, net on the Company’s condensed consolidated balance sheets and will be amortized over the 15-year term of the Office Agreement. The initial commitment period of the 45% rate is for a period of three (3) years. We and FBIO currently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7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$0.6 million and $1.4 million for shared services for the nine months ended September 30, 2019 and 2018, respectively, and expenses of approximately $0.2 million for each of the three months ended September 30, 2019 and 2018, primarily related to shared personnel.</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$4.0 million and $0.5 million for the nine months ended September 30, 2019 and 2018, respectively, and expenses of approximately $2.7 million and $0.1 million for the three months ended September 30, 2019 and 2018, the majority of which relates to manufacturing expenses of PD-L1. The relevant expenses are recorded in other research and development in the accompanying condensed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October 2019, we finalized a five-year lease for office space in New Jersey (the “NJ Lease”). We approximate an average annual rental obligation of $0.3 million under the NJ Lease. We began to occupy this new space in October 2019, with rental payments beginning in November 2019.</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and NHL, with ublituximab also in pivotal trials for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Additionally, we have recently brought into Phase 1 clinical development TG-1501, an anti-PD-L1 monoclonal antibody, TG-1701, a covalently-bound Bruton’s Tyrosine Kinase (BTK) inhibitor, and TG-1801, an anti-CD47/CD19 bispecific antibody.</w:t>
      </w:r>
    </w:p>
    <w:p>
      <w:pPr>
        <w:spacing w:after="0" w:line="16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have leveraged our B-cell platform to develop a robust drug pipeline of both targeted orally available, potent and selective small molecule kinase inhibitors and intravenously delivered “off-the-shelf”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9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39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35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61"/>
        </w:trPr>
        <w:tc>
          <w:tcPr>
            <w:tcW w:w="3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(molecular target)</w:t>
            </w:r>
          </w:p>
        </w:tc>
        <w:tc>
          <w:tcPr>
            <w:tcW w:w="3960" w:type="dxa"/>
            <w:vAlign w:val="bottom"/>
            <w:tcBorders>
              <w:bottom w:val="single" w:sz="8" w:color="auto"/>
              <w:right w:val="single" w:sz="8" w:color="auto"/>
            </w:tcBorders>
          </w:tcPr>
          <w:p>
            <w:pPr>
              <w:spacing w:after="0"/>
              <w:rPr>
                <w:sz w:val="22"/>
                <w:szCs w:val="22"/>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(pivotal study)</w:t>
            </w:r>
          </w:p>
        </w:tc>
      </w:tr>
      <w:tr>
        <w:trPr>
          <w:trHeight w:val="196"/>
        </w:trPr>
        <w:tc>
          <w:tcPr>
            <w:tcW w:w="3940" w:type="dxa"/>
            <w:vAlign w:val="bottom"/>
            <w:tcBorders>
              <w:left w:val="single" w:sz="8" w:color="auto"/>
              <w:right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Ublituximab/TG-1101 (anti-CD20/mAb)</w:t>
            </w:r>
          </w:p>
        </w:tc>
        <w:tc>
          <w:tcPr>
            <w:tcW w:w="39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Chronic Lymphocytic Leukemia</w:t>
            </w:r>
          </w:p>
        </w:tc>
        <w:tc>
          <w:tcPr>
            <w:tcW w:w="35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Phase 3 trial (UNITY-CLL)</w:t>
            </w:r>
          </w:p>
        </w:tc>
      </w:tr>
      <w:tr>
        <w:trPr>
          <w:trHeight w:val="210"/>
        </w:trPr>
        <w:tc>
          <w:tcPr>
            <w:tcW w:w="700" w:type="dxa"/>
            <w:vAlign w:val="bottom"/>
            <w:tcBorders>
              <w:left w:val="single" w:sz="8" w:color="auto"/>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Relapsing Multiple Sclerosis</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(ULTIMATE I and II)</w:t>
            </w:r>
          </w:p>
        </w:tc>
      </w:tr>
      <w:tr>
        <w:trPr>
          <w:trHeight w:val="210"/>
        </w:trPr>
        <w:tc>
          <w:tcPr>
            <w:tcW w:w="39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Umbralisib/TGR-1202 (PI3K delta inhibitor)</w:t>
            </w: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Lymphocytic Leukemia</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(UNITY-CLL)</w:t>
            </w:r>
          </w:p>
        </w:tc>
      </w:tr>
      <w:tr>
        <w:trPr>
          <w:trHeight w:val="210"/>
        </w:trPr>
        <w:tc>
          <w:tcPr>
            <w:tcW w:w="700" w:type="dxa"/>
            <w:vAlign w:val="bottom"/>
            <w:tcBorders>
              <w:lef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Marginal Zone Lymphoma</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10"/>
        </w:trPr>
        <w:tc>
          <w:tcPr>
            <w:tcW w:w="700" w:type="dxa"/>
            <w:vAlign w:val="bottom"/>
            <w:tcBorders>
              <w:left w:val="single" w:sz="8" w:color="auto"/>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1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2"/>
              </w:rPr>
              <w:t>TG-1501</w:t>
            </w:r>
          </w:p>
        </w:tc>
        <w:tc>
          <w:tcPr>
            <w:tcW w:w="3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(anti-PDL1)</w:t>
            </w: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2"/>
              </w:rPr>
              <w:t>TG-1701</w:t>
            </w:r>
          </w:p>
        </w:tc>
        <w:tc>
          <w:tcPr>
            <w:tcW w:w="3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(BTK inhibitor)</w:t>
            </w: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2"/>
              </w:rPr>
              <w:t>TG-1801</w:t>
            </w:r>
          </w:p>
        </w:tc>
        <w:tc>
          <w:tcPr>
            <w:tcW w:w="3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(anti-CD47/CD19)</w:t>
            </w: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554"/>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color w:val="auto"/>
              </w:rPr>
              <w:t>22</w:t>
            </w: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Phase 3 and Registration-Directed Clinical Trial Highlights</w:t>
      </w:r>
    </w:p>
    <w:p>
      <w:pPr>
        <w:spacing w:after="0" w:line="22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We have initiated and enrolled several Phase 3 and registration-directed Phase 2b clinical trials (i.e., clinical trials that may support a marketing application for approval). The following are the current Phase 3 trials and registration-directed Phase 2b clinical trials:</w:t>
      </w:r>
    </w:p>
    <w:p>
      <w:pPr>
        <w:spacing w:after="0" w:line="143" w:lineRule="exact"/>
        <w:rPr>
          <w:sz w:val="20"/>
          <w:szCs w:val="20"/>
          <w:color w:val="auto"/>
        </w:rPr>
      </w:pPr>
    </w:p>
    <w:p>
      <w:pPr>
        <w:jc w:val="both"/>
        <w:ind w:left="820" w:hanging="326"/>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UNITY-NHL Phase 2b Trial: </w:t>
      </w:r>
      <w:r>
        <w:rPr>
          <w:rFonts w:ascii="Arial" w:cs="Arial" w:eastAsia="Arial" w:hAnsi="Arial"/>
          <w:sz w:val="18"/>
          <w:szCs w:val="18"/>
          <w:color w:val="auto"/>
        </w:rPr>
        <w:t>UNITY-NHL is a broad Phase 2b registration-directed clinical trial designed to evaluate the efficacy and safety of</w:t>
      </w:r>
      <w:r>
        <w:rPr>
          <w:rFonts w:ascii="Arial" w:cs="Arial" w:eastAsia="Arial" w:hAnsi="Arial"/>
          <w:sz w:val="18"/>
          <w:szCs w:val="18"/>
          <w:b w:val="1"/>
          <w:bCs w:val="1"/>
          <w:color w:val="auto"/>
        </w:rPr>
        <w:t xml:space="preserve"> </w:t>
      </w:r>
      <w:r>
        <w:rPr>
          <w:rFonts w:ascii="Arial" w:cs="Arial" w:eastAsia="Arial" w:hAnsi="Arial"/>
          <w:sz w:val="18"/>
          <w:szCs w:val="18"/>
          <w:color w:val="auto"/>
        </w:rPr>
        <w:t>umbralisib monotherapy and U2 combinations in patients with previously treated NHL. The marginal zone lymphoma (MZL) and the follicular lymphoma (FL)/small lymphocytic lymphoma (SLL) single agent umbralisib cohorts of this trial are fully enrolled. The primary objective of these cohorts is to assess the efficacy of single agent umbralisib as measured by Overall Response Rate (ORR).</w:t>
      </w:r>
    </w:p>
    <w:p>
      <w:pPr>
        <w:spacing w:after="0" w:line="180"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UNITY-NHL MZL Single Agent Umbralisib Cohort: </w:t>
      </w:r>
      <w:r>
        <w:rPr>
          <w:rFonts w:ascii="Arial" w:cs="Arial" w:eastAsia="Arial" w:hAnsi="Arial"/>
          <w:sz w:val="16"/>
          <w:szCs w:val="16"/>
          <w:color w:val="auto"/>
        </w:rPr>
        <w:t>The MZL cohort enrolled adult patients who had at least one prior line of therapy</w:t>
      </w:r>
      <w:r>
        <w:rPr>
          <w:rFonts w:ascii="Arial" w:cs="Arial" w:eastAsia="Arial" w:hAnsi="Arial"/>
          <w:sz w:val="16"/>
          <w:szCs w:val="16"/>
          <w:b w:val="1"/>
          <w:bCs w:val="1"/>
          <w:color w:val="auto"/>
        </w:rPr>
        <w:t xml:space="preserve"> </w:t>
      </w:r>
      <w:r>
        <w:rPr>
          <w:rFonts w:ascii="Arial" w:cs="Arial" w:eastAsia="Arial" w:hAnsi="Arial"/>
          <w:sz w:val="16"/>
          <w:szCs w:val="16"/>
          <w:color w:val="auto"/>
        </w:rPr>
        <w:t>that included an anti-CD20 monoclonal antibody. In February 2019, we announced that the MZL cohort met the primary endpoint of ORR as determined by Independent Review Committee (IRC) for all treated patients (n=69). The results met our target guidance of 40-50% ORR. Interim safety and efficacy data from the MZL cohort were presented in an oral presentation at the American Association for Cancer Research (AACR) annual meeting on April 1, 2019. The data presented included safety and tolerability data on all 69 treated patients (safety population) and efficacy data on 42 patients who were enrolled at least 9 cycles (28 day cycles) prior to the data cut-off date (interim efficacy population). The safety population had a median duration of exposure of 6.9 months and no unexpected toxicities were observed. Analysis of the interim efficacy population showed an ORR by IRC of 52%, including 19% CR rate, an 88% clinical benefit rate by IRC (defined as patients obtaining Complete Response + Partial Response + Stable Disease) and a median duration of exposure of 10.1 months. These results were also presented in oral presentations during the 2019 American Society of Clinical Oncology (ASCO) annual meeting and the 2019 International Conference on Malignant Lymphoma (ICML) both held in June of 2019. Previously, in January 2019, the U.S. Food and Drug Administration (FDA) granted Breakthrough Therapy Designation (BTD) to umbralisib for the treatment of adult patients with MZL who have received at least one prior anti-CD20 regimen. The BTD was based on interim data from the MZL cohort of the UNITY-NHL trial. In April 2019, the FDA granted orphan drug designation to umbralisib for the treatment of patients with any of the three types of marginal zone lymphoma (MZL): nodal, extranodal, and splenic MZL. In June of 2019, we had a BTD meeting with the FDA to discuss the MZL submission strategy. Based on this meeting, we anticipate initiating a New Drug Application (NDA) submission for patients with previously treated MZL around year-end 2019.</w:t>
      </w:r>
    </w:p>
    <w:p>
      <w:pPr>
        <w:spacing w:after="0" w:line="381" w:lineRule="exact"/>
        <w:rPr>
          <w:rFonts w:ascii="Arial" w:cs="Arial" w:eastAsia="Arial" w:hAnsi="Arial"/>
          <w:sz w:val="16"/>
          <w:szCs w:val="16"/>
          <w:color w:val="auto"/>
        </w:rPr>
      </w:pPr>
    </w:p>
    <w:p>
      <w:pPr>
        <w:jc w:val="both"/>
        <w:ind w:left="1300" w:hanging="320"/>
        <w:spacing w:after="0" w:line="256"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UNITY-NHL FL/SLL Single Agent Umbralisib Cohort</w:t>
      </w:r>
      <w:r>
        <w:rPr>
          <w:rFonts w:ascii="Arial" w:cs="Arial" w:eastAsia="Arial" w:hAnsi="Arial"/>
          <w:sz w:val="18"/>
          <w:szCs w:val="18"/>
          <w:color w:val="auto"/>
        </w:rPr>
        <w:t>: The FL/SLL cohort enrolled adult patients who had two or more prior lines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that included an anti-CD20 monoclonal antibody and an alkylating agent. In October 2019, we announced that the FL patients within this cohort met the primary endpoint of ORR as determined by Independent Review Committee (IRC) for all treated follicular lymphoma patients (n=118). The results met our target guidance of 40-50% ORR. Importantly, umbralisib monotherapy appeared to be well tolerated with a safety profile consistent with previous reports. We plan to present the data at a future medical conference as well as discuss the data with the FDA.</w:t>
      </w:r>
    </w:p>
    <w:p>
      <w:pPr>
        <w:spacing w:after="0" w:line="187" w:lineRule="exact"/>
        <w:rPr>
          <w:rFonts w:ascii="Arial" w:cs="Arial" w:eastAsia="Arial" w:hAnsi="Arial"/>
          <w:sz w:val="18"/>
          <w:szCs w:val="18"/>
          <w:color w:val="auto"/>
        </w:rPr>
      </w:pPr>
    </w:p>
    <w:p>
      <w:pPr>
        <w:jc w:val="both"/>
        <w:ind w:left="1300" w:hanging="320"/>
        <w:spacing w:after="0" w:line="266" w:lineRule="auto"/>
        <w:tabs>
          <w:tab w:leader="none" w:pos="13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UNITY-NHL Additional Cohorts</w:t>
      </w:r>
      <w:r>
        <w:rPr>
          <w:rFonts w:ascii="Arial" w:cs="Arial" w:eastAsia="Arial" w:hAnsi="Arial"/>
          <w:sz w:val="18"/>
          <w:szCs w:val="18"/>
          <w:color w:val="auto"/>
        </w:rPr>
        <w:t>: There are additional exploratory cohorts of the UNITY-NHL trial focused on Diffuse Large B-Cell</w:t>
      </w:r>
      <w:r>
        <w:rPr>
          <w:rFonts w:ascii="Arial" w:cs="Arial" w:eastAsia="Arial" w:hAnsi="Arial"/>
          <w:sz w:val="18"/>
          <w:szCs w:val="18"/>
          <w:b w:val="1"/>
          <w:bCs w:val="1"/>
          <w:color w:val="auto"/>
        </w:rPr>
        <w:t xml:space="preserve"> </w:t>
      </w:r>
      <w:r>
        <w:rPr>
          <w:rFonts w:ascii="Arial" w:cs="Arial" w:eastAsia="Arial" w:hAnsi="Arial"/>
          <w:sz w:val="18"/>
          <w:szCs w:val="18"/>
          <w:color w:val="auto"/>
        </w:rPr>
        <w:t>Lymphoma (DLBCL) and Mantle Cell Lymphoma (MCL). In total, there are currently four cohorts in the UNITY-NHL trial including, MZL, FL/SLL, DLBCL, and MCL. Each cohort is enrolled and evaluated separately from the others.</w:t>
      </w:r>
    </w:p>
    <w:p>
      <w:pPr>
        <w:spacing w:after="0" w:line="176" w:lineRule="exact"/>
        <w:rPr>
          <w:rFonts w:ascii="Arial" w:cs="Arial" w:eastAsia="Arial" w:hAnsi="Arial"/>
          <w:sz w:val="18"/>
          <w:szCs w:val="18"/>
          <w:b w:val="1"/>
          <w:bCs w:val="1"/>
          <w:color w:val="auto"/>
        </w:rPr>
      </w:pPr>
    </w:p>
    <w:p>
      <w:pPr>
        <w:jc w:val="both"/>
        <w:ind w:left="820" w:hanging="326"/>
        <w:spacing w:after="0" w:line="269"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UNITY-CLL Phase 3 Trial Evaluating Umbralisib plus Ublituximab (U2): </w:t>
      </w:r>
      <w:r>
        <w:rPr>
          <w:rFonts w:ascii="Arial" w:cs="Arial" w:eastAsia="Arial" w:hAnsi="Arial"/>
          <w:sz w:val="17"/>
          <w:szCs w:val="17"/>
          <w:color w:val="auto"/>
        </w:rPr>
        <w:t>UNITY-CLL is a global Phase 3 randomized controlled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trial comparing the U2 combination to an active control arm of obinutuzumab plus chlorambucil in patients with both treatment naïve and relapsed or refractory CLL. Two additional arms evaluating single agent ublituximab and single agent umbralisib were also enrolled for purposes of evaluating contribution in the U2 combination regimen. The primary endpoint for this study is progression free survival (PFS) which we intend to use to support a submission for approval of the U2 combination in CLL. The study completed enrollment in October 2017 with over 600 patients across the four treatment arms, with approximately 420 patients in the U2 and the active control arm combined. This trial is conducted under Special Protocol Assessment (SPA) with the FDA. In March 2019, the UNITY-CLL Data and Safety Monitoring Board (DSMB) conducted a pre-planned futility analysis of PFS. The DSMB determined that the trial was not futile and recommended the UNITY-CLL trial continue as planned. The pre-specified futility analysis of the UNITY-CLL trial did not allow for early stopping due to positive efficacy but only for lack of efficacy. The DSMB also reviewed safety information from all 600+ CLL patients on trial, including over 300 treatment naïve and previously treated patients on umbralisib alone or in combination with ublituximab. Based on its review, no safety concerns were identified and the DSMB recommended the UNITY-CLL trial continue without modification.</w:t>
      </w:r>
    </w:p>
    <w:p>
      <w:pPr>
        <w:spacing w:after="0" w:line="179" w:lineRule="exact"/>
        <w:rPr>
          <w:rFonts w:ascii="Arial" w:cs="Arial" w:eastAsia="Arial" w:hAnsi="Arial"/>
          <w:sz w:val="17"/>
          <w:szCs w:val="17"/>
          <w:color w:val="auto"/>
        </w:rPr>
      </w:pPr>
    </w:p>
    <w:p>
      <w:pPr>
        <w:jc w:val="both"/>
        <w:ind w:left="820" w:hanging="326"/>
        <w:spacing w:after="0" w:line="298"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ULTIMATE I &amp; II Trials Evaluating Single Agent Ublituximab in RMS: </w:t>
      </w:r>
      <w:r>
        <w:rPr>
          <w:rFonts w:ascii="Arial" w:cs="Arial" w:eastAsia="Arial" w:hAnsi="Arial"/>
          <w:sz w:val="16"/>
          <w:szCs w:val="16"/>
          <w:color w:val="auto"/>
        </w:rPr>
        <w:t>ULTIMATE I and ULTIMATE II are two independent Phase 3 trials.</w:t>
      </w:r>
      <w:r>
        <w:rPr>
          <w:rFonts w:ascii="Arial" w:cs="Arial" w:eastAsia="Arial" w:hAnsi="Arial"/>
          <w:sz w:val="16"/>
          <w:szCs w:val="16"/>
          <w:b w:val="1"/>
          <w:bCs w:val="1"/>
          <w:color w:val="auto"/>
        </w:rPr>
        <w:t xml:space="preserve"> </w:t>
      </w:r>
      <w:r>
        <w:rPr>
          <w:rFonts w:ascii="Arial" w:cs="Arial" w:eastAsia="Arial" w:hAnsi="Arial"/>
          <w:sz w:val="16"/>
          <w:szCs w:val="16"/>
          <w:color w:val="auto"/>
        </w:rPr>
        <w:t>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conducted under a SPA with the FDA. Full enrollment was completed in October of 2018, with approximately 1,100 subjects enrolled in both studies combined.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8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results of operations include noncash compensation expenses as a result of the grants of restricted stock. Compensation expense for awards of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diseases,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medicines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 and 2018</w:t>
      </w:r>
    </w:p>
    <w:p>
      <w:pPr>
        <w:spacing w:after="0" w:line="22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September 30, 2019 and 2018. License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7"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$1.5 million for the three months ended September 30, 2019, as compared to $0.6 million during the comparable period in 2018. The increase in noncash compensation expense was primarily due to noncash stock expense related to stock options during the period ended September 30, 2019.</w:t>
      </w:r>
    </w:p>
    <w:p>
      <w:pPr>
        <w:spacing w:after="0" w:line="14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i w:val="1"/>
          <w:iCs w:val="1"/>
          <w:color w:val="auto"/>
        </w:rPr>
        <w:t xml:space="preserve">Other Research and Development Expenses. </w:t>
      </w:r>
      <w:r>
        <w:rPr>
          <w:rFonts w:ascii="Arial" w:cs="Arial" w:eastAsia="Arial" w:hAnsi="Arial"/>
          <w:sz w:val="17"/>
          <w:szCs w:val="17"/>
          <w:color w:val="auto"/>
        </w:rPr>
        <w:t>Other research and development expenses increased by $23.7 million to $56.5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2019, as compared to $32.8 million for the three months ended September 30, 2018. The increase in R&amp;D expense is primarily attributable to ongoing late-stage clinical development programs and related manufacturing costs for ublituximab during the three months ended September 30, 2019. We expect our other research and development costs to decrease modestly for the remainder of 2019.</w:t>
      </w:r>
    </w:p>
    <w:p>
      <w:pPr>
        <w:spacing w:after="0" w:line="17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increased by $1.4 million to $0.6 million for the three months ended September 30, 2019, as compared to a credit of $0.8 million for the three months ended September 30, 2018. The increase in noncash compensation expense was primarily related to greater compensation expense during the three months ended September 30, 2019 related to restricted stock granted to executive personnel due to a prior year credit for nonemployee awards</w:t>
      </w:r>
    </w:p>
    <w:p>
      <w:pPr>
        <w:spacing w:after="0" w:line="154"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was $2.3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as compared to $1.8 million for the three months ended September 30, 2018. The increase was due primarily to increased personnel and other general and administrative costs. We expect our other general and administrative expenses to remain at a comparable level for the remainder of 2019.</w:t>
      </w:r>
    </w:p>
    <w:p>
      <w:pPr>
        <w:spacing w:after="0" w:line="14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by $1.3 million to $1.5 million for the three months ended September 30, 2019, as compared to expense of</w:t>
      </w:r>
      <w:r>
        <w:rPr>
          <w:rFonts w:ascii="Arial" w:cs="Arial" w:eastAsia="Arial" w:hAnsi="Arial"/>
          <w:sz w:val="17"/>
          <w:szCs w:val="17"/>
          <w:i w:val="1"/>
          <w:iCs w:val="1"/>
          <w:color w:val="auto"/>
        </w:rPr>
        <w:t xml:space="preserve"> </w:t>
      </w:r>
      <w:r>
        <w:rPr>
          <w:rFonts w:ascii="Arial" w:cs="Arial" w:eastAsia="Arial" w:hAnsi="Arial"/>
          <w:sz w:val="17"/>
          <w:szCs w:val="17"/>
          <w:color w:val="auto"/>
        </w:rPr>
        <w:t>$0.2 million for the three months ended September 30, 2018. The increase is mainly due to the interest expense related to the Hercules financing agreement and the associated amortization of debt issuance costs for the three months ended September 30, 2019.</w:t>
      </w:r>
    </w:p>
    <w:p>
      <w:pPr>
        <w:spacing w:after="0" w:line="166"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i w:val="1"/>
          <w:iCs w:val="1"/>
          <w:color w:val="auto"/>
        </w:rPr>
        <w:t>Other Income</w:t>
      </w:r>
      <w:r>
        <w:rPr>
          <w:rFonts w:ascii="Arial" w:cs="Arial" w:eastAsia="Arial" w:hAnsi="Arial"/>
          <w:sz w:val="17"/>
          <w:szCs w:val="17"/>
          <w:color w:val="auto"/>
        </w:rPr>
        <w:t>. Other income decreased by $0.1 million to $0.5 million for the three months ended September 30, 2019, as compared to $0.6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September 30, 2018. We expect our other income to remain at a comparable level for the remainder of 2019.</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229"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$0.1 million for each of the nine months ended September 30, 2019 and 2018. License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2019 and 2018 was related to the amortization of an upfront payment of $2.0 million received in 2012 associated with our license agreement with Ildong.</w:t>
      </w:r>
    </w:p>
    <w:p>
      <w:pPr>
        <w:spacing w:after="0" w:line="18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i w:val="1"/>
          <w:iCs w:val="1"/>
          <w:color w:val="auto"/>
        </w:rPr>
        <w:t xml:space="preserve">Noncash Stock Expense Associated with In-Licensing Agreement (Research and Development). </w:t>
      </w:r>
      <w:r>
        <w:rPr>
          <w:rFonts w:ascii="Arial" w:cs="Arial" w:eastAsia="Arial" w:hAnsi="Arial"/>
          <w:sz w:val="17"/>
          <w:szCs w:val="17"/>
          <w:color w:val="auto"/>
        </w:rPr>
        <w:t>Noncash stock expense associated with in-licensing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(research and development) amounted to $0.1 million for the nine months ended September 30, 2019, as compared to $4.0 million during the comparable period in 2018. The expense during the nine months ended September 30, 2018 was recorded in conjunction with the stock issued to Novimmune and Jiangsu Hengrui as upfront payments for the licenses to the CD47/CD19 and BTK programs.</w:t>
      </w:r>
    </w:p>
    <w:p>
      <w:pPr>
        <w:spacing w:after="0" w:line="171"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$4.3 million for the nine months ended September 30, 2019, as compared to $4.4 million during the comparable period in 2018.</w:t>
      </w:r>
    </w:p>
    <w:p>
      <w:pPr>
        <w:spacing w:after="0" w:line="124"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i w:val="1"/>
          <w:iCs w:val="1"/>
          <w:color w:val="auto"/>
        </w:rPr>
        <w:t xml:space="preserve">Other Research and Development Expenses. </w:t>
      </w:r>
      <w:r>
        <w:rPr>
          <w:rFonts w:ascii="Arial" w:cs="Arial" w:eastAsia="Arial" w:hAnsi="Arial"/>
          <w:sz w:val="17"/>
          <w:szCs w:val="17"/>
          <w:color w:val="auto"/>
        </w:rPr>
        <w:t>Other research and development expenses increased by $20.1 million to $118.8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2019, as compared to $98.7 million for the nine months ended September 30, 2018. The increase in R&amp;D expense is primarily attributable to ongoing late-stage clinical development programs and related manufacturing costs for ublituximab during the nine months ended September 30, 2019. We expect our other research and development costs to decrease modestly for the remainder of 2019.</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decreased by $5.6 million to $1.4 million for the nine months ended September 30, 2019, as compared to $7.0 million for the nine months ended September 30, 2018. The decrease in noncash compensation expense was primarily related to greater compensation expense during the nine months ended September 30, 2018 related to restricted stock granted to executive personnel.</w:t>
      </w:r>
    </w:p>
    <w:p>
      <w:pPr>
        <w:spacing w:after="0" w:line="18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$0.4 million to $6.6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as compared to $6.2 million for the nine months ended September 30, 2018. We expect our other general and administrative expenses to remain at a comparable level for the remainder of 2019.</w:t>
      </w:r>
    </w:p>
    <w:p>
      <w:pPr>
        <w:spacing w:after="0" w:line="181"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by $2.7 million to $3.4 million for the nine months ended September 30, 2019, as compared to expense of</w:t>
      </w:r>
      <w:r>
        <w:rPr>
          <w:rFonts w:ascii="Arial" w:cs="Arial" w:eastAsia="Arial" w:hAnsi="Arial"/>
          <w:sz w:val="17"/>
          <w:szCs w:val="17"/>
          <w:i w:val="1"/>
          <w:iCs w:val="1"/>
          <w:color w:val="auto"/>
        </w:rPr>
        <w:t xml:space="preserve"> </w:t>
      </w:r>
      <w:r>
        <w:rPr>
          <w:rFonts w:ascii="Arial" w:cs="Arial" w:eastAsia="Arial" w:hAnsi="Arial"/>
          <w:sz w:val="17"/>
          <w:szCs w:val="17"/>
          <w:color w:val="auto"/>
        </w:rPr>
        <w:t>$0.7 million for the nine months ended September 30, 2018. The increase is mainly due to the interest expense related to the Hercules financing agreement and the associated amortization of debt issuance costs for the nine months ended September 30, 2019.</w:t>
      </w:r>
    </w:p>
    <w:p>
      <w:pPr>
        <w:spacing w:after="0" w:line="166"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i w:val="1"/>
          <w:iCs w:val="1"/>
          <w:color w:val="auto"/>
        </w:rPr>
        <w:t>Other Income</w:t>
      </w:r>
      <w:r>
        <w:rPr>
          <w:rFonts w:ascii="Arial" w:cs="Arial" w:eastAsia="Arial" w:hAnsi="Arial"/>
          <w:sz w:val="17"/>
          <w:szCs w:val="17"/>
          <w:color w:val="auto"/>
        </w:rPr>
        <w:t>. Other income decreased by $0.1 million to $1.2 million for the nine months ended September 30, 2019, as compared to $1.3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2018. We expect our other income to remain at a comparable level for the remainder of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primary sources of cash have been from the sale of equity securities, debt financings,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September 30, 2019, we had approximately $72.5 million in cash and cash equivalents, and investment securities. We anticipate that our cash, cash equivalents, and investment securities on hand as of September 30, 2019, combined with the additional capital raised in the fourth quarter of 2019,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2019 was $102.4 million as compared to $95.2 million for the nine months ended September 30, 2018. The increase in cash used in operating activities was due primarily to increased expenditures associated with our ongoing clinical development programs and paydown of accounts payable and accrued expenses.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the nine months ended September 30, 2019, net cash used in investing activities was $0.7 million as compared to cash provided by investing activities of $0.9 million for the nine months ended September 30, 2018. The decrease in net cash provided by investing activities was primarily due to the greater investment in treasury securities during the nine months ended September 30, 2019.</w:t>
      </w:r>
    </w:p>
    <w:p>
      <w:pPr>
        <w:spacing w:after="0" w:line="18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For the nine months ended September 30, 2019, net cash provided by financing activities of $105.9 million related to the net proceeds from debt financings and net proceeds from the issuance of common stock as part of our 2017 ATM program and a public offering in March 2019.</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2019, we have known contractual obligations, commitments and contingencies of $92.4 million related to our long-term debt, contract manufacturer and operating lease obligations.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60"/>
              <w:spacing w:after="0"/>
              <w:rPr>
                <w:sz w:val="20"/>
                <w:szCs w:val="20"/>
                <w:color w:val="auto"/>
              </w:rPr>
            </w:pPr>
            <w:r>
              <w:rPr>
                <w:rFonts w:ascii="Arial" w:cs="Arial" w:eastAsia="Arial" w:hAnsi="Arial"/>
                <w:sz w:val="18"/>
                <w:szCs w:val="18"/>
                <w:b w:val="1"/>
                <w:bCs w:val="1"/>
                <w:color w:val="auto"/>
              </w:rPr>
              <w:t>Payment due by period (in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4"/>
              </w:rPr>
              <w:t>More than 5</w:t>
            </w:r>
          </w:p>
        </w:tc>
        <w:tc>
          <w:tcPr>
            <w:tcW w:w="0" w:type="dxa"/>
            <w:vAlign w:val="bottom"/>
          </w:tcPr>
          <w:p>
            <w:pPr>
              <w:spacing w:after="0"/>
              <w:rPr>
                <w:sz w:val="1"/>
                <w:szCs w:val="1"/>
                <w:color w:val="auto"/>
              </w:rPr>
            </w:pPr>
          </w:p>
        </w:tc>
      </w:tr>
      <w:tr>
        <w:trPr>
          <w:trHeight w:val="198"/>
        </w:trPr>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1-3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3-5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Contract manufacturer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43,001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43,001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19,383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10,959</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92,384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Effective January 1, 2018, the Company began recognizing revenue under Accounting Standards Codification (“ASC”)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 Revenue from Contracts with Customers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93"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1" w:lineRule="exact"/>
        <w:rPr>
          <w:sz w:val="20"/>
          <w:szCs w:val="20"/>
          <w:color w:val="auto"/>
        </w:rPr>
      </w:pPr>
    </w:p>
    <w:p>
      <w:pPr>
        <w:ind w:left="820" w:hanging="326"/>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w:t>
      </w:r>
    </w:p>
    <w:p>
      <w:pPr>
        <w:spacing w:after="0" w:line="1"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both"/>
        <w:ind w:right="20" w:firstLine="486"/>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88"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4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restricted stock and warrants issued to employees, consultants and other third-parties vest upon the achievement of certain milestones, the total expense is uncertain. Compensation expense for such awards that vest upon the achievement of milestones is recognized when the achievement of such milestone becomes probable.</w:t>
      </w:r>
    </w:p>
    <w:p>
      <w:pPr>
        <w:spacing w:after="0" w:line="17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i w:val="1"/>
          <w:iCs w:val="1"/>
          <w:color w:val="auto"/>
        </w:rPr>
        <w:t>Accruals for Clinical Research Organization and Clinical Site Costs</w:t>
      </w:r>
      <w:r>
        <w:rPr>
          <w:rFonts w:ascii="Arial" w:cs="Arial" w:eastAsia="Arial" w:hAnsi="Arial"/>
          <w:sz w:val="17"/>
          <w:szCs w:val="17"/>
          <w:color w:val="auto"/>
        </w:rPr>
        <w:t>. We make estimates of costs incurred in relation to external clinical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8"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93"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17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8"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70"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2019, our portfolio of financial instruments consists of cash equivalents, including bank deposits, and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As of September 30, 2019,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2019, our disclosure controls and procedures were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2019 that have materially affected, or are reasonably likely to materially affect, our internal control over financial reporting.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 w:name="page33"/>
    <w:bookmarkEnd w:id="32"/>
    <w:p>
      <w:pPr>
        <w:jc w:val="center"/>
        <w:ind w:right="-1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Quarterly Report before making an investment in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4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and undertaking pre-clinical studies and commencing clinical trials. We have never generated any revenue from drug sales. We have not obtained regulatory approvals for any of our drug candidates.</w:t>
      </w:r>
    </w:p>
    <w:p>
      <w:pPr>
        <w:spacing w:after="0" w:line="18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have not yet demonstrated our ability to successfully complete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93" w:lineRule="exact"/>
        <w:rPr>
          <w:sz w:val="20"/>
          <w:szCs w:val="20"/>
          <w:color w:val="auto"/>
        </w:rPr>
      </w:pPr>
    </w:p>
    <w:p>
      <w:pPr>
        <w:ind w:right="40" w:firstLine="531"/>
        <w:spacing w:after="0" w:line="257" w:lineRule="auto"/>
        <w:rPr>
          <w:sz w:val="20"/>
          <w:szCs w:val="20"/>
          <w:color w:val="auto"/>
        </w:rPr>
      </w:pPr>
      <w:r>
        <w:rPr>
          <w:rFonts w:ascii="Arial" w:cs="Arial" w:eastAsia="Arial" w:hAnsi="Arial"/>
          <w:sz w:val="18"/>
          <w:szCs w:val="18"/>
          <w:color w:val="auto"/>
        </w:rPr>
        <w:t>Since inception, we have focused substantially all of our efforts and financial resources on clinical trials and manufacturing of our drug candidates. To date, we have financed our operations primarily through public offerings of our common stock and a debt financing. Through November 8, 2019, we have received an aggregate of approximately $550 million from such transactions. Approximately $520 million of that amount constitute the aggregate gross proceeds from the sale of common stock in one or more offerings and through the use of our at the market sales program, or ATM. The remaining $30.0 million is from our term loan facility with Hercules that we secured in February 2019.</w:t>
      </w:r>
    </w:p>
    <w:p>
      <w:pPr>
        <w:spacing w:after="0" w:line="18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Since inception, we have incurred significant operating losses. As of September 30, 2019, we had an accumulated deficit of $661.6 million. 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outsourced-manufacturing expenses. We also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8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To date, we have not generated any significant revenue from our drug candidates and we do not expect to generate any revenue from the sale of drugs in the near future. 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93"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820" w:right="24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non-clinical studies required to obtain US and Foreign marketing approval for our drug candidates;</w:t>
      </w: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approval from the US FDA and Foreign equivalent to market and sell our drug candidates;</w:t>
      </w:r>
    </w:p>
    <w:p>
      <w:pPr>
        <w:spacing w:after="0" w:line="9" w:lineRule="exact"/>
        <w:rPr>
          <w:rFonts w:ascii="Arial" w:cs="Arial" w:eastAsia="Arial" w:hAnsi="Arial"/>
          <w:sz w:val="18"/>
          <w:szCs w:val="18"/>
          <w:color w:val="auto"/>
        </w:rPr>
      </w:pPr>
    </w:p>
    <w:p>
      <w:pPr>
        <w:ind w:left="820" w:right="26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ind w:left="820" w:right="700" w:hanging="326"/>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commercial infrastructure to commercialize our drug candidates, if approved, by developing a sales force and/or entering into collaborations with third parties; and</w:t>
      </w: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market acceptance of our drug candidates in the medical community and with third-party payors.</w:t>
      </w:r>
    </w:p>
    <w:p>
      <w:pPr>
        <w:spacing w:after="0" w:line="21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464"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development of pharmaceuticals is capital-intensive. We are currently advancing our most advanced drug candidates, umbralisib, ublituximab, TG-1501,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filing for regulatory approvals for umbralisib and ublituximab we will need to expend substantial resources on manufacturing and NDA/ biologics license application (BLA) preparation over the next 12 to 24 months, which could exceed any cost savings associated with lower clinical trial expenses during the same period.</w:t>
      </w:r>
    </w:p>
    <w:p>
      <w:pPr>
        <w:spacing w:after="0" w:line="18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820" w:right="420" w:hanging="326"/>
        <w:spacing w:after="0" w:line="25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to our condensed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83"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right="340"/>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February 2019, we entered into a Loan and Security Agreement (the “Loan Agreement”), with Hercules Capital, Inc., a Maryland corporation (“Hercules”) (See Note 7 to our condensed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In addition, we have incurred short term liabilities of approximately $43.0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82"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66" w:lineRule="exact"/>
        <w:rPr>
          <w:sz w:val="20"/>
          <w:szCs w:val="20"/>
          <w:color w:val="auto"/>
        </w:rPr>
      </w:pPr>
    </w:p>
    <w:p>
      <w:pPr>
        <w:ind w:left="820" w:right="40" w:hanging="326"/>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1" w:lineRule="exact"/>
        <w:rPr>
          <w:rFonts w:ascii="Arial" w:cs="Arial" w:eastAsia="Arial" w:hAnsi="Arial"/>
          <w:sz w:val="18"/>
          <w:szCs w:val="18"/>
          <w:color w:val="auto"/>
        </w:rPr>
      </w:pPr>
    </w:p>
    <w:p>
      <w:pPr>
        <w:ind w:left="820" w:right="180" w:hanging="326"/>
        <w:spacing w:after="0" w:line="25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cash available in an amount sufficient to enable us to make interest or principal payments on our indebtedness when due.</w:t>
      </w:r>
    </w:p>
    <w:p>
      <w:pPr>
        <w:spacing w:after="0" w:line="23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 self.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5" w:name="page36"/>
    <w:bookmarkEnd w:id="35"/>
    <w:p>
      <w:pPr>
        <w:ind w:right="40" w:firstLine="486"/>
        <w:spacing w:after="0" w:line="277" w:lineRule="auto"/>
        <w:rPr>
          <w:sz w:val="20"/>
          <w:szCs w:val="20"/>
          <w:color w:val="auto"/>
        </w:rPr>
      </w:pPr>
      <w:r>
        <w:rPr>
          <w:rFonts w:ascii="Arial" w:cs="Arial" w:eastAsia="Arial" w:hAnsi="Arial"/>
          <w:sz w:val="18"/>
          <w:szCs w:val="18"/>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70"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If we are unable to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2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 variety of reasons. We have substantially invested all of our efforts and financial resources in the identification and pre-clinical and clinical development of our drug candidates, including ublituximab, umbralisib, TG-1501, TG-1701 and TG-1801. Our ability to generate drug revenues, which we do not expect will occur for a number of years, if ever, will depend completely on the successful completion of our current and future Phase 3 and registration-directed clinical trials and commercialization of our drug candidates, which may never occur. We currently generate no revenues from sales of any drugs, and we may never be able to develop or commercialize a marketable drug. Each of our drug candidates will require additional non-clinical or clinical development, management of clinical, non-clinical and manufacturing activities, regulatory approval in multiple jurisdictions, obtaining or manufacturing supply, building of a commercial organization, substantial investment and significant marketing efforts before we generate any revenues from drug sales. The success of our most advanced drug candidates and other drug candidates will depend on several factors, including the following:</w:t>
      </w:r>
    </w:p>
    <w:p>
      <w:pPr>
        <w:spacing w:after="0" w:line="183"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our UNITY-NHL trial, UNITY-CLL trial and our ULTIMATE I and II trials;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drug candidates;</w:t>
      </w:r>
    </w:p>
    <w:p>
      <w:pPr>
        <w:spacing w:after="0" w:line="9" w:lineRule="exact"/>
        <w:rPr>
          <w:rFonts w:ascii="Arial" w:cs="Arial" w:eastAsia="Arial" w:hAnsi="Arial"/>
          <w:sz w:val="18"/>
          <w:szCs w:val="18"/>
          <w:color w:val="auto"/>
        </w:rPr>
      </w:pPr>
    </w:p>
    <w:p>
      <w:pPr>
        <w:ind w:left="820" w:right="260" w:hanging="326"/>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differentiating and competing with other therapies;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the drug candidates following approval.</w:t>
      </w:r>
    </w:p>
    <w:p>
      <w:pPr>
        <w:spacing w:after="0" w:line="21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7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ind w:right="40" w:firstLine="486"/>
        <w:spacing w:after="0" w:line="267" w:lineRule="auto"/>
        <w:rPr>
          <w:sz w:val="20"/>
          <w:szCs w:val="20"/>
          <w:color w:val="auto"/>
        </w:rPr>
      </w:pPr>
      <w:r>
        <w:rPr>
          <w:rFonts w:ascii="Arial" w:cs="Arial" w:eastAsia="Arial" w:hAnsi="Arial"/>
          <w:sz w:val="17"/>
          <w:szCs w:val="17"/>
          <w:color w:val="auto"/>
        </w:rPr>
        <w:t>For instance, early clinical results seen with ublituximab (TG-1101) and/or umbralisib (TGR-1202) in a small number of patients may not be reproduced in expanded or larger clinical trials such as in our UNITY-CLL, UNITY-NHL and ULTIMATE I and II programs. Individually reported outcomes of patients treated in clinical trials may not be representative of the entire population of treated patients in such studies.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In addition, early clinical trial results from interim analysis or from the review of a Data Safety Monitoring Board (“DSMB”) or similar safety committee may not be reflective of the results of the entire study, when completed. Clinical trial results can change over time as additional patients are added to a study or as additional follow-up is conducted, which may result in a material negative impact on the preliminary results. For instance, we recently announced that the Marginal Zone Lymphoma (“MZL”) and the Follicular Lymphoma (FL) cohorts of the UNITY-NHL study met the primary endpoint of overall response rate (ORR), falling within our target range which was between 40%-50%, and while we believe that the ORR results have the potential to increase over time within this range, or beyond, as patients continue to be followed, no assurance can be given that that this will be the case, and the results may ultimately fall at the lower end of the range. Further, time to event based endpoints such as duration of response (DOR) and progression free survival (PFS) have the potential to change, sometimes drastically, with longer follow-up. No assurance can be provided that the ORR, DOR and PFS data from the MZL and FL cohorts of the UNITY-NHL study will be supportive of an FDA approval or will support broad market uptake based on the profile of competitor drugs which may be available. While the MZL and FL cohorts of the UNITY-NHL study met their primary endpoint, each cohort of this study is operated and analyzed independently, and no assurance can be given that other cohorts from the UNITY-NHL study, including the MCL cohort, the DLBCL cohort, or the SLL patients enrolled within the FL/SLL cohort will meet their primary endpoint, have a positive outcome, or will be supportive of an FDA filing.</w:t>
      </w:r>
    </w:p>
    <w:p>
      <w:pPr>
        <w:spacing w:after="0" w:line="19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All of our Phase 3 and registration 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 risk of fraud, misconduct, incompetence, unexpected patient variability and other issues affecting the quality and the outcome of our Phase 3 and registration directed studies could arise from US or international sites. If that were to occur, the study could be negatively impacted, potentially even preventing it from being useful for regulatory approval. If such event were to occur, it would have a substantial negative impact on our business.</w:t>
      </w:r>
    </w:p>
    <w:p>
      <w:pPr>
        <w:spacing w:after="0" w:line="193"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All of our current Phase 3 and registration directed studies such as UNITY-CLL, UNITY-NHL and ULTIMATE I and II trials utilize blinded, independent, central review to assess the primary endpoint of such studies. If the results from interim analyses are not consistent with final results or results from our registration directed trials are different from the results found in the earlier studies of ublituximab and umbralisib, we may need to terminate or revise our clinical development plan, which could extend the time for conducting our development program and could have a material adverse effect on our business. For example, we recently presented to the FDA, interim results from the MZL cohort of our UNITY-NHL trial that supported the granting of Breakthrough Therapy Designation (BTD). These interim results were also presented at the 2019 American Association of Cancer Research (AACR) annual meeting, 2019 American Society of Clinical Oncology (ASCO) annual meeting, and the 2019 International Conference on Malignant Lymphoma (ICML). No assurance can be given that the final results from that cohort or FL cohort will reflect the activity seen in these interim results, or that the final results will be sufficient to file for accelerated approval for umbralisib for the treatment of MZL and FL, and if filed that umbralisib will receive accelerated approval. Similarly, while early Phase 1 data for umbralisib and ublituximab alone and together looked promising there is no assurance that the UNITY-CLL trial will be positive. Moreover, while we believe one of the key differentiators for umbralisib is its tolerability and side effect profile compared to other drugs in the same class, no assurance can be given that a differentiated safety and tolerability profile will be realized in our Phase 3 or registration directed trials such as UNITY-CLL or UNITY-NHL. Specifically, we have not yet assessed the final safety data from the MZL or FL cohorts of the UNITY-NHL study as patients continue on therapy, therefore there can be no assurance given that the final safety data, once fully analyzed, will be consistent with prior safety data presented on umbralisib, will be differentiated from other similar agents in the same class, or that it will be favorable enough to support an FDA filing. In addition, no assurance can be given that new toxicities, or an increase in the severity or frequency of previously seen toxicities, will not be observed, which could have a material negative impact on the approvability or marketability of umbralisib or any of our product candidates. Finally, while the Phase 2 data for ublituximab in MS looked promising, no assurance can be given that the profile will carry into Phase 3 and that the ULTIMATE I and II clinical trials will be positive.</w:t>
      </w:r>
    </w:p>
    <w:p>
      <w:pPr>
        <w:spacing w:after="0" w:line="187"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In addition to umbralisib and ublituximab, we have a number of compounds in early clinical development, such as TG-1501, TG-1701 and TG-1801. Many drug candidates fail in the early stages of clinical development for safety and tolerability issues, despite promising pre-clinical results. Accordingly, no assurance can be made that a safe and efficacious dose can be found for these compounds or that they will ever enter into advanced clinical trials alone or in combination with umbralisib and/or ublituximab.</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7" w:name="page38"/>
    <w:bookmarkEnd w:id="37"/>
    <w:p>
      <w:pPr>
        <w:ind w:right="2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4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drug candidates umbralisib and ublituximab are in several Phase 3 and registration directed clinical trials such as UNITY-CLL, UNITY-NHL and ULTIMATE I and II. As with all clinical trials,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Accordingly, our current Phase 3 and registration directed trials, such as UNITY-CLL, UNITY-NHL and ULTIMATE I and II and future clinical trials may not be successful.</w:t>
      </w:r>
    </w:p>
    <w:p>
      <w:pPr>
        <w:spacing w:after="0" w:line="178" w:lineRule="exact"/>
        <w:rPr>
          <w:sz w:val="20"/>
          <w:szCs w:val="20"/>
          <w:color w:val="auto"/>
        </w:rPr>
      </w:pPr>
    </w:p>
    <w:p>
      <w:pPr>
        <w:ind w:right="560" w:firstLine="486"/>
        <w:spacing w:after="0" w:line="286" w:lineRule="auto"/>
        <w:rPr>
          <w:sz w:val="20"/>
          <w:szCs w:val="20"/>
          <w:color w:val="auto"/>
        </w:rPr>
      </w:pPr>
      <w:r>
        <w:rPr>
          <w:rFonts w:ascii="Arial" w:cs="Arial" w:eastAsia="Arial" w:hAnsi="Arial"/>
          <w:sz w:val="17"/>
          <w:szCs w:val="17"/>
          <w:color w:val="auto"/>
        </w:rPr>
        <w:t>Successful completion of our clinical trials is a prerequisite to submitting an NDA, or a BLA to the U.S. FDA and a Marketing Authorization Application (“MAA”), in the European Union for each drug candidate and, consequently, the ultimate approval and commercial marketing of our drug candidates. We do not know whether any of our clinical trials for our drug candidates will be completed on schedule, if at all.</w:t>
      </w:r>
    </w:p>
    <w:p>
      <w:pPr>
        <w:spacing w:after="0" w:line="16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Whether or not and how quickly we complete clinical trials is dependent in part upon the rate at which we are able to engage clinical research/trial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during, or as a result of, any current or future clinical trials that we may conduct that could delay or prevent our ability to receive marketing approval or commercialize our drug candidates, including:</w:t>
      </w:r>
    </w:p>
    <w:p>
      <w:pPr>
        <w:spacing w:after="0" w:line="189" w:lineRule="exact"/>
        <w:rPr>
          <w:sz w:val="20"/>
          <w:szCs w:val="20"/>
          <w:color w:val="auto"/>
        </w:rPr>
      </w:pPr>
    </w:p>
    <w:p>
      <w:pPr>
        <w:ind w:left="820" w:right="300" w:hanging="326"/>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 w:lineRule="exact"/>
        <w:rPr>
          <w:rFonts w:ascii="Arial" w:cs="Arial" w:eastAsia="Arial" w:hAnsi="Arial"/>
          <w:sz w:val="18"/>
          <w:szCs w:val="18"/>
          <w:color w:val="auto"/>
        </w:rPr>
      </w:pPr>
    </w:p>
    <w:p>
      <w:pPr>
        <w:ind w:left="820" w:right="20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authorities or institutional review boards (“IRBs”), or ethics committees may not authorize us or our investigators to commence a clinical trial or conduct a clinical trial at a prospective trial site or country;</w:t>
      </w:r>
    </w:p>
    <w:p>
      <w:pPr>
        <w:ind w:left="820" w:right="2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ind w:left="820" w:right="34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health authorities may require us, to conduct additional pre-clinical studies or clinical trials or we may decide to abandon drug development programs;</w:t>
      </w:r>
    </w:p>
    <w:p>
      <w:pPr>
        <w:ind w:left="820" w:right="16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Arial" w:cs="Arial" w:eastAsia="Arial" w:hAnsi="Arial"/>
          <w:sz w:val="18"/>
          <w:szCs w:val="18"/>
          <w:color w:val="auto"/>
        </w:rPr>
      </w:pPr>
    </w:p>
    <w:p>
      <w:pPr>
        <w:ind w:left="820" w:right="10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8"/>
          <w:szCs w:val="18"/>
          <w:color w:val="auto"/>
        </w:rPr>
      </w:pPr>
    </w:p>
    <w:p>
      <w:pPr>
        <w:ind w:left="820" w:right="8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elect to, or health authorities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9" w:lineRule="exact"/>
        <w:rPr>
          <w:rFonts w:ascii="Arial" w:cs="Arial" w:eastAsia="Arial" w:hAnsi="Arial"/>
          <w:sz w:val="18"/>
          <w:szCs w:val="18"/>
          <w:color w:val="auto"/>
        </w:rPr>
      </w:pPr>
    </w:p>
    <w:p>
      <w:pPr>
        <w:ind w:left="820" w:right="32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and</w:t>
      </w:r>
    </w:p>
    <w:p>
      <w:pPr>
        <w:jc w:val="both"/>
        <w:ind w:left="820" w:right="60" w:hanging="326"/>
        <w:spacing w:after="0" w:line="255"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health authorities, IRBs or ethics committees to suspend or terminate the trials, or reports may arise from pre-clinical or clinical testing of other cancer therapies that raise safety or efficacy concerns about our drug candidates.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8" w:name="page39"/>
    <w:bookmarkEnd w:id="38"/>
    <w:p>
      <w:pPr>
        <w:ind w:firstLine="486"/>
        <w:spacing w:after="0" w:line="283"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DSMB for such trial or by the FDA or other regulatory authorities. Such health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DSMBs for the UNITY-CLL and UNITY-NHL studies meet regularly to review ongoing safety from these studies, in an unblinded manner if applicable, and may recommend modification to the study design or closure of the study entirely based on their interpretation of the benefit/risk of the study. While we develop charters that guide the nature of the DSMB’s meetings, their analysis and interpretation of study data occurs independently from us and is wholly within their control. Even if the DSMB finds no safety concerns and recommends no modifications to our ongoing studies, this does not mean the safety profile of these studies may support a marketing approval.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 This could happen even for a protocol that has received an SPA. In September 2015, we announced a Phase 3 clinical trial for the combination of ublituximab plus umbralisib for patients with CLL, which is being conducted pursuant to an SPA with the FDA and in August 2017 we announced an SPA for our registration program for ublituximab in RMS. Many companies which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while changes or amendments to protocols are common during conduct of a clinical trial, protocol changes or amendments to a study that is being conducted under SPA will have to be reviewed and approved by the FDA to verify that the SPA agreement is still valid. The FDA’s willingness to agree to changes or amendments to a protocol or statistical analysis plan under SPA agreement is wholly within their discretion. Such re-reviews also provide an opportunity for the FDA to scrutinize any aspect of the study design and conduct, even if previously agreed to under the existing SPA. Failure to reach agreement with the FDA for routine protocol changes or modifications for any study we conduct under SPA could have a material negative impact to our ability to execute these studies. Even if the primary endpoint in a Phase 3 clinical trial is achieved, a SPA does not guarantee approval. While UNITY-CLL is being operated in a blinded manner, it is an open label study; meaning that trial participants, investigators, site staff, some employees of our contract research organizations, and our field level employees (i.e. clinical research associates, monitors, etc.), among others, have knowledge of treatment arm assignments on a patient-level, which has the potential to introduce bias into study conduct. Further, while the ULTIMATE 1 and 2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prior to making its final decision.</w:t>
      </w:r>
    </w:p>
    <w:p>
      <w:pPr>
        <w:spacing w:after="0" w:line="200" w:lineRule="exact"/>
        <w:rPr>
          <w:sz w:val="20"/>
          <w:szCs w:val="20"/>
          <w:color w:val="auto"/>
        </w:rPr>
      </w:pPr>
    </w:p>
    <w:p>
      <w:pPr>
        <w:spacing w:after="0" w:line="20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7"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Our drug development costs will also increase if we experience delays in testing or regulatory approvals.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 We do not know whether any of our clinical trials will begin as planned, will need to be restructured or will be completed on schedule, or at all. Certain clinical trials are designed to continue until a pre-determined number of events have occurred in the patients enrolled. Trials such as this are subject to delays stemming from patient withdrawal and from lower than expected event rates. UNITY-CLL is an event-driven study, which means the study can only end when a certain pre-specified number of events have occurred. In the case of UNITY-CLL, an event is defined as disease progression or death. Given that these events cannot be predicted with certainty, predicting accurately when this study will reach a sufficient number of events to be complete is impossible. We have stated we believe the number of events can be reached by the end of 2019 or at some point in 2020 but there can be no assurance that this will occur and timelines for the completion of this study should not be relied upon given this inherent uncertainty. Delays beyond early 2020 could have a material and adverse impact on the Company.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75"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clinical trial results for accelerated approval are subject to the FDA’s discretion.</w:t>
      </w:r>
    </w:p>
    <w:p>
      <w:pPr>
        <w:spacing w:after="0" w:line="225"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have and will continue to explore strategies for ublituximab and/or umbralisib that involve use of the FDA’s accelerated approval pathway. Obtaining accelerated approval for an agent requires demonstration of meaningful benefit over all available therapies for a serious condition.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are currently awaiting final results from our UNITY-NHL trial, in particular the MZL and FL cohorts, which we are hoping will be useful for accelerated approval if positive. Even if the results are positive, no assurance can be given that umbralisib will obtain accelerated approval for a variety of reasons, including if a new treatment receives full approval prior to our potential receipt of accelerated approval. Previously, we were hopeful to utilize the results from our GENUINE study for accelerated approval but the intervening full approval of a drug called venetoclax for relapsed/refractory CLL has made that potential application</w:t>
      </w:r>
    </w:p>
    <w:p>
      <w:pPr>
        <w:sectPr>
          <w:pgSz w:w="11900" w:h="16838" w:orient="portrait"/>
          <w:cols w:equalWidth="0" w:num="1">
            <w:col w:w="11420"/>
          </w:cols>
          <w:pgMar w:left="240" w:top="800" w:right="239" w:bottom="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more challenging. While no final decision has been made as to the filing of the GENUINE study for accelerated approval, the Company is uncertain in regard to any filing at this time. We recently announced that final results from the GENUINE study demonstrated improved progression-free survival for the combination arm compared to ibrutinib alone. Despite this positive outcome, no assurance can be given that a filing based on the GENUINE results will ever be made, or if made would result in a favorable review by regulatory authorities.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ind w:right="280" w:firstLine="486"/>
        <w:spacing w:after="0" w:line="308" w:lineRule="auto"/>
        <w:rPr>
          <w:sz w:val="20"/>
          <w:szCs w:val="20"/>
          <w:color w:val="auto"/>
        </w:rPr>
      </w:pPr>
      <w:r>
        <w:rPr>
          <w:rFonts w:ascii="Arial" w:cs="Arial" w:eastAsia="Arial" w:hAnsi="Arial"/>
          <w:sz w:val="17"/>
          <w:szCs w:val="17"/>
          <w:color w:val="auto"/>
        </w:rPr>
        <w:t>Finally,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4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70"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7"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As is the case with all drugs, it is likely that there will be side effects associated with the use of our drug candidates.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7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with a significantly larger number of patients exposed to the drug candidate in Phase 3 or registration directed trials and on the market.</w:t>
      </w:r>
    </w:p>
    <w:p>
      <w:pPr>
        <w:spacing w:after="0" w:line="18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currently running our Phase 3 and registration-directed trials, such as UNITY-CLL, UNITY-NHL and ULTIMATE I and II and have not completed testing of any of our product candidates for the treatment of the indications for which we intend to seek product approval in humans, and we currently do not know the extent that the adverse events, if any, will be observed in patients who receive any of our product candidates. To date, clinical trials using ublituximab and umbralisib have demonstrated a toxicity profile that was deemed acceptable by the investigators performing such studies. Such interpretation may not be shared by future investigators or by the health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found in our on-going Phase 3 and registration-directed trials. Particularly, with respect to umbralisib, although over 1,000 patients to date have been dosed amongst all ongoing umbralisib studies, the full adverse effect profile of umbralisib is not known. As additional patients are exposed for longer durations to umbralisib, it is unknown whether greater frequency and/or severity of adverse events are likely to occur. Common toxicities of other drugs in the same class as umbralisib include high levels of liver toxicity, infections and colitis, the latter of which notably has presented with later onset, with 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Additionally, in drug-combination clinical development, there is an inherent risk of drug-drug interactions between combination agents which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TG-1501,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1" w:name="page42"/>
    <w:bookmarkEnd w:id="41"/>
    <w:p>
      <w:pPr>
        <w:ind w:right="180" w:firstLine="486"/>
        <w:spacing w:after="0" w:line="342" w:lineRule="auto"/>
        <w:rPr>
          <w:sz w:val="20"/>
          <w:szCs w:val="20"/>
          <w:color w:val="auto"/>
        </w:rPr>
      </w:pPr>
      <w:r>
        <w:rPr>
          <w:rFonts w:ascii="Arial" w:cs="Arial" w:eastAsia="Arial" w:hAnsi="Arial"/>
          <w:sz w:val="16"/>
          <w:szCs w:val="16"/>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124"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820" w:right="140" w:hanging="326"/>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contra-indications, or precautions, that could diminish the usage of the product or otherwise limit the commercial success of the affected product;</w:t>
      </w: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spacing w:after="0" w:line="9" w:lineRule="exact"/>
        <w:rPr>
          <w:rFonts w:ascii="Arial" w:cs="Arial" w:eastAsia="Arial" w:hAnsi="Arial"/>
          <w:sz w:val="18"/>
          <w:szCs w:val="18"/>
          <w:color w:val="auto"/>
        </w:rPr>
      </w:pPr>
    </w:p>
    <w:p>
      <w:pPr>
        <w:ind w:left="820" w:right="240" w:hanging="326"/>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a product candidate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 warning, could significantly impact our ability to successfully market our product candidates. Finally, the FDA may require adoption of a REMS requiring prescriber training, post-market registries, or otherwise restricting the marketing and dissemination of these products. Despite the time and expense invested in the clinical development of product candidates, regulatory approval is never guaranteed. Assuming successful clinical development, we intend to seek product approvals in countries outside the United States. As a result, we would be subject to regulation by the EMA, as well as the other regulatory agencies in these countries.</w:t>
      </w:r>
    </w:p>
    <w:p>
      <w:pPr>
        <w:spacing w:after="0" w:line="173"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73" w:lineRule="exact"/>
        <w:rPr>
          <w:sz w:val="20"/>
          <w:szCs w:val="20"/>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3" w:lineRule="exact"/>
        <w:rPr>
          <w:rFonts w:ascii="Arial" w:cs="Arial" w:eastAsia="Arial" w:hAnsi="Arial"/>
          <w:sz w:val="18"/>
          <w:szCs w:val="18"/>
          <w:color w:val="auto"/>
        </w:rPr>
      </w:pPr>
    </w:p>
    <w:p>
      <w:pPr>
        <w:ind w:left="880" w:right="120" w:hanging="332"/>
        <w:spacing w:after="0" w:line="250"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 indication;</w:t>
      </w:r>
    </w:p>
    <w:p>
      <w:pPr>
        <w:ind w:left="880" w:right="300" w:hanging="332"/>
        <w:spacing w:after="0" w:line="250"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the United States;</w:t>
      </w:r>
    </w:p>
    <w:p>
      <w:pPr>
        <w:ind w:left="880" w:right="80" w:hanging="332"/>
        <w:spacing w:after="0" w:line="250"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880" w:right="740" w:hanging="332"/>
        <w:spacing w:after="0" w:line="250"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880" w:right="20" w:hanging="332"/>
        <w:spacing w:after="0" w:line="265"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ind w:left="880" w:right="120" w:hanging="332"/>
        <w:spacing w:after="0" w:line="261"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2" w:name="page43"/>
    <w:bookmarkEnd w:id="42"/>
    <w:p>
      <w:pPr>
        <w:ind w:right="340"/>
        <w:spacing w:after="0" w:line="340" w:lineRule="auto"/>
        <w:rPr>
          <w:sz w:val="20"/>
          <w:szCs w:val="20"/>
          <w:color w:val="auto"/>
        </w:rPr>
      </w:pPr>
      <w:r>
        <w:rPr>
          <w:rFonts w:ascii="Arial" w:cs="Arial" w:eastAsia="Arial" w:hAnsi="Arial"/>
          <w:sz w:val="15"/>
          <w:szCs w:val="15"/>
          <w:b w:val="1"/>
          <w:bCs w:val="1"/>
          <w:i w:val="1"/>
          <w:iCs w:val="1"/>
          <w:color w:val="auto"/>
        </w:rPr>
        <w:t>A breakthrough therapy designation by the FDA for our drug candidates, including umbralisib for the treatment of adult patients with relapsed or refractory Marginal Zone Lymphoma who have received at least one prior treatment including an ant i-CD20 monoclonal antibody, may not lead to a faster development or regulatory review or approval process, and it does not ensure that our drug candidates will receive marketing approval.</w:t>
      </w:r>
    </w:p>
    <w:p>
      <w:pPr>
        <w:spacing w:after="0" w:line="13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In January 2019, the FDA granted breakthrough therapy designation (also referred to as BTD)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be positive and support a filing for accelerated approval.</w:t>
      </w:r>
    </w:p>
    <w:p>
      <w:pPr>
        <w:spacing w:after="0" w:line="16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Designation as a breakthrough therapy is wholly within the discretion of the FDA. Accordingly, even if we believe one of our drug candidates meets the criteria for designation as a breakthrough therapy, the FDA may disagree and instead determine not to grant such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25"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We may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While we have received orphan drug designation for umbralisib and ublituximab for specified indications, we may seek additional orphan drug designation for those and some of our other drug candidates. However, we may be unsuccessful in obtaining or may be unable to maintain the benefits associated with orphan drug designation, including the potential for market exclusivity.</w:t>
      </w:r>
    </w:p>
    <w:p>
      <w:pPr>
        <w:spacing w:after="0" w:line="18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Ublituximab received orphan-drug designation from the FDA for the treatment of MZL (Nodal and Extranodal) in September 2013, for the treatment of CLL in August of 2010, and orphan-drug designation by the EMA for the treatment of CLL in November of 2009. We also obtained orphan drug designation for umbralisib as monotherapy for the treatment of CLL in August 2016 and all three types of MZL (nodal, extranodal and splenic) in April 2019, and in January 2017, we announced that the FDA granted Orphan Drug designation covering the combination of ublituximab and umbralisib for the treatment of patients with CLL and DLBCL. As part of our business strategy, we may seek orphan drug designation for our other drug candidates, and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3" w:name="page44"/>
    <w:bookmarkEnd w:id="43"/>
    <w:p>
      <w:pPr>
        <w:ind w:right="100" w:firstLine="486"/>
        <w:spacing w:after="0" w:line="270"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site additions, scale-up and process improvements implemented in the production of those product candidates may affect their ultimate activity or function.</w:t>
      </w:r>
    </w:p>
    <w:p>
      <w:pPr>
        <w:spacing w:after="0" w:line="170"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Our product candidates are in the initial stages of development and are currently manufactured in relatively small batches for use in pre-clinical and clinical studies. Process improvements implemented to date have changed, and process improvements in the future may change, the activity/ and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then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and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U2 combination based on the results of the UNITY-CLL study. In such circumstances, that would have a material adverse effect on the Company.</w:t>
      </w:r>
    </w:p>
    <w:p>
      <w:pPr>
        <w:spacing w:after="0" w:line="17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8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we have engaged a secondary manufacturer for ublituximab to meet our current clinical and future commercial needs and anticipate engaging additional manufacturing sources for umbralisib to meet expanded clinical trial and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early clinical trials presented publicly or reported in this or any previous filing, or that the relevant regulatory agencies will agree with our interpretation of comparability.</w:t>
      </w:r>
    </w:p>
    <w:p>
      <w:pPr>
        <w:spacing w:after="0" w:line="17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addition, as we move closer to commercialization for ublituximab and umbralisib we will need to scale-up production to ensure adequate commercial supply. We are currently in the process of scaling up ublituximab.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The precise incidence and/or prevalence of CLL, relapsed/refractory MZL, relapsed/refractory FL and MS are unknown. Our projections of both the number of people who are affected by disease within our target indications, as well as the subset of these people who have the potential to benefit from treatment with our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158"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The total addressable market opportunity for umbralisib and ublituximab for the treatment of patients with CLL, MZL, FL and MS will ultimately depend upon, among other things, the final label indication, approval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the cancer indications for which we are developing our products there are a number of established therapies with which we will compete:</w:t>
      </w:r>
    </w:p>
    <w:p>
      <w:pPr>
        <w:spacing w:after="0" w:line="237" w:lineRule="exact"/>
        <w:rPr>
          <w:sz w:val="20"/>
          <w:szCs w:val="20"/>
          <w:color w:val="auto"/>
        </w:rPr>
      </w:pPr>
    </w:p>
    <w:p>
      <w:pPr>
        <w:ind w:left="820" w:hanging="326"/>
        <w:spacing w:after="0" w:line="253"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treatment of CLL, if U2 is approved, we expect U2 to compete with recently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3" w:lineRule="exact"/>
        <w:rPr>
          <w:rFonts w:ascii="Arial" w:cs="Arial" w:eastAsia="Arial" w:hAnsi="Arial"/>
          <w:sz w:val="18"/>
          <w:szCs w:val="18"/>
          <w:color w:val="auto"/>
        </w:rPr>
      </w:pPr>
    </w:p>
    <w:p>
      <w:pPr>
        <w:ind w:left="820" w:right="640" w:hanging="326"/>
        <w:spacing w:after="0" w:line="265"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the treatment of Marginal Zone Lymphoma, if approved, we expect umbralisib to compete with ibrutinib (AbbVie and Janssen) and established treatments such as rituximab and several generically available chemotherapies. Additionally, the combination of rituximab and lenalidomide (Celgene) has recently been approved by the FDA for the treatment of relapsed MZL.</w:t>
      </w:r>
    </w:p>
    <w:p>
      <w:pPr>
        <w:ind w:left="820" w:right="260" w:hanging="326"/>
        <w:spacing w:after="0" w:line="265"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the treatment of Follicular Lymphoma, if approved, we expect umbralisib to compete with recently approved drugs such as obinutuzumab (Roche), idelalisib (Gilead), copanlisib (Bayer), and duvelisib (Verastem), and established treatments such as rituximab (Roche), and several generically available chemotherapies. Each of these agents can be used as monotherapy or in combination with one or more of the other agents. The combination of rituximab and lenalidomide (Celgene) has also been studied in FL and has recently been approved by the FDA for the treatment of relapsed FL. There are also several PI3K delta inhibitors in earlier stages of development.</w:t>
      </w:r>
    </w:p>
    <w:p>
      <w:pPr>
        <w:spacing w:after="0" w:line="1" w:lineRule="exact"/>
        <w:rPr>
          <w:rFonts w:ascii="Arial" w:cs="Arial" w:eastAsia="Arial" w:hAnsi="Arial"/>
          <w:sz w:val="17"/>
          <w:szCs w:val="17"/>
          <w:color w:val="auto"/>
        </w:rPr>
      </w:pPr>
    </w:p>
    <w:p>
      <w:pPr>
        <w:ind w:left="820" w:right="20" w:hanging="326"/>
        <w:spacing w:after="0" w:line="255"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5" w:name="page46"/>
    <w:bookmarkEnd w:id="45"/>
    <w:p>
      <w:pPr>
        <w:ind w:left="500"/>
        <w:spacing w:after="0"/>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225" w:lineRule="exact"/>
        <w:rPr>
          <w:sz w:val="20"/>
          <w:szCs w:val="20"/>
          <w:color w:val="auto"/>
        </w:rPr>
      </w:pPr>
    </w:p>
    <w:p>
      <w:pPr>
        <w:ind w:left="820" w:right="140" w:hanging="326"/>
        <w:spacing w:after="0" w:line="259"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12-24 months.</w:t>
      </w:r>
    </w:p>
    <w:p>
      <w:pPr>
        <w:spacing w:after="0" w:line="18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TG-1501, TG-1701 and TG-1801 if approved will also face competition from drugs on the market and under development that have the same mechanism of action as each of those drugs.</w:t>
      </w:r>
    </w:p>
    <w:p>
      <w:pPr>
        <w:spacing w:after="0" w:line="17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1"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87"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11"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would also be necessary for commercial success. The degree of market acceptance of any approved product would depend on a number of factors, including:</w:t>
      </w:r>
    </w:p>
    <w:p>
      <w:pPr>
        <w:spacing w:after="0" w:line="147"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of the product candidate in a broader patient group;</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the product candidate;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46" w:name="page47"/>
    <w:bookmarkEnd w:id="46"/>
    <w:p>
      <w:pPr>
        <w:ind w:right="120" w:firstLine="48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89"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70"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p>
      <w:pPr>
        <w:ind w:right="220" w:firstLine="486"/>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was enacted in 2010 and made significant changes to the United States’ healthcare system. The ACA and any revisions or replacements of that Act, any substitute legislation, and other changes in the law or regulatory framework could have a material adverse effect on our business.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Among the provisions of the ACA, those of importance to our potential product candidates are:</w:t>
      </w:r>
    </w:p>
    <w:p>
      <w:pPr>
        <w:spacing w:after="0" w:line="225" w:lineRule="exact"/>
        <w:rPr>
          <w:sz w:val="20"/>
          <w:szCs w:val="20"/>
          <w:color w:val="auto"/>
        </w:rPr>
      </w:pPr>
    </w:p>
    <w:p>
      <w:pPr>
        <w:ind w:left="820" w:right="360" w:hanging="326"/>
        <w:spacing w:after="0" w:line="258"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 w:lineRule="exact"/>
        <w:rPr>
          <w:rFonts w:ascii="Arial" w:cs="Arial" w:eastAsia="Arial" w:hAnsi="Arial"/>
          <w:sz w:val="18"/>
          <w:szCs w:val="18"/>
          <w:color w:val="auto"/>
        </w:rPr>
      </w:pPr>
    </w:p>
    <w:p>
      <w:pPr>
        <w:ind w:left="820" w:right="500" w:hanging="326"/>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820" w:right="400" w:hanging="326"/>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ind w:left="820" w:right="160" w:hanging="326"/>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Arial" w:cs="Arial" w:eastAsia="Arial" w:hAnsi="Arial"/>
          <w:sz w:val="18"/>
          <w:szCs w:val="18"/>
          <w:color w:val="auto"/>
        </w:rPr>
      </w:pPr>
    </w:p>
    <w:p>
      <w:pPr>
        <w:ind w:left="820" w:right="420" w:hanging="326"/>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ind w:left="820" w:right="20" w:hanging="326"/>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Pricing Program;</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all of which will impact existing government healthcare programs and will result in the development of new programs; and</w:t>
      </w:r>
    </w:p>
    <w:p>
      <w:pPr>
        <w:ind w:left="820" w:right="360" w:hanging="326"/>
        <w:spacing w:after="0" w:line="261"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w:t>
      </w:r>
    </w:p>
    <w:p>
      <w:pPr>
        <w:spacing w:after="0" w:line="188"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United States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 At the end of 2017, Congress passed the Tax Cuts and Jobs Act, which repealed the penalty for individuals who fail to maintain minimum essential health coverage as required by the ACA. Following this legislation, Texas and 19 other states filed a lawsuit alleging that the ACA is unconstitutional as the individual mandate was repealed, undermining the legal basis for the Supreme Court’s prior decision. On December 14, 2018, Texas federal district court judge Reed O’Connor issued a ruling declaring that the ACA in its entirety is unconstitutional. While this decision has no immediate legal effect on the ACA and its provisions, this lawsuit is ongoing and the outcome through the appeals process may have a significant impact on our business.</w:t>
      </w:r>
    </w:p>
    <w:p>
      <w:pPr>
        <w:spacing w:after="0" w:line="193"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The Bipartisan Budget Act of 2018, the “BBA,” which set government spending levels for Fiscal Years 2018 and 2019, revised certain provisions of the ACA. Specifically, beginning in 2019, the BBA increased manufacturer point-of-sale discounts off negotiated prices of applicable brand drugs in the Medicare Part D coverage gap from 50% to 70%, ultimately increasing the liability for brand drug manufacturers. Further, this mandatory manufacturer discount applied to biosimilars beginning in 2019.</w:t>
      </w:r>
    </w:p>
    <w:p>
      <w:pPr>
        <w:spacing w:after="0" w:line="187" w:lineRule="exact"/>
        <w:rPr>
          <w:sz w:val="20"/>
          <w:szCs w:val="20"/>
          <w:color w:val="auto"/>
        </w:rPr>
      </w:pPr>
    </w:p>
    <w:p>
      <w:pPr>
        <w:ind w:right="240" w:firstLine="486"/>
        <w:spacing w:after="0" w:line="271" w:lineRule="auto"/>
        <w:rPr>
          <w:sz w:val="20"/>
          <w:szCs w:val="20"/>
          <w:color w:val="auto"/>
        </w:rPr>
      </w:pPr>
      <w:r>
        <w:rPr>
          <w:rFonts w:ascii="Arial" w:cs="Arial" w:eastAsia="Arial" w:hAnsi="Arial"/>
          <w:sz w:val="17"/>
          <w:szCs w:val="17"/>
          <w:color w:val="auto"/>
        </w:rPr>
        <w:t>The 116th Congress has explored legislation intended to address the cost of prescription drugs. Notably, the major committees of jurisdiction in the Senate (Finance Committee, Health, Education, Labor and Pensions Committee, and Judiciary Committee), have marked up legislation intended to address various elements of the prescription drug supply chain. Proposals include a significant overhaul of the Medicare Part D benefit design, addressing patent “loopholes”, and efforts to cap the increase in drug prices. The House Energy and Commerce Committee approved drug-related legislation intended to increase transparency of drug prices and also curb anti-competitive behavior in the pharmaceutical supply chain. In addition, the House Ways &amp; Means Committee approved legislation intended to improve drug price transparency, including for drug manufacturers to justify certain price increases. While we cannot predict what proposals may ultimately become law, the elements under consideration could significantly change the landscape in which the pharmaceutical market operates.</w:t>
      </w:r>
    </w:p>
    <w:p>
      <w:pPr>
        <w:spacing w:after="0" w:line="1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Trump Administration has also taken several regulatory steps to redirect ACA implementation. The Department of Health and Human Services (“HHS”) finalized Medicare fee-for-service hospital payment reductions for Part B drugs acquired through the 340B Drug Pricing Program, which has been overturned by the courts. HHS also has signaled its intent to continue to pursue reimbursement policy changes for Medicare Part B drugs as a whole that likely would reduce hospital and physician reimbursement for these drugs.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112" w:gutter="0" w:footer="0" w:header="0"/>
        </w:sectPr>
      </w:pPr>
    </w:p>
    <w:bookmarkStart w:id="48" w:name="page49"/>
    <w:bookmarkEnd w:id="48"/>
    <w:p>
      <w:pPr>
        <w:ind w:right="40" w:firstLine="486"/>
        <w:spacing w:after="0" w:line="270" w:lineRule="auto"/>
        <w:rPr>
          <w:sz w:val="20"/>
          <w:szCs w:val="20"/>
          <w:color w:val="auto"/>
        </w:rPr>
      </w:pPr>
      <w:r>
        <w:rPr>
          <w:rFonts w:ascii="Arial" w:cs="Arial" w:eastAsia="Arial" w:hAnsi="Arial"/>
          <w:sz w:val="17"/>
          <w:szCs w:val="17"/>
          <w:color w:val="auto"/>
        </w:rPr>
        <w:t>HHS has made numerous other proposals aimed at lowering drug prices for Medicare beneficiaries and increasing price transparency. These proposals include giving Medicare Advantage and Part D plans flexibility in the availability of drugs in “protected classes,” more transparency in the cost of drugs, including the beneficiary’s financial liability, and less costly alternatives and permitting the use of step therapy as a means of prior authorization. HHS has also proposed requiring that pharmaceutical manufacturers disclose the prices of certain drugs in direct-to-consumer television advertisements. The proposal related to protected classes has been withdrawn and the disclosure requirements have been rejected by the courts. In addition, a proposed rule that would have passed drug rebates to consumers at the point of sale also has been withdrawn. However, it appears the Trump Administration will continue to explore its authority to make regulatory changes to the pharmaceutical industry. For example, the Trump Administration released an Advance Notice of Proposed Rulemaking related to an international price index model. It is unclear what eventually will be proposed, but the President has alluded to the concept of “most favored nation” pricing with regard to U.S. drug purchasing. In addition, HHS, in conjunction with the FDA, announced that it will be exploring a reimportation pathway in certain instances and for certain drugs.</w:t>
      </w:r>
    </w:p>
    <w:p>
      <w:pPr>
        <w:spacing w:after="0" w:line="178"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HHS also has taken steps to increase the availability of cheaper health insurance options, typically with fewer benefits. The Trump Administration has also signaled its intention to address drug prices and to increase competition, including by increasing the availability of biosimilars and generic drugs. As these are regulatory actions, a new administration could undo or modify these efforts.</w:t>
      </w:r>
    </w:p>
    <w:p>
      <w:pPr>
        <w:spacing w:after="0" w:line="18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There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87"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70"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8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In addition, on October 12, 2017, the President released an Executive Order intended to promote health care choices and competition and on June 24, 2019, the President released an Executive Order intended to improve price transparency and quality transparency. These may push HHS, FDA, and other relevant agencies to engage in rulemaking that may impact the pharmaceutical industry.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680" w:gutter="0" w:footer="0" w:header="0"/>
        </w:sectPr>
      </w:pPr>
    </w:p>
    <w:bookmarkStart w:id="49" w:name="page50"/>
    <w:bookmarkEnd w:id="49"/>
    <w:p>
      <w:pPr>
        <w:ind w:right="340"/>
        <w:spacing w:after="0" w:line="26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8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advance of FDA approval of our first product, we will need to make significant investments to build a commercial organization and infrastructure. We will need to hire a sales force and commercial support personnel, in order to build processes and systems to support a commercial launch prior to knowing whether our product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225"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20" w:lineRule="exact"/>
        <w:rPr>
          <w:rFonts w:ascii="Arial" w:cs="Arial" w:eastAsia="Arial" w:hAnsi="Arial"/>
          <w:sz w:val="17"/>
          <w:szCs w:val="17"/>
          <w:color w:val="auto"/>
        </w:rPr>
      </w:pPr>
    </w:p>
    <w:p>
      <w:pPr>
        <w:ind w:left="820" w:right="400" w:hanging="326"/>
        <w:spacing w:after="0" w:line="250"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0" w:name="page51"/>
    <w:bookmarkEnd w:id="50"/>
    <w:p>
      <w:pPr>
        <w:ind w:right="5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89" w:lineRule="exact"/>
        <w:rPr>
          <w:sz w:val="20"/>
          <w:szCs w:val="20"/>
          <w:color w:val="auto"/>
        </w:rPr>
      </w:pPr>
    </w:p>
    <w:p>
      <w:pPr>
        <w:ind w:left="820" w:right="120" w:hanging="326"/>
        <w:spacing w:after="0" w:line="253"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Arial" w:cs="Arial" w:eastAsia="Arial" w:hAnsi="Arial"/>
          <w:sz w:val="18"/>
          <w:szCs w:val="18"/>
          <w:color w:val="auto"/>
        </w:rPr>
      </w:pPr>
    </w:p>
    <w:p>
      <w:pPr>
        <w:ind w:left="820" w:right="20" w:hanging="326"/>
        <w:spacing w:after="0" w:line="250"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Arial" w:cs="Arial" w:eastAsia="Arial" w:hAnsi="Arial"/>
          <w:sz w:val="18"/>
          <w:szCs w:val="18"/>
          <w:color w:val="auto"/>
        </w:rPr>
      </w:pPr>
    </w:p>
    <w:p>
      <w:pPr>
        <w:ind w:left="820" w:right="100" w:hanging="326"/>
        <w:spacing w:after="0" w:line="250"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ind w:left="820" w:right="320" w:hanging="326"/>
        <w:spacing w:after="0" w:line="281"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2" w:lineRule="exact"/>
        <w:rPr>
          <w:rFonts w:ascii="Arial" w:cs="Arial" w:eastAsia="Arial" w:hAnsi="Arial"/>
          <w:sz w:val="16"/>
          <w:szCs w:val="16"/>
          <w:color w:val="auto"/>
        </w:rPr>
      </w:pPr>
    </w:p>
    <w:p>
      <w:pPr>
        <w:ind w:left="820" w:hanging="326"/>
        <w:spacing w:after="0" w:line="281"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6"/>
          <w:szCs w:val="16"/>
          <w:color w:val="auto"/>
        </w:rPr>
      </w:pPr>
    </w:p>
    <w:p>
      <w:pPr>
        <w:ind w:left="820" w:right="620" w:hanging="326"/>
        <w:spacing w:after="0" w:line="250"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ind w:left="820" w:right="120" w:hanging="326"/>
        <w:spacing w:after="0" w:line="252"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9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1" w:name="page52"/>
    <w:bookmarkEnd w:id="51"/>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82"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4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requirements regarding the distribution of samples to physicians and recordkeeping, and requirements regarding company presentations and interactions with healthcare professionals. Even if we obtain regulatory approval of a product, the approval may be subject to limitations on the indicated uses for which the product may be marketed, be subject to conditions of approval, or contain requirements for costly post-marketing testing and surveillance to monitor the safety and/or efficacy of the product. We also may be subject to state laws and registration requirements covering the distribution of drug products. Later discovery of previously unknown problems with products, manufacturers or manufacturing processes, or failure to comply with regulatory requirements, may result in actions such as:</w:t>
      </w:r>
    </w:p>
    <w:p>
      <w:pPr>
        <w:spacing w:after="0" w:line="178"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marketing or regulatory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11"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 pharmaceutical product candidate cannot be marketed in the United States or other countries until we have completed a rigorous and extensive regulatory review processes, including approval of a brand name. Any brand names we intend to use for ublituximab, umbralisib or any future product candidates will require approval from the FDA regardless of whether we have secured a formal trademark registration from the United States Patent and Trademark Office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ublituximab, umbralisib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ublituximab, umbralisib, or any future product candidates. We do not currently have an agreed upon brand name for umbralisib, and no assurance can be given that we will obtain one in a timely fashion. Any delay in obtaining a brand name for umbralisib or any other of our drug candidates could delay approval and/or commercialization and have a negative impact on our launch and future prospects for umbralisib or any other such drug candidates.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quality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4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order to submit and maintain an Investigational New Drug application (“IND”), BLA, or NDA to the FDA, it is necessary to submit all information on the clinical, non-clinical, chemistry, manufacturing, controls and quality aspects of the product candidate. We rely on our third party contractors and our licensing partners to provide portions of this data. If we are unable to obtain this data, or the data is not sufficient to meet the regulatory requirements, we may experience significant delays in our development programs. While we maintain an active IND for ublituximab and umbralisib enabling the conduct of studies in the FDA’s Division of Hematology and Oncology, and an active IND for ublituximab under the FDA’s Division of Neurology, there can be no assurance that the FDA will allow us to continue the development of our product candidates in those divisions where we maintain an active IND.</w:t>
      </w:r>
    </w:p>
    <w:p>
      <w:pPr>
        <w:spacing w:after="0" w:line="165"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qualified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and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384"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are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3" w:name="page54"/>
    <w:bookmarkEnd w:id="53"/>
    <w:p>
      <w:pPr>
        <w:ind w:right="300" w:firstLine="486"/>
        <w:spacing w:after="0" w:line="276" w:lineRule="auto"/>
        <w:rPr>
          <w:sz w:val="20"/>
          <w:szCs w:val="20"/>
          <w:color w:val="auto"/>
        </w:rPr>
      </w:pPr>
      <w:r>
        <w:rPr>
          <w:rFonts w:ascii="Arial" w:cs="Arial" w:eastAsia="Arial" w:hAnsi="Arial"/>
          <w:sz w:val="17"/>
          <w:szCs w:val="17"/>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3"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4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88"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drug candidates.</w:t>
      </w:r>
    </w:p>
    <w:p>
      <w:pPr>
        <w:spacing w:after="0" w:line="173"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We do not have any long-term supply agreements with all our contract manufacturers. We purchase our required drug supply, including the drug product and drug substance on a purchase order basis. In addition, we may be unable to establish or maintain any agreements with third-party manufacturers or to do so on acceptable terms.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4" w:name="page55"/>
    <w:bookmarkEnd w:id="54"/>
    <w:p>
      <w:pPr>
        <w:ind w:right="100" w:firstLine="486"/>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Moreover, our current long-term supply agreements and, we would expect all future long-term supply agreements would contain certain minimum purchases in what are commonly referred to as “take or pay”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88"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81"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81" w:lineRule="exact"/>
        <w:rPr>
          <w:sz w:val="20"/>
          <w:szCs w:val="20"/>
          <w:color w:val="auto"/>
        </w:rPr>
      </w:pPr>
    </w:p>
    <w:p>
      <w:pPr>
        <w:ind w:right="480" w:firstLine="486"/>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fill/finish suppliers, and we may be unable to enter into such an agreement or do so on commercially reasonable terms, which could have a material adverse impact upon our business.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(“API”), drug product, regulatory starting materials and intermediates for drug substance and other materials used in our drug candidates are our sole source of supply, and the loss of any of these suppliers could significantly harm our business.</w:t>
      </w:r>
    </w:p>
    <w:p>
      <w:pPr>
        <w:spacing w:after="0" w:line="18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The API, drug product and drug substance used in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If any of our suppliers ceases its operations for any reason or is unable or unwilling to supply API, drug product, drug substance and other materials in sufficient quantities or on the timelines necessary to meet our needs, it could significantly and adversely affect our business, the supply of our drug candidates and our financial condition.</w:t>
      </w:r>
    </w:p>
    <w:p>
      <w:pPr>
        <w:spacing w:after="0" w:line="17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In most cases, our manufacturing partners are single source suppliers. It is expected that our manufacturing partners will be sole source suppliers from single site locations for the foreseeable future. Various raw materials, components, and testing services required for our products may also be single sourced.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of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6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For all of our drug candidates, we plan to identify and qualify additional manufacturers and other suppliers to provide such API, drug product and drug substance prior to or following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5" w:name="page56"/>
    <w:bookmarkEnd w:id="55"/>
    <w:p>
      <w:pPr>
        <w:ind w:right="60" w:firstLine="486"/>
        <w:spacing w:after="0" w:line="255" w:lineRule="auto"/>
        <w:rPr>
          <w:sz w:val="20"/>
          <w:szCs w:val="20"/>
          <w:color w:val="auto"/>
        </w:rPr>
      </w:pPr>
      <w:r>
        <w:rPr>
          <w:rFonts w:ascii="Arial" w:cs="Arial" w:eastAsia="Arial" w:hAnsi="Arial"/>
          <w:sz w:val="18"/>
          <w:szCs w:val="18"/>
          <w:color w:val="auto"/>
        </w:rPr>
        <w:t>Establishing additional or replacement suppliers for the API, drug product and drug substance used in our drug candidates, if required, may not be accomplished quickly or at all.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Because we license our intellectual property from third parties and we expect to continue to in-license additional intellectual property rights, if there is any dispute between us and our licensor regarding our rights under a license agreement, our ability to develop and commercialize our product candidates may be adversely affected. Disputes may arise with the third parties from whom we license our intellectual property rights from for a variety of reasons, including:</w:t>
      </w:r>
    </w:p>
    <w:p>
      <w:pPr>
        <w:spacing w:after="0" w:line="147"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license agreement;</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 and obligations associated with sublicensing;</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820" w:right="680" w:hanging="326"/>
        <w:spacing w:after="0" w:line="250"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70"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6" w:name="page57"/>
    <w:bookmarkEnd w:id="56"/>
    <w:p>
      <w:pPr>
        <w:ind w:right="100" w:firstLine="486"/>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82" w:lineRule="exact"/>
        <w:rPr>
          <w:sz w:val="20"/>
          <w:szCs w:val="20"/>
          <w:color w:val="auto"/>
        </w:rPr>
      </w:pPr>
    </w:p>
    <w:p>
      <w:pPr>
        <w:ind w:right="840" w:firstLine="486"/>
        <w:spacing w:after="0" w:line="312" w:lineRule="auto"/>
        <w:rPr>
          <w:sz w:val="20"/>
          <w:szCs w:val="20"/>
          <w:color w:val="auto"/>
        </w:rPr>
      </w:pPr>
      <w:r>
        <w:rPr>
          <w:rFonts w:ascii="Arial" w:cs="Arial" w:eastAsia="Arial" w:hAnsi="Arial"/>
          <w:sz w:val="16"/>
          <w:szCs w:val="16"/>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5"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8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w:t>
      </w:r>
    </w:p>
    <w:p>
      <w:pPr>
        <w:spacing w:after="0" w:line="18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93"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7" w:name="page58"/>
    <w:bookmarkEnd w:id="57"/>
    <w:p>
      <w:pPr>
        <w:ind w:right="40" w:firstLine="486"/>
        <w:spacing w:after="0" w:line="253" w:lineRule="auto"/>
        <w:rPr>
          <w:sz w:val="20"/>
          <w:szCs w:val="20"/>
          <w:color w:val="auto"/>
        </w:rPr>
      </w:pPr>
      <w:r>
        <w:rPr>
          <w:rFonts w:ascii="Arial" w:cs="Arial" w:eastAsia="Arial" w:hAnsi="Arial"/>
          <w:sz w:val="18"/>
          <w:szCs w:val="18"/>
          <w:color w:val="auto"/>
        </w:rPr>
        <w:t>Currently, the composition of matter patent for ublituximab and umbralisib are granted in both the United States and EU, among other countries. A method of use patent covering the combination of ublituximab and umbralisib has also been granted in the US, EU,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our TG-1501, TG-1701 and TG-1801 or for our pre-clinical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and uncertainties include the following:</w:t>
      </w:r>
    </w:p>
    <w:p>
      <w:pPr>
        <w:spacing w:after="0" w:line="225"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23" w:lineRule="exact"/>
        <w:rPr>
          <w:rFonts w:ascii="Arial" w:cs="Arial" w:eastAsia="Arial" w:hAnsi="Arial"/>
          <w:sz w:val="18"/>
          <w:szCs w:val="18"/>
          <w:color w:val="auto"/>
        </w:rPr>
      </w:pPr>
    </w:p>
    <w:p>
      <w:pPr>
        <w:ind w:left="820" w:right="260" w:hanging="326"/>
        <w:spacing w:after="0" w:line="250"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820" w:right="40" w:hanging="326"/>
        <w:spacing w:after="0" w:line="250"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ind w:left="820" w:right="240" w:hanging="326"/>
        <w:spacing w:after="0" w:line="265"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ind w:left="820" w:right="160" w:hanging="326"/>
        <w:spacing w:after="0" w:line="250"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w:t>
      </w:r>
    </w:p>
    <w:p>
      <w:pPr>
        <w:spacing w:after="0" w:line="248"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75"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58" w:name="page59"/>
    <w:bookmarkEnd w:id="58"/>
    <w:p>
      <w:pPr>
        <w:ind w:firstLine="486"/>
        <w:spacing w:after="0" w:line="255" w:lineRule="auto"/>
        <w:rPr>
          <w:sz w:val="20"/>
          <w:szCs w:val="20"/>
          <w:color w:val="auto"/>
        </w:rPr>
      </w:pPr>
      <w:r>
        <w:rPr>
          <w:rFonts w:ascii="Arial" w:cs="Arial" w:eastAsia="Arial" w:hAnsi="Arial"/>
          <w:sz w:val="18"/>
          <w:szCs w:val="18"/>
          <w:color w:val="auto"/>
        </w:rPr>
        <w:t>In addition, U.S. patent laws may change, which could prevent or limit us or our subsidiaries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93"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8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8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9" w:name="page60"/>
    <w:bookmarkEnd w:id="59"/>
    <w:p>
      <w:pPr>
        <w:ind w:right="140" w:firstLine="486"/>
        <w:spacing w:after="0" w:line="259" w:lineRule="auto"/>
        <w:rPr>
          <w:sz w:val="20"/>
          <w:szCs w:val="20"/>
          <w:color w:val="auto"/>
        </w:rPr>
      </w:pPr>
      <w:r>
        <w:rPr>
          <w:rFonts w:ascii="Arial" w:cs="Arial" w:eastAsia="Arial" w:hAnsi="Arial"/>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7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are aware of certain patents that may pose issues for our commercialization of our drug candidates. For example, Roche, Biogen Idec, and Genentech hold patents for the use of anti-CD20 antibodies utilized in the treatment of CLL in the United States which are expected to expire in November of 2019. While these patents have been challenged, to the best of our knowledge, those matters were settled in a way that permitted additional anti-CD20 antibodies to be marketed for CLL. If those patents are still valid and enforced at the time we are intending to launch ublituximab, then we will need to either prevail in a litigation to challenge those patents or negotiate a settlement agreement with the patent holders.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78"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If a third 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6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 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6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1"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3"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Employee Matters, Managing Growth and Other Risks Related to Our Business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62" w:name="page63"/>
    <w:bookmarkEnd w:id="62"/>
    <w:p>
      <w:pPr>
        <w:ind w:right="20" w:firstLine="486"/>
        <w:spacing w:after="0" w:line="270"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As of November 2, 2019, we had 120 full-time employees, and we expect to continue to increase our number of employees and expand the scope of our operations. Our management and medical and scientific personnel, systems and facilities currently in place may not be adequate to support our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6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3" w:name="page64"/>
    <w:bookmarkEnd w:id="63"/>
    <w:p>
      <w:pPr>
        <w:ind w:right="40" w:firstLine="486"/>
        <w:spacing w:after="0" w:line="254" w:lineRule="auto"/>
        <w:rPr>
          <w:sz w:val="20"/>
          <w:szCs w:val="20"/>
          <w:color w:val="auto"/>
        </w:rPr>
      </w:pPr>
      <w:r>
        <w:rPr>
          <w:rFonts w:ascii="Arial" w:cs="Arial" w:eastAsia="Arial" w:hAnsi="Arial"/>
          <w:sz w:val="18"/>
          <w:szCs w:val="18"/>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70"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employees, principal investigators, CROs and consultants may engage in misconduct or other improper activities, including non-compliance with regulatory standards and requirements and insider trading, which could have a material adverse effect on our business.</w:t>
      </w:r>
    </w:p>
    <w:p>
      <w:pPr>
        <w:spacing w:after="0" w:line="14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We may acquire businesses or drugs, or form strategic alliances, in the future, and we may not realize the benefits of such acquisitions.</w:t>
      </w:r>
    </w:p>
    <w:p>
      <w:pPr>
        <w:spacing w:after="0" w:line="23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adverse legislative or regulatory tax changes that could negatively impact our financial condition.</w:t>
      </w:r>
    </w:p>
    <w:p>
      <w:pPr>
        <w:spacing w:after="0" w:line="22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On December 22, 2017, legislation commonly referred to as the “Tax Cuts and Jobs Act” was signed into law and is generally effective after December 31, 2017. The Tax Cuts and Jobs Act makes significant changes to the United States federal income tax rules for taxation of individuals and business entities. Most of the changes applicable to individuals are temporary and apply only to taxable years beginning after December 31, 2017 and before January 1, 2026.</w:t>
      </w:r>
    </w:p>
    <w:p>
      <w:pPr>
        <w:ind w:right="20"/>
        <w:spacing w:after="0" w:line="268" w:lineRule="auto"/>
        <w:rPr>
          <w:sz w:val="20"/>
          <w:szCs w:val="20"/>
          <w:color w:val="auto"/>
        </w:rPr>
      </w:pPr>
      <w:r>
        <w:rPr>
          <w:rFonts w:ascii="Arial" w:cs="Arial" w:eastAsia="Arial" w:hAnsi="Arial"/>
          <w:sz w:val="17"/>
          <w:szCs w:val="17"/>
          <w:color w:val="auto"/>
        </w:rPr>
        <w:t>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United States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70"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21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7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93"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continue to preclude us from paying dividends. As a result, capital appreciation, if any, of our common stock will be the sole source of gain for our stockholders for the foreseeable future.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6" w:name="page67"/>
    <w:bookmarkEnd w:id="66"/>
    <w:p>
      <w:pPr>
        <w:ind w:firstLine="486"/>
        <w:spacing w:after="0" w:line="290"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 and investors may not be able to resell their shares at or above the price they paid.</w:t>
      </w:r>
    </w:p>
    <w:p>
      <w:pPr>
        <w:spacing w:after="0" w:line="26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As a public company, we incur significant legal, accounting and other expenses under the Sarbanes-Oxley Act of 2002, as well as rules subsequently implemented by the Securities and Exchange Commission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67" w:name="page68"/>
    <w:bookmarkEnd w:id="67"/>
    <w:p>
      <w:pPr>
        <w:ind w:right="20" w:firstLine="486"/>
        <w:spacing w:after="0" w:line="270"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82"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70"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2018, we had federal net operating loss carryforwards of approximately $550.6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p>
      <w:pPr>
        <w:ind w:left="1160" w:right="60" w:hanging="566"/>
        <w:spacing w:after="0" w:line="277" w:lineRule="auto"/>
        <w:tabs>
          <w:tab w:leader="none" w:pos="1140" w:val="left"/>
        </w:tabs>
        <w:rPr>
          <w:sz w:val="20"/>
          <w:szCs w:val="20"/>
          <w:color w:val="auto"/>
        </w:rPr>
      </w:pPr>
      <w:r>
        <w:rPr>
          <w:rFonts w:ascii="Arial" w:cs="Arial" w:eastAsia="Arial" w:hAnsi="Arial"/>
          <w:sz w:val="18"/>
          <w:szCs w:val="18"/>
          <w:color w:val="auto"/>
        </w:rPr>
        <w:t>31.1</w:t>
        <w:tab/>
        <w:t>Certification of Chief Executive Officer pursuant to Rule 13a-14(a)/15d-14(a), as adopted pursuant to Section 302 of the Sarbanes-Oxley Act of 2002, dated November 12, 2019.</w:t>
      </w:r>
    </w:p>
    <w:p>
      <w:pPr>
        <w:spacing w:after="0" w:line="170" w:lineRule="exact"/>
        <w:rPr>
          <w:sz w:val="20"/>
          <w:szCs w:val="20"/>
          <w:color w:val="auto"/>
        </w:rPr>
      </w:pPr>
    </w:p>
    <w:p>
      <w:pPr>
        <w:ind w:left="1160" w:right="120" w:hanging="566"/>
        <w:spacing w:after="0" w:line="277" w:lineRule="auto"/>
        <w:tabs>
          <w:tab w:leader="none" w:pos="1140" w:val="left"/>
        </w:tabs>
        <w:rPr>
          <w:sz w:val="20"/>
          <w:szCs w:val="20"/>
          <w:color w:val="auto"/>
        </w:rPr>
      </w:pPr>
      <w:r>
        <w:rPr>
          <w:rFonts w:ascii="Arial" w:cs="Arial" w:eastAsia="Arial" w:hAnsi="Arial"/>
          <w:sz w:val="18"/>
          <w:szCs w:val="18"/>
          <w:color w:val="auto"/>
        </w:rPr>
        <w:t>31.2</w:t>
        <w:tab/>
        <w:t>Certification of Chief Financial Officer pursuant to Rule 13a-14(a)/15d-14(a), as adopted pursuant to Section 302 of the Sarbanes-Oxley Act of 2002, dated November 12, 2019.</w:t>
      </w:r>
    </w:p>
    <w:p>
      <w:pPr>
        <w:spacing w:after="0" w:line="170" w:lineRule="exact"/>
        <w:rPr>
          <w:sz w:val="20"/>
          <w:szCs w:val="20"/>
          <w:color w:val="auto"/>
        </w:rPr>
      </w:pPr>
    </w:p>
    <w:p>
      <w:pPr>
        <w:ind w:left="1160" w:right="60" w:hanging="566"/>
        <w:spacing w:after="0" w:line="277" w:lineRule="auto"/>
        <w:tabs>
          <w:tab w:leader="none" w:pos="1140" w:val="left"/>
        </w:tabs>
        <w:rPr>
          <w:sz w:val="20"/>
          <w:szCs w:val="20"/>
          <w:color w:val="auto"/>
        </w:rPr>
      </w:pPr>
      <w:r>
        <w:rPr>
          <w:rFonts w:ascii="Arial" w:cs="Arial" w:eastAsia="Arial" w:hAnsi="Arial"/>
          <w:sz w:val="18"/>
          <w:szCs w:val="18"/>
          <w:color w:val="auto"/>
        </w:rPr>
        <w:t>32.1</w:t>
        <w:tab/>
        <w:t>Certification of Chief Executive Officer pursuant to 18 U.S.C. §1350, as adopted pursuant to Section 906 of the Sarbanes-Oxley Act of 2002, dated November 12, 2019.</w:t>
      </w:r>
    </w:p>
    <w:p>
      <w:pPr>
        <w:spacing w:after="0" w:line="170" w:lineRule="exact"/>
        <w:rPr>
          <w:sz w:val="20"/>
          <w:szCs w:val="20"/>
          <w:color w:val="auto"/>
        </w:rPr>
      </w:pPr>
    </w:p>
    <w:p>
      <w:pPr>
        <w:ind w:left="1160" w:right="100" w:hanging="566"/>
        <w:spacing w:after="0" w:line="277" w:lineRule="auto"/>
        <w:tabs>
          <w:tab w:leader="none" w:pos="1140" w:val="left"/>
        </w:tabs>
        <w:rPr>
          <w:sz w:val="20"/>
          <w:szCs w:val="20"/>
          <w:color w:val="auto"/>
        </w:rPr>
      </w:pPr>
      <w:r>
        <w:rPr>
          <w:rFonts w:ascii="Arial" w:cs="Arial" w:eastAsia="Arial" w:hAnsi="Arial"/>
          <w:sz w:val="18"/>
          <w:szCs w:val="18"/>
          <w:color w:val="auto"/>
        </w:rPr>
        <w:t>32.2</w:t>
        <w:tab/>
        <w:t>Certification of Chief Financial Officer pursuant to 18 U.S.C. §1350, as adopted pursuant to Section 906 of the Sarbanes-Oxley Act of 2002, dated November 12, 2019.</w:t>
      </w:r>
    </w:p>
    <w:p>
      <w:pPr>
        <w:spacing w:after="0" w:line="170" w:lineRule="exact"/>
        <w:rPr>
          <w:sz w:val="20"/>
          <w:szCs w:val="20"/>
          <w:color w:val="auto"/>
        </w:rPr>
      </w:pPr>
    </w:p>
    <w:p>
      <w:pPr>
        <w:ind w:left="1160" w:hanging="571"/>
        <w:spacing w:after="0" w:line="302"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September 30, 2019, formatted in Inline Extensible Business Reporting Language (iXBRL): (i) the Condensed Consolidated Balance Sheets, (ii) the Condensed Consolidated Statements of Operations, (iii) the Condensed Consolidated Statements of Stockholders’ (Deficit) Equity, (iv) the Condensed Consolidated Statements of Cash Flows, and (v) Notes to the Condensed Consolidated Financial Statements (filed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*Certain portions of this exhibit have been omitted pursuant to Item 601(b)(10) of Regulation S-K.</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TG THERAPEUTICS,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12, 2019</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Sean A. Power</w:t>
            </w:r>
          </w:p>
        </w:tc>
      </w:tr>
      <w:tr>
        <w:trPr>
          <w:trHeight w:val="195"/>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240" w:right="280" w:hanging="232"/>
        <w:spacing w:after="0" w:line="268"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right="80" w:hanging="232"/>
        <w:spacing w:after="0" w:line="259"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40" w:hanging="59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40" w:right="40" w:hanging="232"/>
        <w:spacing w:after="0" w:line="268"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240" w:right="280" w:hanging="232"/>
        <w:spacing w:after="0" w:line="268"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right="80" w:hanging="232"/>
        <w:spacing w:after="0" w:line="259"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40" w:hanging="592"/>
        <w:spacing w:after="0" w:line="259"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40" w:right="40" w:hanging="232"/>
        <w:spacing w:after="0" w:line="268"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10795</wp:posOffset>
            </wp:positionV>
            <wp:extent cx="40563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5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2019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2019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10795</wp:posOffset>
            </wp:positionV>
            <wp:extent cx="417639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7639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lvl w:ilvl="1">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2019-12-28T01:41:47Z</dcterms:created>
  <dcterms:modified xsi:type="dcterms:W3CDTF">2019-12-28T01:41:47Z</dcterms:modified>
</cp:coreProperties>
</file>