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980" w:right="2620" w:hanging="1360"/>
        <w:spacing w:after="0" w:line="286" w:lineRule="auto"/>
        <w:tabs>
          <w:tab w:leader="none" w:pos="283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80" w:right="2600" w:hanging="1365"/>
        <w:spacing w:after="0" w:line="286" w:lineRule="auto"/>
        <w:tabs>
          <w:tab w:leader="none" w:pos="28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88" w:right="339" w:bottom="1440" w:gutter="0" w:footer="0" w:header="0"/>
        </w:sectPr>
      </w:pPr>
    </w:p>
    <w:p>
      <w:pPr>
        <w:spacing w:after="0" w:line="1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2">
            <w:col w:w="6400" w:space="720"/>
            <w:col w:w="4120"/>
          </w:cols>
          <w:pgMar w:left="320" w:top="68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575-8489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38"/>
        </w:trPr>
        <w:tc>
          <w:tcPr>
            <w:tcW w:w="3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spacing w:after="0"/>
              <w:rPr>
                <w:sz w:val="12"/>
                <w:szCs w:val="12"/>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56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center"/>
              <w:ind w:right="5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w:t>
            </w:r>
          </w:p>
        </w:tc>
        <w:tc>
          <w:tcPr>
            <w:tcW w:w="560" w:type="dxa"/>
            <w:vAlign w:val="bottom"/>
            <w:tcBorders>
              <w:bottom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ind w:right="470"/>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100" w:space="720"/>
            <w:col w:w="1420"/>
          </w:cols>
          <w:pgMar w:left="320" w:top="688"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40" w:space="720"/>
            <w:col w:w="2180"/>
          </w:cols>
          <w:pgMar w:left="320" w:top="688" w:right="339" w:bottom="1440" w:gutter="0" w:footer="0" w:header="0"/>
          <w:type w:val="continuous"/>
        </w:sectPr>
      </w:pPr>
    </w:p>
    <w:p>
      <w:pPr>
        <w:spacing w:after="0" w:line="3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440" w:gutter="0" w:footer="0" w:header="0"/>
          <w:type w:val="continuous"/>
        </w:sectPr>
      </w:pPr>
    </w:p>
    <w:p>
      <w:pPr>
        <w:spacing w:after="0" w:line="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154,823,137 shares of the registrant’s common stock, $0.001 par value, outstanding as of August 5, 2024.</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10"/>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2024</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580" w:type="dxa"/>
            <w:vAlign w:val="bottom"/>
            <w:gridSpan w:val="3"/>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20" w:type="dxa"/>
            <w:vAlign w:val="bottom"/>
            <w:gridSpan w:val="10"/>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40" w:type="dxa"/>
            <w:vAlign w:val="bottom"/>
            <w:gridSpan w:val="9"/>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40" w:type="dxa"/>
            <w:vAlign w:val="bottom"/>
            <w:gridSpan w:val="6"/>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2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84</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4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60" w:type="dxa"/>
            <w:vAlign w:val="bottom"/>
            <w:gridSpan w:val="1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85</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“Risk Factors”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76" w:lineRule="exact"/>
        <w:rPr>
          <w:sz w:val="20"/>
          <w:szCs w:val="20"/>
          <w:color w:val="auto"/>
        </w:rPr>
      </w:pPr>
    </w:p>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 candidates, including azercabtagene zapreleucel (azer-cel), and our ability to maintain regulatory approval of BRIUMVI® (ublituximab) for the treatment of relapsing forms of multiple sclerosis (RMS) or any other future indication in the United States (U.S.), the European Union (EU) and the United Kingdom (UK);</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commercial infrastructure to successfully launch, market and sell BRIUMVI and our other product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ongoing commercialization of BRIUMVI or any future products or combinations of products, including the anticipated rate and degree of market acceptance and pricing and reimbursement;</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formulate, manufacture and commercialize our product candidates;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drug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fund our planned operations;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obtain adequate product liability and other insurance coverage;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company of future regulatory developments or legislative actions, including changes in healthcare, environmental and other laws and regulations to which we are subject;</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market and business conditions;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1A, and any other risks described in the other reports and documents that we have filed with the Securities and Exchange Commission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3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current approval of BRIUMVI, our business will be materially harmed.</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when or if we will obtain regulatory approval to commercialize our product candidates, including azer-cel in non-oncology indications.</w:t>
      </w: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operating as a commercial company, and, as a result, the marketing and sale of BRIUMVI for the treatment of RMS may be less successful than anticipated.</w:t>
      </w: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BRIUMVI or any of our future product candidates (if approved) do not achieve broad market acceptance among physicians, patients, payors or the medical community, the revenues that we generate from product sales will be limited.</w:t>
      </w:r>
    </w:p>
    <w:p>
      <w:pPr>
        <w:jc w:val="both"/>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BRIUMVI and any future products for which we may receive approval, including azer-cel in non-oncology indications, are smaller than we estimate or if any approval we obtain is based on a narrower patient population or the labeling includes warnings or limitations that are not acceptable to patients or healthcare providers, our revenue will be adversely affected.</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sufficient revenue, we may need to raise substantial additional capital to sustain our business.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could cause us to incur substantial liabilities and limit product commercialization.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31" w:lineRule="exact"/>
        <w:rPr>
          <w:sz w:val="20"/>
          <w:szCs w:val="20"/>
          <w:color w:val="auto"/>
        </w:rPr>
      </w:pP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maintain regulatory approval for our product or product candidates and ultimately cannot commercialize one or more of them, or if we experience significant delays in doing so, our business will be materially harmed.</w:t>
      </w: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jc w:val="both"/>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of the Pharmaceutical Industry</w:t>
      </w:r>
    </w:p>
    <w:p>
      <w:pPr>
        <w:spacing w:after="0" w:line="31" w:lineRule="exact"/>
        <w:rPr>
          <w:sz w:val="20"/>
          <w:szCs w:val="20"/>
          <w:color w:val="auto"/>
        </w:rPr>
      </w:pPr>
    </w:p>
    <w:p>
      <w:pPr>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including new legislative and regulatory proposals, including efforts to control, set or cap pricing for approved drugs, which may increase our costs and adversely affect our ability to market our products, obtain collaborators and raise capital.</w:t>
      </w: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various healthcare laws and regulations, we may incur losses or be subject to liability.</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commercial and clinical supply of raw materials and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1" w:lineRule="exact"/>
        <w:rPr>
          <w:sz w:val="20"/>
          <w:szCs w:val="20"/>
          <w:color w:val="auto"/>
        </w:rPr>
      </w:pPr>
    </w:p>
    <w:p>
      <w:pPr>
        <w:jc w:val="both"/>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could be reduced or eliminated for non-compliance with various procedural and other requirements imposed by governmental patent agencies.</w:t>
      </w: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license certain intellectual property from third parties, and such licenses may not be available or may not be available on commercially reasonable terms.</w:t>
      </w: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our business may be significantly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we may incur losses in the future.</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660" w:hanging="652"/>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including an epidemic or global pandemic, including the pandemic caused by COVID-19, could have an adverse impact on our financial condition and results of operations and other aspects of our business.</w:t>
      </w:r>
    </w:p>
    <w:p>
      <w:pPr>
        <w:jc w:val="both"/>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develop and expand our business, and we may encounter difficulties in managing this development and expansion.</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clinical development and commercialization activities will depend on our ability to attract and maintain key management and other personnel.</w:t>
      </w:r>
    </w:p>
    <w:p>
      <w:pPr>
        <w:ind w:left="660" w:right="2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executive officers, directors and other stockholders own more than 5% of our outstanding common stock and may be able to influence our management and the outcome of matters submitted to shareholders for approval.</w:t>
      </w: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we expect it to remain, volatile, which could limit investors’ ability to sell stock at a profit and could subject us to securities and shareholder derivative litigation.</w:t>
      </w:r>
    </w:p>
    <w:p>
      <w:pPr>
        <w:ind w:left="660" w:right="20" w:hanging="652"/>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81"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The foregoing is only a summary of some of our risks. These and other risks are discussed more fully in the section entitled “Risk Factors” in Part II, Item 1A and elsewhere in this Quarterly Report on Form 10-Q (our Risk Factors).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82,910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92,933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and other current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assets(1)</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r>
      <w:tr>
        <w:trPr>
          <w:trHeight w:val="25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401,207</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93,472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223,639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169,085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shares authorized, 154,873,847 and 151,465,598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154,832,538 and 151,424,289 shares outstanding at June 30, 2024 and December 31, 2023,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1,734,052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1,713,162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41,309 shares at June 30, 2024 and December 31, 2023</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(1,556,405)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(1,552,577)</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401,207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ind w:left="5580" w:right="3780" w:hanging="5572"/>
        <w:spacing w:after="0" w:line="534" w:lineRule="auto"/>
        <w:tabs>
          <w:tab w:leader="none" w:pos="26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Amounts as of December 31, 2023 have been reclassified to conform to current period presentation.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72,596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123,084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73,466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23,877</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15,036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36,744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43,991</w:t>
            </w: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6,962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31,828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59,522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46,666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38,790</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30,715</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73,370</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58,783</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64,650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105,542</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8,816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(44,674)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(81,665)</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5,176</w:t>
            </w: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144,727,482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141,503,738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145,464,255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140,911,295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159,423,571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141,503,738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145,464,255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140,911,295</w:t>
            </w: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146,426,697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$ 1,623,924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(1,565,249)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58,587</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66,701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3,017,736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 with debt financing</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(73,787)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7,120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(39,232)</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149,437,347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1,631,999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(1,604,481)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27,433</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76,955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public offering (net of offering</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costs of $0.8 million)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1,385,700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46,295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46,297</w:t>
            </w:r>
          </w:p>
        </w:tc>
        <w:tc>
          <w:tcPr>
            <w:tcW w:w="0" w:type="dxa"/>
            <w:vAlign w:val="bottom"/>
          </w:tcPr>
          <w:p>
            <w:pPr>
              <w:spacing w:after="0"/>
              <w:rPr>
                <w:sz w:val="1"/>
                <w:szCs w:val="1"/>
                <w:color w:val="auto"/>
              </w:rPr>
            </w:pPr>
          </w:p>
        </w:tc>
      </w:tr>
      <w:tr>
        <w:trPr>
          <w:trHeight w:val="19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13,582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13,582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(47,610)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150,969,323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1,692,627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(1,652,091)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40,453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151,465,598</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$ 1,713,162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(1,552,577)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160,502</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3,304,468</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(165,514)</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(10,707)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154,607,052</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1,723,472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(1,563,284)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160,109</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27,250</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332,138</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(92,593)</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10,445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154,873,847</w:t>
            </w:r>
          </w:p>
        </w:tc>
        <w:tc>
          <w:tcPr>
            <w:tcW w:w="4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1,734,052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(1,556,405)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177,568</w:t>
            </w:r>
          </w:p>
        </w:tc>
        <w:tc>
          <w:tcPr>
            <w:tcW w:w="0" w:type="dxa"/>
            <w:vAlign w:val="bottom"/>
          </w:tcPr>
          <w:p>
            <w:pPr>
              <w:spacing w:after="0"/>
              <w:rPr>
                <w:sz w:val="1"/>
                <w:szCs w:val="1"/>
                <w:color w:val="auto"/>
              </w:rPr>
            </w:pPr>
          </w:p>
        </w:tc>
      </w:tr>
      <w:tr>
        <w:trPr>
          <w:trHeight w:val="198"/>
        </w:trPr>
        <w:tc>
          <w:tcPr>
            <w:tcW w:w="4160" w:type="dxa"/>
            <w:vAlign w:val="bottom"/>
            <w:tcBorders>
              <w:top w:val="single" w:sz="8" w:color="CCEEFF"/>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(discount) on investment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leasehold interest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change in lease liability and right of use asset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equity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current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(101,907)</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46,501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long-term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24,333</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debt financings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 paid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72,285</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103,577</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84,202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98,288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condensed consolidated balance sheets: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82,910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84,202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98,288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4,936</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2023. The accompanying condensed balance sheet as of December 31, 2023 has been derived from these statements. The results of operations for the three and six months ended June 30, 2024 are not necessarily indicative of the results that may be expected for the entire fiscal year or any other interim period.</w:t>
      </w:r>
    </w:p>
    <w:p>
      <w:pPr>
        <w:spacing w:after="0" w:line="194"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incurred operating losses; however, during the three months ended June 30, 2024 the Company experienced a net profit. Additionally, during the twelve months ended December 31, 2023, the Company experienced a net profit due to a $140.0 million non-refundable upfront payment recognized as license revenue in the third quarter of 2023 as part of our ex-U.S. commercialization agreement (the Commercialization Agreement) with Neuraxpharm Pharmaceuticals, S.L. (Neuraxpharm) (see Note 2 for more information). We may incur operating losses in the near term and may never become profitable. As of June 30, 2024, we have an accumulated deficit of $1.6 billion.</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from our loan and security agreements executed with Hercules Capital, Inc.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During the six months ended June 30, 2024, we generated $123.1 million in product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June 30, 2024, we had $217.3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Notes to Consolidated Financial Statements included in our 2023 Annual Report on Form 10-K, except as updated herein or as it relates to revenue recognition, accounts receivable, inventory, cost of revenue, equity securities, and the adoption of new accounting standards during the six months ended June 30, 2024. Management does not believe that any recently issued, but not yet effective, accounting pronouncements, if currently adopted, would have a material effect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account balances from prior periods have been reclassified in these financial statements to conform to current period classifications.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8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Commercial Payer Rebates: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Trade Discounts and Allowances: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BRIUMVI for credit under the following circumstances:</w:t>
      </w:r>
    </w:p>
    <w:p>
      <w:pPr>
        <w:spacing w:after="0" w:line="225" w:lineRule="exact"/>
        <w:rPr>
          <w:sz w:val="20"/>
          <w:szCs w:val="20"/>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right="20" w:firstLine="512"/>
        <w:spacing w:after="0" w:line="282" w:lineRule="auto"/>
        <w:tabs>
          <w:tab w:leader="none" w:pos="7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Company has not received any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Licenses of intellectual property: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Milestone payments: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Sales-based 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Optional Purchases: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June 30, 2024, we determined an allowance for expected credit losses related to outstanding accounts receivable was currently not required based upon our review of contractual payment terms and individual customer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third-party manufacturing costs, distribution, overhead and royalties owed to our licensing partner for BRIUMVI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revenue. Our cost of revenue also relates to providing regulatory support &amp; development services to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of our common stock is calculated by dividing net income (loss) applicable to the common stock by the weighted-average number of shares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income (loss) per share were the same for all periods presented in the unaudited condensed consolidated statement of operations, except for the three months ended June 30, 2024, as the Company had net income for that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potentially dilutive securities at June 30, 2024 and 2023:</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9,872,652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8,324,240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4,667,279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4,799,523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312,272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21,434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20,323</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14,873,637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13,456,358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tc>
        <w:tc>
          <w:tcPr>
            <w:tcW w:w="25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5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6,879</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(47,610)</w:t>
            </w:r>
          </w:p>
        </w:tc>
        <w:tc>
          <w:tcPr>
            <w:tcW w:w="14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144,727,482</w:t>
            </w: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141,503,738</w:t>
            </w:r>
          </w:p>
        </w:tc>
        <w:tc>
          <w:tcPr>
            <w:tcW w:w="14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145,464,255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140,911,295</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1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14,696,089</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159,423,571</w:t>
            </w: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141,503,738</w:t>
            </w:r>
          </w:p>
        </w:tc>
        <w:tc>
          <w:tcPr>
            <w:tcW w:w="14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145,464,255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140,911,295</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1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c>
          <w:tcPr>
            <w:tcW w:w="14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revenues are recognized under guidance within ASC 606. The following table presents our disaggregated revenue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73,466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23,877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2024, our only source of product revenue has been from U.S. sales of BRIUMVI, which we began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to our customers in January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As of June 30, 2024, approximately $21.6 million of gross-to-net accruals have been recorded as a reduction of accounts receivable, net and within accounts payable and accrued expenses on the condensed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Neuraxpharm Commercialization Agreement</w:t>
      </w:r>
    </w:p>
    <w:p>
      <w:pPr>
        <w:spacing w:after="0" w:line="227"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On July 28, 2023, the Company entered into an ex-U.S. commercialization agreement (the Commercialization Agreement) with Neuraxpharm. The Company granted Neuraxpharm the exclusive right to commercialize BRIUMVI in territories outside the United States, Canada, and Mexico, which are retained by the Company, and excluding certain Asian countries of which the Company previously partnered (the Territory). In addition, the Company will perform certain development and regulatory activities for Neuraxpharm to support its obligations under the Commercialization Agreement to secure and maintain the regulatory approvals required to sell BRIUMVI in the Territory. As part of the overall arrangement, the Company has agreed to supply BRIUMVI to Neuraxpharm throughout the term of the Commercialization Agreement.</w:t>
      </w:r>
    </w:p>
    <w:p>
      <w:pPr>
        <w:spacing w:after="0" w:line="187"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In consideration for entering into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$492.5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spacing w:after="0" w:line="180"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The License to the Company’s intellectual property represents a distinct performance obligation, therefore, the $140.0 million non-refundable upfront payment related to this performance obligation was recognized as License Revenue in the third quarter of 2023.</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Development and Regulatory Activities performance obligation is satisfied over time because Neuraxpharm simultaneously receives and consumes the benefits provided by the Company’s performance of the services. Therefore, revenue is recognized as the activities are completed by the Company. For the three and six months ended June 30, 2024, the Company recognized Other Revenue of $0.7 million and $1.1 million, respectively, related to the Development and Regulatory Activities.</w:t>
      </w:r>
    </w:p>
    <w:p>
      <w:pPr>
        <w:spacing w:after="0" w:line="18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w:t>
      </w:r>
    </w:p>
    <w:p>
      <w:pPr>
        <w:spacing w:after="0" w:line="176"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The performance obligation related to the Supply of Licensed Product is met when control of the product passes to Neuraxpharm. The consideration received from Neuraxpharm for the supply of BRIUMVI will be recognized by the Company as a component of product revenue, net. As of June 30, 2024, the Company has an unconditional right to receive $0.4 million in consideration from Neuraxpharm related to the performance obligation to supply BRIUMVI, that is recorded as accounts receivable, net. The related performance obligation to supply BRIUMVI has not yet been satisfied, and therefore, as of June 30, 2024, $7.0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89"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The remaining forms of consideration are variable because they are dependent on the achievement of sales-based or other milestones. The Company evaluated the constraint on variable consideration and concluded that the milestone payments are highly dependent on factors outside of the Company’s control.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achievement of the underlying milestone is probable. In March 2024, the Company received a $12.5 million milestone payment for the first key market commercial launch of BRIUMVI in the EU. Any consideration related to sales-based royalties will be recognized when the related sales occur. During the three and six months ended June 30, 2024, royalty revenue of $0.1 million and $0.2 million, respectively, was recognized.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ind w:right="680" w:firstLine="504"/>
        <w:spacing w:after="0" w:line="282" w:lineRule="auto"/>
        <w:rPr>
          <w:sz w:val="20"/>
          <w:szCs w:val="20"/>
          <w:color w:val="auto"/>
        </w:rPr>
      </w:pPr>
      <w:r>
        <w:rPr>
          <w:rFonts w:ascii="Times New Roman" w:cs="Times New Roman" w:eastAsia="Times New Roman" w:hAnsi="Times New Roman"/>
          <w:sz w:val="18"/>
          <w:szCs w:val="18"/>
          <w:color w:val="auto"/>
        </w:rPr>
        <w:t>Our short-term investments as of June 30, 2024 and December 31, 2023 are classified as held-to-maturity. Held-to-maturity investments are recorded at amortized cost.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short-term investment securities at June 30, 2024 and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Obligations of domestic governmental agencies (maturing between July 2024 and December 2024)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62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134,329</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134,329</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580" w:space="40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 January 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and June 2024) (held-to-maturity)</w:t>
            </w:r>
          </w:p>
        </w:tc>
        <w:tc>
          <w:tcPr>
            <w:tcW w:w="1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long-term investments as of June 30, 2024 include shares of common stock of Precision. The fair market value of these equity securities as of June 30, 2024 was $0.9 million. For the three and six months ended June 30, 2024, we recorded unrealized losses of $0.4 million and $0.2 million, respectively, based on the change in fair value of Precision’s common stock during the period. See Note 5 for further details.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our inventory as of June 30, 2024 (in thousands):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77,893</w:t>
            </w:r>
          </w:p>
        </w:tc>
        <w:tc>
          <w:tcPr>
            <w:tcW w:w="10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At June 30, 2024, all our inventory was solely related to BRIUMVI, which was approved by the FDA on December 28, 2022, at which time we began to capitalize costs to manufacture BRIUMVI. Prior to the FDA approval of BRIUMVI, all costs related to the manufacturing of BRIUMVI and related material were charged to research and development expense in the period incurred.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buildup inventory in support of BRIUMVI forecasted sales, to ensure appropriate safety stock levels, and meet our commitment to supply BRIUMVI to Neuraxpharm related to the Commercialization Agreement. As a result of being in the early stages of the BRIUMVI product launch, the Company is continuing to evaluate the length of its operating cycle.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our inventory levels for excess quantities and obsolescence (expiration), taking into account factors such as historical and anticipated future sales compared to quantities on hand and the remaining shelf-life. At June 30, 2024, we determined that a reserve related to BRIUMVI inventory for excess quantities and obsolescence is not required. In addition, since FDA approval of BRIUMVI, the Company has not recorded any inventory write downs.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 and Forward Contract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7, 2024, (the Precision Effective Date)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had a 30-to-1 reverse stock split in February 2024. The shares purchased with the Upfront Precision Stock Payment are classified as an equity investment and are recognized at fair market value as of June 30,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12 months following the Precision Effective Date, the Company will make a one-time payment to Precision equal to $2.5 million (the Deferred Precision Stock Payment). Upon receipt of such payment, Precision shall issue to the Company the number of shares of Precision common stock (the Precision Shares) (rounded down to the nearest whole share) obtained by dividing the Deferred Precision Stock Payment by 200% of the weighted average share price of the Precision common stock (the Precision Share Price) for the thirty (30) trading days preceding the date on which Precision receives the payment. The Deferred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June 30, 2024 , in accordance with ASC 321.</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achievement of a clinical and regulatory milestone event (Milestone Event 1), the Company will make a one-time payment to Precision equal to $2.3 million (the Milestone 1 Precision Stock Payment). Upon receipt of such payment, Precision shall issue to the Company the Precision Shares (rounded down to the nearest whole share) obtained by dividing the Milestone 1 Precision Stock Payment by 200% of the weighted average share price of the Precision common stock (the Precision Share Price) for the thirty (30) trading days preceding the achievement of Milestone Event 1. The Milestone 1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June 30, 2024, in accordance with ASC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Notes</w:t>
      </w:r>
    </w:p>
    <w:p>
      <w:pPr>
        <w:spacing w:after="0" w:line="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8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June 30, 2024 and December 31, 2023,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June 30,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5260" w:type="dxa"/>
            <w:vAlign w:val="bottom"/>
            <w:gridSpan w:val="1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June 30, 2024</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947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947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197"/>
        </w:trPr>
        <w:tc>
          <w:tcPr>
            <w:tcW w:w="59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0"/>
        </w:trPr>
        <w:tc>
          <w:tcPr>
            <w:tcW w:w="5980" w:type="dxa"/>
            <w:vAlign w:val="bottom"/>
          </w:tcPr>
          <w:p>
            <w:pPr>
              <w:spacing w:after="0"/>
              <w:rPr>
                <w:sz w:val="24"/>
                <w:szCs w:val="24"/>
                <w:color w:val="auto"/>
              </w:rPr>
            </w:pPr>
          </w:p>
        </w:tc>
        <w:tc>
          <w:tcPr>
            <w:tcW w:w="5260" w:type="dxa"/>
            <w:vAlign w:val="bottom"/>
            <w:gridSpan w:val="1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investments classified as Level 1 were valued using their respective closing stock price on the Nasdaq Stock Market. We did not experience any transfers of financial instruments between the fair value hierarchy levels during the three months ended June 30, 2024. Our forward contract liabilities classified as Level 2 were valued using Precision's closing stock price on the Nasdaq Stock Market. Our Level 3 instrument amounts represent the fair value of the 5% Notes and related accrued interest.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reported in other (income) expense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190,000,000 shares of $0.001 par value common stock.</w:t>
      </w:r>
    </w:p>
    <w:p>
      <w:pPr>
        <w:spacing w:after="0" w:line="225"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 We had no activity on the 2022 ATM during the six months ended June 30, 2024.</w:t>
      </w:r>
    </w:p>
    <w:p>
      <w:pPr>
        <w:spacing w:after="0" w:line="18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As of June 30, 2024, 7,353,076 shares of restricted stock and 2,267,500 options were outstanding and up to an additional 5,324,742 shares were available to be issued under the 2022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20" w:firstLine="504"/>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June 30, 2024, 4,019,607 shares of restricted stock and 2,399,779 options were outstanding, and no additional shares were available to be issued under the 2012 Incentive Plan as the 2022 Incentive Plan is currently the Company's only active incentive plan.</w:t>
      </w:r>
    </w:p>
    <w:p>
      <w:pPr>
        <w:spacing w:after="0" w:line="176"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$9.5 million and $12.5 million for the three months ended June 30, 2024 and 2023, respectively, and $18.8 million and $19.4 million for the six months ended June 30, 2024 and 2023, respectively. The $9.5 million and the $18.8 million for the three and six months ended June 30, 2024, respectively, is net of $1.0 million and $1.9 million of stock-based compensation expense that was capitalized into inventory, respectively.</w:t>
      </w:r>
    </w:p>
    <w:p>
      <w:pPr>
        <w:spacing w:after="0" w:line="180"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During July of 2024, the Company identified an error related to the expense recognition of a single restricted stock award granted in 2021. The impact of the error was an understatement of non-cash compensation expense (SG&amp;A) in the years ended December 31, 2022, and 2021 and a corresponding understatement of additional paid in capital (APIC). The Company has concluded the error did not result in a material misstatement of the Company’s previously issued consolidated financial statements. The cumulative impact of the error has been corrected as an immaterial correction of the December 31, 2023 condensed consolidated balance sheet by increasing accumulated deficit and APIC by approximately $38.2 million.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Stock Options and Restricted Stock</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and restricted stock for the six months ended June 30, 2024:</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4,697,029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9,639,068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3,636,606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 or 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(29,750)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(1,644,884)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(258,107)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outstanding, end of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4,667,279</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11,372,683</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total compensation cost related to unvested time-based awards not yet recognized and the weighted-average periods over which the awards are expected to be recognized were as follows:</w:t>
      </w:r>
    </w:p>
    <w:tbl>
      <w:tblPr>
        <w:tblLayout w:type="fixed"/>
        <w:tblInd w:w="20" w:type="dxa"/>
        <w:tblCellMar>
          <w:top w:w="0" w:type="dxa"/>
          <w:left w:w="0" w:type="dxa"/>
          <w:bottom w:w="0" w:type="dxa"/>
          <w:right w:w="0" w:type="dxa"/>
        </w:tblCellMar>
      </w:tblPr>
      <w:tr>
        <w:trPr>
          <w:trHeight w:val="211"/>
        </w:trPr>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4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$2,517</w:t>
            </w:r>
          </w:p>
        </w:tc>
        <w:tc>
          <w:tcPr>
            <w:tcW w:w="1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$50,026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600" w:type="dxa"/>
            <w:vAlign w:val="bottom"/>
          </w:tcPr>
          <w:p>
            <w:pPr>
              <w:spacing w:after="0"/>
              <w:rPr>
                <w:sz w:val="20"/>
                <w:szCs w:val="20"/>
                <w:color w:val="auto"/>
              </w:rPr>
            </w:pP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2.1</w:t>
            </w:r>
          </w:p>
        </w:tc>
        <w:tc>
          <w:tcPr>
            <w:tcW w:w="18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left="20" w:firstLine="504"/>
        <w:spacing w:after="0" w:line="261" w:lineRule="auto"/>
        <w:rPr>
          <w:sz w:val="20"/>
          <w:szCs w:val="20"/>
          <w:color w:val="auto"/>
        </w:rPr>
      </w:pPr>
      <w:r>
        <w:rPr>
          <w:rFonts w:ascii="Times New Roman" w:cs="Times New Roman" w:eastAsia="Times New Roman" w:hAnsi="Times New Roman"/>
          <w:sz w:val="18"/>
          <w:szCs w:val="18"/>
          <w:color w:val="auto"/>
        </w:rPr>
        <w:t>The Company’s only outstanding warrants are the warrants issued to Hercules as part of the Loan Agreement, the Amended Loan Agreement and the First Amendment (please refer to Note 7 – Loan Payable) to purchase 147,058, 115,042 and 50,172 shares of our common stock with exercise prices of $4.08, $17.95 and $14.70, respectively. See Note 7 for further details. There will not be any ongoing stock compensation expense volatility associated with these warrants.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7 LOAN PAYABLE</w:t>
      </w:r>
    </w:p>
    <w:p>
      <w:pPr>
        <w:spacing w:after="0" w:line="229" w:lineRule="exact"/>
        <w:rPr>
          <w:sz w:val="20"/>
          <w:szCs w:val="20"/>
          <w:color w:val="auto"/>
        </w:rPr>
      </w:pPr>
    </w:p>
    <w:p>
      <w:pPr>
        <w:jc w:val="both"/>
        <w:ind w:left="20" w:firstLine="504"/>
        <w:spacing w:after="0" w:line="258" w:lineRule="auto"/>
        <w:rPr>
          <w:sz w:val="20"/>
          <w:szCs w:val="20"/>
          <w:color w:val="auto"/>
        </w:rPr>
      </w:pPr>
      <w:r>
        <w:rPr>
          <w:rFonts w:ascii="Times New Roman" w:cs="Times New Roman" w:eastAsia="Times New Roman" w:hAnsi="Times New Roman"/>
          <w:sz w:val="18"/>
          <w:szCs w:val="18"/>
          <w:color w:val="auto"/>
        </w:rPr>
        <w:t>On February 28, 2019 (the Closing Date), we entered into a term loan facility with Hercules Capital, Inc. (Hercules or Lender), which provided us with the capacity to borrow up to an aggregate principal amount of $60.0 million (Term Loan).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83" w:lineRule="exact"/>
        <w:rPr>
          <w:sz w:val="20"/>
          <w:szCs w:val="20"/>
          <w:color w:val="auto"/>
        </w:rPr>
      </w:pPr>
    </w:p>
    <w:p>
      <w:pPr>
        <w:jc w:val="both"/>
        <w:ind w:left="20" w:firstLine="504"/>
        <w:spacing w:after="0" w:line="253" w:lineRule="auto"/>
        <w:rPr>
          <w:sz w:val="20"/>
          <w:szCs w:val="20"/>
          <w:color w:val="auto"/>
        </w:rPr>
      </w:pPr>
      <w:r>
        <w:rPr>
          <w:rFonts w:ascii="Times New Roman" w:cs="Times New Roman" w:eastAsia="Times New Roman" w:hAnsi="Times New Roman"/>
          <w:sz w:val="18"/>
          <w:szCs w:val="18"/>
          <w:color w:val="auto"/>
        </w:rPr>
        <w:t>On December 30, 2021 (the Amended Loan Agreement Closing Date), the Company entered into an Amended and Restated Loan and Security Agreement (as amended, restated and/or modified from time to time,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w:t>
      </w:r>
    </w:p>
    <w:p>
      <w:pPr>
        <w:spacing w:after="0" w:line="1" w:lineRule="exact"/>
        <w:rPr>
          <w:sz w:val="20"/>
          <w:szCs w:val="20"/>
          <w:color w:val="auto"/>
        </w:rPr>
      </w:pPr>
    </w:p>
    <w:p>
      <w:pPr>
        <w:jc w:val="both"/>
        <w:ind w:left="20" w:firstLine="8"/>
        <w:spacing w:after="0" w:line="255" w:lineRule="auto"/>
        <w:tabs>
          <w:tab w:leader="none" w:pos="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reported in The Wall Street Journal plus 2.15%, and (b) 5.40%. In addition to the cash interest rate, the principal balance accrues paid-in-kind interest at a rate of 3.45%, which amount will be capitalized and added to the outstanding principal balance of the Amended Term Loan and payable at the maturity date of the Amended Loan Agreement.</w:t>
      </w:r>
    </w:p>
    <w:p>
      <w:pPr>
        <w:sectPr>
          <w:pgSz w:w="11900" w:h="16838" w:orient="portrait"/>
          <w:cols w:equalWidth="0" w:num="1">
            <w:col w:w="11260"/>
          </w:cols>
          <w:pgMar w:left="300" w:top="121" w:right="33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On March 31, 2023 (the First Amendment Effective Date), the Company entered into a First Amendment to the Amended Loan Agreement (the First Amendment) with Hercules. The First Amendment amended the terms of the Amended Loan Agreement to, among other things, (i) issue an advance of $25.0 million drawn at the First Amendment Effective Date (the Tranche 3A Advance), (ii) formal expiration of Tranche 2, (iii) change the draw amounts and dates available under subsequent tranches, including splitting the remaining balance of Tranche 3 into two additional advances in an aggregate principal amount of up to $20.0 million, in increments of $10.0 million (the Tranche 3B Advance and the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The First Amendment contains financial covenants that require the Company to maintain certain levels of unrestricted cash and additional financial covenants related to market capitalization. As of June 30, 2024, we are in compliance with all financial covenants under the Amended Loan Agreement.</w:t>
      </w:r>
    </w:p>
    <w:p>
      <w:pPr>
        <w:spacing w:after="0" w:line="190"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First Amendment also contains warrant coverage of 2.95% of each advance amount funded.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80"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In addition, the Company is required to pay a final payment fee equal to 5.95% of the aggregate principal amount of the Term Loan Advances (as defined in the Loan Agreement) plus 4.95% of the aggregate principal amount of all other advances.</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spacing w:after="0" w:line="176" w:lineRule="exact"/>
        <w:rPr>
          <w:sz w:val="20"/>
          <w:szCs w:val="20"/>
          <w:color w:val="auto"/>
        </w:rPr>
      </w:pPr>
    </w:p>
    <w:p>
      <w:pPr>
        <w:jc w:val="both"/>
        <w:ind w:firstLine="504"/>
        <w:spacing w:after="0" w:line="281" w:lineRule="auto"/>
        <w:rPr>
          <w:sz w:val="20"/>
          <w:szCs w:val="20"/>
          <w:color w:val="auto"/>
        </w:rPr>
      </w:pPr>
      <w:r>
        <w:rPr>
          <w:rFonts w:ascii="Times New Roman" w:cs="Times New Roman" w:eastAsia="Times New Roman" w:hAnsi="Times New Roman"/>
          <w:sz w:val="17"/>
          <w:szCs w:val="17"/>
          <w:color w:val="auto"/>
        </w:rPr>
        <w:t>The Company evaluated whether the First Amendment represented a debt modification or extinguishment of the Term Loan in accordance with ASC 470-50, Debt – Modifications and Extinguishments. As a result of the modification of terms and no repayment or retirement of the Term Loan, the Term Loan was accounted for by the Company under the modification accounting model. The Company capitalized the facility charge from the First Amendment advance to debt issuance costs and expensed third party fees in the Company’s statement of operations for the three months ended March 31, 2023.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estimated the fair value of the First Amendment Warrant using the Black-Scholes model based on the following key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Amended Term Loan</w:t>
            </w:r>
          </w:p>
        </w:tc>
        <w:tc>
          <w:tcPr>
            <w:tcW w:w="160" w:type="dxa"/>
            <w:vAlign w:val="bottom"/>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5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r>
      <w:tr>
        <w:trPr>
          <w:trHeight w:val="414"/>
        </w:trPr>
        <w:tc>
          <w:tcPr>
            <w:tcW w:w="4240" w:type="dxa"/>
            <w:vAlign w:val="bottom"/>
          </w:tcPr>
          <w:p>
            <w:pPr>
              <w:spacing w:after="0"/>
              <w:rPr>
                <w:sz w:val="24"/>
                <w:szCs w:val="24"/>
                <w:color w:val="auto"/>
              </w:rPr>
            </w:pPr>
          </w:p>
        </w:tc>
        <w:tc>
          <w:tcPr>
            <w:tcW w:w="494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The Company incurred financing expenses of $2.0 million (including the fair value of the First Amendment Warrant) related to the First Amendment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$1.3 million and $1.1 million for the six months ended June 30, 2024, and 2023, respectively. At June 30, 2024, the remaining unamortized balance of debt issuance costs was $3.8 million. ​</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payable as of June 30, 2024 and December 31, 2023,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106,371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(5,112)</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payments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non-current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11 for a discussion of the full repayment of this loan payable in August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$0.1 million for the six months ended June 30, 2024.</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$0.2 million for the six months ended June 30, 2024.</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$10.0 million and $7.7 million, respectively, as of June 30, 2024. Our leases have remaining lease terms of 6 months to 7 years. One lease has a renewal option to extend the lease for an additional term of two years. The following components of lease expense are included in the Company’s condensed consolidated statements of operations for the three and six months ended June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June 30, 2024, the weighted-average remaining operating lease term was 5.6 years and the weighted-average discount rate for operating leases was 10.01%. Cash paid for amounts included in the measurement of operating lease liabilities during the six months ended June 30, 2024 was $1.2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As of June 30, 2024, the maturities of lease liabilities were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After 2029</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subsidiaries of LFB Group, relating to the development of ublituximab (the LFB License Agreement). Under the terms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we have acquired the exclusive worldwide rights (exclusive of France/Belgium) for the development and commercialization of ublituximab.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June 30, 2024, we have incurred approximately $31.0 million in expense related to the achievement of certain milestones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firstLine="504"/>
        <w:spacing w:after="0" w:line="251" w:lineRule="auto"/>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three and six months ended June 30, 2024, the Company recorded $7.2 million and $12.1 million, respectively, related to the worldwide royalty due under the LFB License Agreement in cost of revenue based on sales of BRIUMVI in the U.S. and the EU, compared to $1.5 million and $2.3 million during the three and six months ended June 30, 2023, respectively, related to the worldwide royalty due under the LFB License Agreement in cost of revenue based on U.S. sales of BRIUMVI. As of June 30, 2024, $7.2 million in royalties were payable under the LFB License Agreement.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2024 and 2023. At June 30, 2024 and December 31, 2023, we have deferred revenue of approximately $0.2 million and $0.3 million, respectively, associated with this $2 million payment (approximately $0.2 million of which has been classified in current liabilities at June 30, 2024 and December 31, 2023).</w:t>
      </w:r>
    </w:p>
    <w:p>
      <w:pPr>
        <w:spacing w:after="0" w:line="18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territories outside the United States, Canada, and Mexico, which are retained by TG, and excluding certain Asian countries previously partnered. Under the terms of the Commercialization Agreement, the Company received a one-time, non-refundable payment of $140.0 million upon contract execution (please refer to Note 2 – Revenue). In March 2024, the Company received a $12.5 million milestone payment upon the first key market commercial launch in the EU. The Company is eligible to receive up to an additional $492.5 million in milestone-based payments on achievement of certain launch and commercial milestones. In addition, TG will receive tiered double-digit royalties on net product sales up to 30%. Royalty revenue of $0.1 million and $0.2 million was recognized during the three and six months ended June 30, 2024, respectively. In the event of a change of control of the Company (as defined in the Commercialization Agreement), the Company retains an option to buy back all rights under the Commercialization Agreement for a period of two years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Azer-cel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7,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at a price of $0.77 per share. Within 12 months of the Precision License Agreement, the Company will make a deferred payment of $2.5 million to Precision, consisting of an equity investment in Precision’s common stock at a 100% premium to the 30-day volume-weighted average price (the 30-day VWAP) prior to purchase.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$293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The Company has also agreed to make certain payments to Precision’s licensors during the term of the Precision License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$0.9 million and $0.5 million for the six months ended June 30, 2024 and 2023, respectively, primarily related to shared personnel. Mr. Weiss, our Chairman and Chief Executive Officer, also serves as a director and Executive Vice Chairman, Strategic Development of FBIO.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2024, the Company entered into a term loan facility of $250 million (the Initial Term Loan) with Blue Owl Capital Corporation, as administrative agent (the Administrative Agent), HealthCare Royalty and Blue Owl Capital under the Financing Agreement (as defined below). The Initial Term Loan is governed by a financing agreement, dated August 2, 2024 (the Financing Agreement), which provides for (i) a single draw of the Initial Term Loan on the Closing Date and (ii) an uncommitted additional facility in an aggregate principal amount of $100 million.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Initial Term Loan is secured by a lien on substantially all of the assets of the Company and certain subsidiaries of the Company as guarantors and contains customary covenants and representations.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 2024, the Company repaid all outstanding principal and accrued interest and fees under the First Amendment with Hercules (such repayment, the Refinancing), which Refinancing was funded with the proceeds of the Initial Term Loan. The existing Loan Agreement with Hercules was effectively terminated and all guarantees and liens granted thereunder were released upon the consummation of the Refinancing.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 2024, the Company announced that the Board of Directors (the Board) of the Company had authorized and approved a share repurchase program for up to $100 million of the currently outstanding shares of the Company’s common stock. Under the share repurchase program, the Company intends to repurchase shares through open market purchases, privately-negotiated transactions, block purchases or otherwise in accordance with applicable federal securities laws, including Rule 10b-18 of the Securities Exchange Act of 1934, as amended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Ublituximab Development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August 2024, we announced the initiation of a Phase 1 clinical trial evaluating a subcutaneous formulation of ublituximab in patients with RMS and that patients have been dosed.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2024 we announced FDA clearance of the Investigational New Drug (IND) application for azercabtagene zapreleucel (azer-cel) for the treatment of progressive forms of multiple sclerosis. Previously, in January 2024, we entered into an agreement with Precision BioSciences, Inc. (Precision) to acquire a worldwide license to Precision’s azer-cel, for autoimmune diseases and all other non-oncology indications. Azer-cel is an allogeneic (off the shelf) CAR T program, and the Company has near term plans to evaluate the program in multiple autoimmune indications.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2024 we announced the establishment of a new five year, $250 million credit facility with HealthCare Royalty and Blue Owl Capital, primarily to repay $107 million in outstanding debt and accrued interest, which was set to mature in multiple tranches from mid-2025 to January 2026 and to fund the buyback of up to $100 million of currently outstanding shares of our common stock. The remainder will be available for working capital purposes, providing us with additional operational flexibility.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Patents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February 2024, we announced the issuance of three additional patents by the United States Patent and Trademark Office (USPTO) for BRIUMVI, which extended patent protection through 2042.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August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Stage/Status of Development</w:t>
            </w:r>
          </w:p>
        </w:tc>
      </w:tr>
      <w:tr>
        <w:trPr>
          <w:trHeight w:val="255"/>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r>
      <w:tr>
        <w:trPr>
          <w:trHeight w:val="193"/>
        </w:trPr>
        <w:tc>
          <w:tcPr>
            <w:tcW w:w="38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Relapsing Forms of Multiple Sclerosis (RMS) </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Subcutaneous ublituximab</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09"/>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Azer-cel</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Progressive Forms of Multiple Sclerosis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 Accepted</w:t>
            </w:r>
          </w:p>
        </w:tc>
      </w:tr>
      <w:tr>
        <w:trPr>
          <w:trHeight w:val="187"/>
        </w:trPr>
        <w:tc>
          <w:tcPr>
            <w:tcW w:w="38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tc>
        <w:tc>
          <w:tcPr>
            <w:tcW w:w="44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BRIUMVI approvals were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 Pediatrics, and Genetics at Stanford University. Full enrollment was completed in October 2018, with approximately 1,100 subjects enrolled in both studies combined.</w:t>
      </w:r>
    </w:p>
    <w:p>
      <w:pPr>
        <w:spacing w:after="0" w:line="189" w:lineRule="exact"/>
        <w:rPr>
          <w:sz w:val="20"/>
          <w:szCs w:val="20"/>
          <w:color w:val="auto"/>
        </w:rPr>
      </w:pPr>
    </w:p>
    <w:p>
      <w:pPr>
        <w:ind w:left="980" w:right="280" w:hanging="324"/>
        <w:spacing w:after="0" w:line="255"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ind w:left="980" w:right="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exploratory data sets from the ULTIMATE I &amp; II Phase 3 trials continue to be presented at major medical meetings. BRIUMVI is also being studied in the ENHANCE Phase 3b trial evaluating RMS patients who switch from a IV anti-CD20 therapy to BRIUMVI and data from the ENHANCE trial was most recently presented at the 2024 Americas Committee for Treatment and Research in Multiple Sclerosis Annual Meeting held in February 2024.</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ind w:left="980" w:right="140" w:hanging="324"/>
        <w:spacing w:after="0" w:line="180" w:lineRule="auto"/>
        <w:tabs>
          <w:tab w:leader="none" w:pos="980" w:val="left"/>
        </w:tabs>
        <w:numPr>
          <w:ilvl w:val="0"/>
          <w:numId w:val="17"/>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In August 2024, we announced the initiation of a Phase 1 clinical trial evaluating a subcutaneous formulation of ublituximab in patients with RMS and that the first patients have been dosed.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 and the first RMS patient received a BRIUMVI infusion on February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1,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the Company previously partnered. We retain an option to buy back all rights under the Commercialization Agreement for a period of two years in the event of a change in control of TG.</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1, 2023, we announced that we also received approval by the MHRA for BRIUMVI to treat adult patients with RMS with active disease defined by clinical or imaging features in the UK.</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26, 2024, we announced the commercial launch of BRIUMVI in the EU by Neuraxpharm, with BRIUMVI made available for commercial sale in Germany, with additional EU markets expected to follow.</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June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72,596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73,466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5,664</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28,122</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30,715</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3,627</w:t>
            </w:r>
          </w:p>
        </w:tc>
      </w:tr>
      <w:tr>
        <w:trPr>
          <w:trHeight w:val="234"/>
        </w:trPr>
        <w:tc>
          <w:tcPr>
            <w:tcW w:w="5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60" w:type="dxa"/>
            <w:vAlign w:val="bottom"/>
          </w:tcPr>
          <w:p>
            <w:pPr>
              <w:spacing w:after="0"/>
              <w:rPr>
                <w:sz w:val="18"/>
                <w:szCs w:val="18"/>
                <w:color w:val="auto"/>
              </w:rPr>
            </w:pPr>
          </w:p>
        </w:tc>
      </w:tr>
      <w:tr>
        <w:trPr>
          <w:trHeight w:val="407"/>
        </w:trPr>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(47,610)</w:t>
            </w:r>
          </w:p>
        </w:tc>
      </w:tr>
      <w:tr>
        <w:trPr>
          <w:trHeight w:val="216"/>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tcPr>
          <w:p>
            <w:pPr>
              <w:spacing w:after="0"/>
              <w:rPr>
                <w:sz w:val="20"/>
                <w:szCs w:val="20"/>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(47,610)</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-1002665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-436245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$72.6 million for the three months ended June 30, 2024, compared to $16.0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June 30, 2023. Product revenue, net for the both the three months ended June 30, 2024 and June 30, 2023 consisted of net product sales of BRIUMVI in the United States. In January 2023, we began commercial sales of BRIUMVI within the U.S. following FDA approval. The increase in product revenue, net is driven by an increase in product shipments for BRIUMVI as a result of greater market penetration.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less than $0.1 million for the three months ended June 30, 2024 and June 30, 2023. License revenue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the three months ended June 30, 2024 and June 30, 2023 is predominantly comprised of recognition of a portion of the upfront payment from the Ublituximab sublicense agreement with Ildong.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Revenue</w:t>
      </w:r>
      <w:r>
        <w:rPr>
          <w:rFonts w:ascii="Times New Roman" w:cs="Times New Roman" w:eastAsia="Times New Roman" w:hAnsi="Times New Roman"/>
          <w:sz w:val="18"/>
          <w:szCs w:val="18"/>
          <w:color w:val="auto"/>
        </w:rPr>
        <w:t>. Other revenue was approximately $0.7 million and zero for the three months ended June 30, 2024 and June 30,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Other revenue for the three months ended June 30, 2024 is comprised of consideration received for development and regulatory activities performed on behalf of Neuraxpharm in accordance with the Commercialization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June 30, 2024 was $8.3 million compared to approximately $1.9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Cost of revenue for both the three months ended June 30, 2024 and June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As a result, our initial product gross margin is higher as our pre-launch inventory costs are not included in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The cost of revenue for both the three months ended June 30, 2024 and June 30, 2023 includes, respectively, $0.7 million and zero, costs related to delivering regulatory support &amp; development services to Neuraxpharm in accordance with the Commercialization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$2.5 million for the three months ended June 30, 2024, as compared to $5.7 million during the comparable period ended June 30, 2023. The decrease in noncash compensation expense was primarily due to decreased vesting of milestone-based grants during the three months ended June 30, 2024, as compared to the three months ended June 30,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decreased for the three months ended June 30, 2024,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$7.4 million to $15.0 million as compared to the comparable period ended June 30, 2023. The decrease in research and development expense during the three months ended June 30, 2024 was primarily due to reduced clinical trial related expense and license milestones incurred during the period.</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$7.0 million for the three months ended June 30, 2024, as compared to $6.9 million during the comparable period ended June 30, 2023.</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$31.8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as compared to $23.8 million during the comparable period ended June 30, 2023. The increase was primarily due to other selling, general and administrative costs, including personnel and consultants, associated with the commercialization of BRIUMVI, during the three months ended June 30,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by $0.4 million to $4.0 million for the three months ended June 30, 2024, as compared to $3.6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June 30, 2023.</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increased by $1.0 million to $1.7 million for the three months ended June 30, 2024 as compared to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2023. The increase is mainly due to higher interest income received from our money market investments.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4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six months ended June 30, 2024 and 2023: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123,084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136,939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23,877</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73,370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58,783</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105,542</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(1,295)</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(86,841)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$123.1 million for the six months ended June 30, 2024, compared to $23.8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June 30, 2023. Product revenue, net for the both the six months ended June 30, 2024 and June 30, 2023, consisted of net product sales of BRIUMVI in the United States. In January 2023, we began commercial sales of BRIUMVI within the U.S. following FDA approval. The increase in product revenue, net is driven by an increase in product shipments for BRIUMVI as a result of greater market penetration.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$12.6 million for the six months ended June 30, 2024 compared to approximately $0.1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License revenue for the six months ended June 30, 2024 is predominantly comprised of a milestone payment under the Neuraxpharm Commercialization Agreement for the first key market commercial launch of BRIUMVI in the EU. License revenue for the six months ended June 30, 2023 is comprised of recognition of a portion of the upfront payment from the Ublituximab sublicense agreement with Ildong.</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Revenue</w:t>
      </w:r>
      <w:r>
        <w:rPr>
          <w:rFonts w:ascii="Times New Roman" w:cs="Times New Roman" w:eastAsia="Times New Roman" w:hAnsi="Times New Roman"/>
          <w:sz w:val="18"/>
          <w:szCs w:val="18"/>
          <w:color w:val="auto"/>
        </w:rPr>
        <w:t>. Other revenue was approximately $1.3 million and zero for the six months ended June 30, 2024 and June 30, 2023,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revenue for the six months ended June 30, 2024 is comprised mainly of consideration received for development and regulatory activities performed on behalf of Neuraxpharm in accordance with the Commercialization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six months ended June 30, 2024 was $13.7 million compared to approximately $2.8 million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Cost of revenue for both the six months ended June 30, 2024 and June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As a result, our initial product gross margin is higher as our pre-launch inventory costs are not included in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The cost of revenue for the six months ended June 30, 2024 includes $1.1 million of costs related to delivering regulatory support &amp; development services to Neuraxpharm in accordance with the Commercialization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$5.0 million for the six months ended June 30, 2024, as compared to $7.2 million during the comparable period ended June 30, 2023. The decrease in noncash compensation expense was primarily due to decreased vesting of milestone-based grants during the six months ended June 30, 2024, as compared to the six months ended June 30,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increased for the six months ended June 30, 2024,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$8.6 million to $45.3 million as compared to the comparable period ended June 30, 2023. The increase in research and development expense during the six months ended June 30, 2024 was primarily attributable to the Precision License Agreement, as well as manufacturing related expenses during the period, offset by a decrease in clinical trial expenses.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$13.8 million for the six months ended June 30, 2024, as compared to $12.1 million during the comparable period ended June 30, 2023. The increase in noncash compensation expense was primarily due to greater vesting of equity grants during the six months ended June 30, 2024, as compared to the six months ended June 30, 2023.</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$59.5 million for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2024, as compared to $46.7 million during the comparable period ended June 30, 2023. The increase was primarily due to other selling, general and administrative costs, including personnel and consultants, associated with the commercialization of BRIUMVI, during the six months ended June 30,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decreased by $0.2 million to $6.3 million for the six months ended June 30, 2024, as compared to $6.5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June 30, 2023.</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increased by $1.3 million to $2.6 million for the six months ended June 30, 2024 as compared to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2023. The increase is mainly due to greater accretion income earned from short-term investment securities during the six months ended June 30, 2024 compared to the comparable period ending June 30,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incurred operating losses; however, during the three months ended June 30, 2024, the Company experienced a net profit. Additionally, during the twelve months ended December 31, 2023, the Company experienced a net profit due to a $140.0 million non-refundable upfront payment recognized as license revenue in the third quarter of 2023 as part of our Commercialization Agreement with Neuraxpharm (see Note 2 for more information). We may incur operating losses in the near term and may never become profitable. As of June 30, 2024, we have an accumulated deficit of $1.6 billion.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our loan and security agreements executed with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During the six months ended June 30, 2024, we generated $123.1 million in product revenue from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we had $217.3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0" w:type="dxa"/>
            <w:vAlign w:val="bottom"/>
          </w:tcPr>
          <w:p>
            <w:pPr>
              <w:spacing w:after="0"/>
              <w:rPr>
                <w:sz w:val="24"/>
                <w:szCs w:val="24"/>
                <w:color w:val="auto"/>
              </w:rPr>
            </w:pPr>
          </w:p>
        </w:tc>
        <w:tc>
          <w:tcPr>
            <w:tcW w:w="324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(101,907)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2024 was $2.7 million as compared to cash used in operating activities of $101.9 million for the six months ended June 30, 2023. The decrease in net cash used in operating activities was due to a lower net loss during the six months ended June 30, 2024, offset by an increase in inventory of $39.5 million during the same period. This inventory balance increase was due to the buildup of inventory in support of BRIUMVI forecasted sales, to ensure appropriate safety stock levels, and meet our commitment to supply BRIUMVI to Neuraxpharm in relation to the Commercialization Agreement.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$7.5 million as compared to $24.3 million provided by investing activities for the six months ended June 30, 2023. The increase in net cash used in investing activities was primarily due to increased investment in short-term securities during the six months ended June 30, 2024.</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approximately $0.1 million as compared to net cash provided by financing activities of $72.2 million for the six months ended June 30, 2023. The decrease in net cash provided by financing activities during the six months ended June 30, 2024 is due to the advance of $25.0 million drawn as part of the First Amendment entered into with Hercules on March 31, 2024 and $46.3 million received under 2022 ATM that occurred during the six months June 30,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2023 Annual Report on Form 10-K for the year ended December 31, 2023 and refer to Note 1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–Revenue”, “Note 5 - Fair Value Measurements” and “Note 6 – Stockholders’ Equity” respectively, for more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June 30, 2024,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2024, our disclosure controls and procedures were not effective due to the material weakness in internal control over financial reporting described below.</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 described below, 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Quarterly Report fairly present, in all material respects, our financial position, results of operations, and cash flows as of and for the periods presented, in accordance with U.S. GAAP.</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identified that a process-level control over share-based payment awards was not designed effectively. This ineffectively designed control was attributable to insufficient risk assessment with regards to non-routine share-based payment awards.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control deficiency resulted in immaterial misstatements in related accounts. Furthermore, the control deficiency described above created a reasonable possibility that a material misstatement to the consolidated financial statements would not be prevented or detected on a timely basis. Therefore, we concluded that the deficiency represents a material weakness in the Company’s internal control over financial reporting and our internal control over financial reporting was not effective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Plan to Remediate the Identified Material Weakness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will implement enhanced risk assessment procedures to ensure that all non-routine share-based payment awards are appropriately identified and evaluated. Further, the Company will design additional preventative controls around non-routine share-based payment awards to ensure the appropriate recognition and measurement of such awards. Management will report regularly to the audit committee on the progress and results of the remediation plan, including the identification, status, and resolution of internal control deficiencies.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anticipate that the material weakness will be fully remediated before December 31, 2024, but the material weakness cannot be considered fully remediated until the updated policies and training have been in place and operated for a sufficient period of time to enable management and KPMG LLP to test and to conclude on the operating effectiveness of the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Quarterly Report, including our financial statements and related notes, and our other filings from time to 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8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(such as the COVID-19 pandemic) could impact commercialization of BRIUMVI. Patients and healthcare providers have raised concerns that immunosuppressive products like anti-CD20 antibodies and other B-cell targeted agents may increase the risk of acquiring viruses (such as COVID-19)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for potentially costly post-marketing testing, including Phase 4 clinical trials, and surveillance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8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On April 27, 2023, we received a product-specific J-Code for BRIUMVI (J2329), which became effective July 1, 2023 and is expected to help reduce reluctance by physicians to prescribe BRIUMVI based on reimbursement concerns. However, some third-party payors may nevertheless still require documented proof that patients meet certain eligibility criteria in order to be reimbursed for BRIUMVI.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built processes and systems to support the commercialization of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commercialize BRIUMVI and our other product candidates on our own, or through partnership, and generate product revenues include:</w:t>
      </w:r>
    </w:p>
    <w:p>
      <w:pPr>
        <w:spacing w:after="0" w:line="162" w:lineRule="exact"/>
        <w:rPr>
          <w:sz w:val="20"/>
          <w:szCs w:val="20"/>
          <w:color w:val="auto"/>
        </w:rPr>
      </w:pPr>
    </w:p>
    <w:p>
      <w:pPr>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980" w:right="2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our partner commercially launched BRIUMVI in Germany, the first European market in which BRIUMVI has launched.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typically are subject to procurement laws that include socio-economic, employment practices, environmental protection, recordkeeping and accounting, and other requirements. These contractual and legal requirements could complicate our business and increase our compliance burden. The occurrence of any of these risks could harm our reputation and might have a materially adverse impact on our business operations and our financial position 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products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well as significant commercialization and outsourced-manufacturing expenses as we continue to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our products or product candidates that generate significant revenue.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spacing w:after="0" w:line="200" w:lineRule="exact"/>
        <w:rPr>
          <w:sz w:val="20"/>
          <w:szCs w:val="20"/>
          <w:color w:val="auto"/>
        </w:rPr>
      </w:pPr>
    </w:p>
    <w:p>
      <w:pPr>
        <w:spacing w:after="0" w:line="20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MHRA and EMA approvals of BRIUMVI for RMS;</w:t>
      </w: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 and</w:t>
      </w:r>
    </w:p>
    <w:p>
      <w:pPr>
        <w:spacing w:after="0" w:line="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also continuing to generate additional clinical data for BRIUMVI to support and potentially expand commercial adoption, including assessing long-term tolerability in an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now that we have launched BRIUMVI, we will need to expend substantial resources on maintaining approvals and continuing commercialization, manufacturing and distribution over the foreseeable future. Additionally, we expect to commence a trial evaluating azer-cel in autoimmune disease in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financing agreement that we entered into with Blue Owl Capital Corporation, HealthCare Royalty and Blue Owl Capital in August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and Note 11 to our condensed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with Hercules Capital, Inc., a Maryland corporation (Hercules), and on December 30, 2021, the Company entered into an Amended and Restated Loan and Security Agreement (the Amended Loan Agreement) with Hercules, which was amended on March 31, 2023. On August 2, 2024, we repaid all outstanding principal and accrued interest and fees under the Amended Loan Agreement, as amended, and the Amended Loan Agreement was effectively terminated.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August 2, 2024, the Company entered into a term loan facility of $250 million (the Initial Term Loan) with Blue Owl Capital Corporation, as administrative agent (the Administrative Agent), HealthCare Royalty and Blue Owl Capital under the Financing Agreement (as defined below).</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dated August 2, 2024 (the Financing Agreement), which provides for (i) a single draw of the Initial Term Loan on the Closing Date and (ii) an uncommitted additional facility in an aggregate principal amount of $100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 to our condensed consolidated financial statements for more information).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obligations under the Financing Agreement are secured by a lien on substantially all of assets of the Company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5" w:lineRule="exact"/>
        <w:rPr>
          <w:sz w:val="20"/>
          <w:szCs w:val="20"/>
          <w:color w:val="auto"/>
        </w:rPr>
      </w:pPr>
    </w:p>
    <w:p>
      <w:pPr>
        <w:ind w:left="98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hanging="324"/>
        <w:spacing w:after="0" w:line="255"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Amended Loan Agreement, as amended, or the breach of any of its covenants, subject to specified cure periods with respect to certain breaches, could result in an event of default and, as a result, Hercules could accelerate all the amounts due. In the event of an acceleration of amounts due under the Amended Loan Agreement, as amended,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Amended Loan Agreement, as amended, imposes operating and other restrictions on the Company. Such restrictions will affect, and in many respects limit or prohibit, our ability and the ability of any future subsidiary to, among other things:</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did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regulatory approval for our product and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Drugs (INDs) and clinical trial applications (CTAs), being cleared/approved such that our product candidates can commence clinical trials;</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such as the Russian invasion of Ukraine or the Israel-Hamas war, economic instability, or natural disasters;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jc w:val="both"/>
        <w:ind w:left="980" w:hanging="324"/>
        <w:spacing w:after="0" w:line="25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For example, in December 2022, with the passage of Food and Drug Omnibus Reform Act,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If we are not able to adhere to these new requirements, our ability to conduct clinical trials may be delayed or halted.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have complete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980" w:right="2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right="1900" w:hanging="324"/>
        <w:spacing w:after="0" w:line="265"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identify issues related to the manufacturing processes or facilities of third-party manufacturers with which we or our collaborators currently contract for clinical supplies and</w:t>
      </w:r>
    </w:p>
    <w:p>
      <w:pPr>
        <w:jc w:val="both"/>
        <w:ind w:left="9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spacing w:after="0" w:line="1" w:lineRule="exact"/>
        <w:rPr>
          <w:rFonts w:ascii="Times New Roman" w:cs="Times New Roman" w:eastAsia="Times New Roman" w:hAnsi="Times New Roman"/>
          <w:sz w:val="17"/>
          <w:szCs w:val="17"/>
          <w:color w:val="auto"/>
        </w:rPr>
      </w:pP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foreign regulatory authorities may significantly change in a manner rendering our clinical data insufficient for approval; or</w:t>
      </w:r>
    </w:p>
    <w:p>
      <w:pPr>
        <w:ind w:left="980" w:right="20" w:hanging="324"/>
        <w:spacing w:after="0" w:line="26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inadequate government funding, or economic crises international conflict, or national disasters may negatively impact review, inspection, and approval timelines.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 or if any changes in an administration may have on the ACA or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(DHHS) to set drug price caps for certain high-cost Medicare Part B and Part D qualified drugs, with the initial list of drugs selected on August 29, 2023, and the first year of maximum price applicability to begin in 2026. On October 3, 2023, the Centers for Medicare</w:t>
      </w:r>
    </w:p>
    <w:p>
      <w:pPr>
        <w:spacing w:after="0" w:line="3" w:lineRule="exact"/>
        <w:rPr>
          <w:sz w:val="20"/>
          <w:szCs w:val="20"/>
          <w:color w:val="auto"/>
        </w:rPr>
      </w:pPr>
    </w:p>
    <w:p>
      <w:pPr>
        <w:jc w:val="both"/>
        <w:ind w:firstLine="8"/>
        <w:spacing w:after="0" w:line="253" w:lineRule="auto"/>
        <w:tabs>
          <w:tab w:leader="none" w:pos="1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announced that all manufacturers of the initially selected drugs opted to participate.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980" w:hanging="324"/>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3"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The Centers for Medicare &amp; Medicaid Services (CMS) has the potential to impose penalties for violations of the Physician Payment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980" w:hanging="324"/>
        <w:spacing w:after="0" w:line="253"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Within the United States, HIPAA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is considered sensitive data that merits stronger safeguards. States may also impose requirements. For example, the California Consumer Privacy Act (CCPA), went into effect in January 2020 creating data privacy obligations for covered companies and providing privacy rights to California residents, including the right to opt out of certain disclosures of their information. Colorado, Connecticut, Washington, Utah, Virginia and Iowa have also enacted data privacy statutes. Among other things, these state-specific laws create new data privacy obligations for covered companies and provide new privacy rights to state residents, including the right to opt out of certain disclosures of their information. The CCPA also created a private right of action with statutory damages for certain data breaches, thereby potentially increasing risks associated with a data breach. The Washington My Health My Data Act also contains a private right of actions. Draft regulations implementing certain of the state statutes have been published, but many questions remain as to how all of the new statutes will be interpreted. In addition to the laws discussed above, we may see more stringent federal and state privacy legislation passed in 2024 and beyond, as the increased cyber-attacks during the ongoing COVID-19 pandemic have once again put a spotlight on data privacy and security in the U.S. and other jurisdictions. We cannot predict where new legislation might arise, the scope of such legislation, or the potential impact to our business and operations. We expect to incur additional costs to ensure that our data privacy and security policies, procedures, and activities comply with applicable and evolving legal requirements.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personally identifiable data. For example, the processing of personal data in the European Economic Area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authorities in the EU, including applicable export control regulations,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including the Nasdaq Stock Market, for violations of the FCPA’s accounting provisions. Likewise, any investigation of any potential violations of the FCPA, other anti-corruption laws or Trade Control Laws by U.S., or other authorities could also have an adverse impact on our reputation, our business, results of operations and financial condition.</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 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Neuraxpharm announced the commercial launch of BRIUMVI in Germany and expects to launch BRIUMVI in additional international markets as well. In addition to the Commercialization Agreement, we may enter into collaboration arrangements with other collaboration and commercialization partners.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980" w:right="20" w:hanging="324"/>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980" w:right="2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980" w:hanging="324"/>
        <w:spacing w:after="0" w:line="253"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Therefore,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may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August 5, 2024, we had 300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$1.4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closures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the conflicts between Russia and Ukraine and Israel and Hamas, the possibility of wider European, Middle Eastern or other geopolitical tensions, and the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another example, in August 2022, the Inflation Reduction Act of 2022 (the IRA) was enacted, and, among other things, included a new 15% alternative minimum tax on the adjusted financial statement income of certain large corporations for tax years beginning after December 31, 2022. To the extent that such changes have a negative impact on us, including as a result of related uncertainty, these changes could adversely impact our business, results of operations and financial position. On December 14, 2023, President Biden announced that, under the IRA, dozens of pharmaceutical companies are required to pay rebates to Medicare for price hikes on prescription drugs.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our stock at a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German market and the anticipated launch of BRIUMVI in additional European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or other crises and other external factors such as the disruptions in the global economy caused by the COVID-19 pandemic, the conflict between Russia and Ukraine, and the Israel-Hamas war;</w:t>
      </w: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 of shares of our common stock pursuant to our share repurchase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occurrences of any of the risks described in this Quarterly Report.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if we fail, or are perceived to have failed, to effectively respond to changes in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likely be the sole source of gain for our stockholders.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However, any future determination relating to the use of our future earnings,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Amended Loan Agreement, as amended,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likely the sole source of gain for our stockholders for the foreseeable future.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ectPr>
          <w:pgSz w:w="11900" w:h="16838" w:orient="portrait"/>
          <w:cols w:equalWidth="0" w:num="1">
            <w:col w:w="11240"/>
          </w:cols>
          <w:pgMar w:left="320" w:top="121" w:right="339" w:bottom="177"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 and result in a loss of investor confidence in our financial reports.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related to non-routine share-based payment awards,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preparation of our unaudited condensed consolidated financial statements for the period ended June 30, 2024, we identified a material weakness in our internal control over financial reporting related to controls around non-routine share-based payment awards.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pertains to certain process-level controls over share-based payment awards for stock awards with market conditions. To remediate the material weakness in the Company’s internal control over financial reporting, the Company will implement enhanced risk assessment procedures to ensure that all non-routine share-based grants are appropriately identified and evaluated. Further, the Company will design additional preventative controls around non-routine share-based payment awards to ensure the appropriate recognition and measurement of such awards at the grant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material weakness will not be considered remediated until the applicable controls operate for a sufficient period of time to enable management and our independent registered public accounting firm to test and to conclude that these controls are operating effectively. Until this material weakness is remediated, we plan to continue to perform additional analyses and other procedures to ensure that our consolidated financial statements are prepared in accordance with GAAP.</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adversely affect the results of periodic management evaluations.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2024, we announced that our Board of Directors had authorized a share repurchase program of up to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Global Select Market, and other factors that we may deem relevant. We can provide no assurance that we will repurchase shares of our Common Stock at favorable prices,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tbl>
      <w:tblPr>
        <w:tblLayout w:type="fixed"/>
        <w:tblInd w:w="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TG Therapeutics, Inc. (incorporated by</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reference to Exhibit 3.1 to the Registrant’s Current Report on Form 8-K filed on June 17, 2024).</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Amendment to the TG Therapeutics, Inc. 2022 Incentive Plan (incorporated by reference to Exhibit 10.1 to the Registrant’s Current</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Report on Form 8-K filed on June 17, 2024).</w:t>
            </w:r>
          </w:p>
        </w:tc>
      </w:tr>
      <w:tr>
        <w:trPr>
          <w:trHeight w:val="194"/>
        </w:trPr>
        <w:tc>
          <w:tcPr>
            <w:tcW w:w="1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94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Financing Agreement between TG Therapeutics, Inc., certain subsidiaries of TG Therapeutics, Inc., various lenders from time to</w:t>
            </w:r>
          </w:p>
        </w:tc>
      </w:tr>
      <w:tr>
        <w:trPr>
          <w:trHeight w:val="196"/>
        </w:trPr>
        <w:tc>
          <w:tcPr>
            <w:tcW w:w="164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time party thereto, and Blue Owl Capital Corporation, dated August 2, 2024.</w:t>
            </w:r>
          </w:p>
        </w:tc>
        <w:tc>
          <w:tcPr>
            <w:tcW w:w="3720" w:type="dxa"/>
            <w:vAlign w:val="bottom"/>
            <w:tcBorders>
              <w:top w:val="single" w:sz="8" w:color="0000EE"/>
            </w:tcBorders>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w:t>
            </w:r>
          </w:p>
        </w:tc>
      </w:tr>
      <w:tr>
        <w:trPr>
          <w:trHeight w:val="196"/>
        </w:trPr>
        <w:tc>
          <w:tcPr>
            <w:tcW w:w="16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August 9, 2024.</w:t>
            </w:r>
          </w:p>
        </w:tc>
        <w:tc>
          <w:tcPr>
            <w:tcW w:w="6380" w:type="dxa"/>
            <w:vAlign w:val="bottom"/>
            <w:tcBorders>
              <w:top w:val="single" w:sz="8" w:color="0000EE"/>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 Section 302 of the Sarbanes-</w:t>
            </w:r>
          </w:p>
        </w:tc>
        <w:tc>
          <w:tcPr>
            <w:tcW w:w="80" w:type="dxa"/>
            <w:vAlign w:val="bottom"/>
            <w:gridSpan w:val="4"/>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August 9, 2024.</w:t>
            </w:r>
          </w:p>
        </w:tc>
        <w:tc>
          <w:tcPr>
            <w:tcW w:w="6440" w:type="dxa"/>
            <w:vAlign w:val="bottom"/>
            <w:gridSpan w:val="8"/>
          </w:tcPr>
          <w:p>
            <w:pPr>
              <w:spacing w:after="0"/>
              <w:rPr>
                <w:sz w:val="17"/>
                <w:szCs w:val="17"/>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1350, as adopted pursuant to Section 906 of the Sarbanes-Oxley Act</w:t>
            </w:r>
          </w:p>
        </w:tc>
      </w:tr>
      <w:tr>
        <w:trPr>
          <w:trHeight w:val="196"/>
        </w:trPr>
        <w:tc>
          <w:tcPr>
            <w:tcW w:w="1640" w:type="dxa"/>
            <w:vAlign w:val="bottom"/>
          </w:tcPr>
          <w:p>
            <w:pPr>
              <w:spacing w:after="0"/>
              <w:rPr>
                <w:sz w:val="17"/>
                <w:szCs w:val="17"/>
                <w:color w:val="auto"/>
              </w:rPr>
            </w:pPr>
          </w:p>
        </w:tc>
        <w:tc>
          <w:tcPr>
            <w:tcW w:w="94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2002, dated August 9, 2024.</w:t>
            </w:r>
          </w:p>
        </w:tc>
        <w:tc>
          <w:tcPr>
            <w:tcW w:w="20" w:type="dxa"/>
            <w:vAlign w:val="bottom"/>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4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1350, as adopted pursuant to Section 906 of the Sarbanes-Oxley Act</w:t>
            </w:r>
          </w:p>
        </w:tc>
        <w:tc>
          <w:tcPr>
            <w:tcW w:w="60" w:type="dxa"/>
            <w:vAlign w:val="bottom"/>
            <w:gridSpan w:val="3"/>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 2002, dated August 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2024.</w:t>
            </w:r>
          </w:p>
        </w:tc>
      </w:tr>
      <w:tr>
        <w:trPr>
          <w:trHeight w:val="20"/>
        </w:trPr>
        <w:tc>
          <w:tcPr>
            <w:tcW w:w="16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2024,</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r>
      <w:tr>
        <w:trPr>
          <w:trHeight w:val="216"/>
        </w:trPr>
        <w:tc>
          <w:tcPr>
            <w:tcW w:w="1640" w:type="dxa"/>
            <w:vAlign w:val="bottom"/>
          </w:tcPr>
          <w:p>
            <w:pPr>
              <w:spacing w:after="0"/>
              <w:rPr>
                <w:sz w:val="18"/>
                <w:szCs w:val="18"/>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pursuant to Item 601(b) of Regulation S-K.</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2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86</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Redacted Version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IDENTIFIED INFORMATION HAS BEEN EXCLUDED FROM THE EXHIBIT BECAUSE IT BOTH (I) IS NOT MATERIAL AND</w:t>
      </w:r>
    </w:p>
    <w:p>
      <w:pPr>
        <w:spacing w:after="0" w:line="31" w:lineRule="exact"/>
        <w:rPr>
          <w:sz w:val="20"/>
          <w:szCs w:val="20"/>
          <w:color w:val="auto"/>
        </w:rPr>
      </w:pPr>
    </w:p>
    <w:p>
      <w:pPr>
        <w:ind w:firstLine="8"/>
        <w:spacing w:after="0" w:line="260" w:lineRule="auto"/>
        <w:tabs>
          <w:tab w:leader="none" w:pos="327" w:val="left"/>
        </w:tabs>
        <w:numPr>
          <w:ilvl w:val="0"/>
          <w:numId w:val="4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WOULD BE COMPETITIVELY HARMFUL IF PUBLICLY DISCLOSED. SUCH EXCLUDED INFORMATION HAS BEEN MARKED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SUBSIDIARIES OF BORROWER,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VARIOUS LENDERS FROM TIME TO TIME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7040" w:type="dxa"/>
            <w:vAlign w:val="bottom"/>
            <w:gridSpan w:val="3"/>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54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53"/>
        </w:trPr>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INTERPRETATION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and Other Terms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Interpretation,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1.4</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References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1.5</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Certain Matters of 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1.6</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1.7</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Metrics.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1.8</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Calculation of Baskets.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ARTICLE II LOANS</w:t>
            </w:r>
          </w:p>
        </w:tc>
        <w:tc>
          <w:tcPr>
            <w:tcW w:w="2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Evidence of Debt; Register; Lenders’ Books and Records;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Conversion/Continuation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2.6</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Interest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2.8</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Term Loans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2.9</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Voluntary Prepayments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Mandatory Prepayment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Application of Prepayments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Provisions Regarding Payments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2.13</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Ratable Sharing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 Costs; Capital Adequacy</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Taxes; Withholding,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2.16</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 to Mitigate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2.18</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2.19</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Making or Maintaining SOFR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2.20</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2.21</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Incremental Term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CONDITIONS PRECEDENT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Date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3.2</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Conditions to Each Credit Extension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 Requisite Power and Authority; Qualification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Capital Stock and Ownership</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Authorization</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4.5</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Governmental Consents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Binding Obligation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4.7</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Financial Statements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4.8</w:t>
            </w:r>
          </w:p>
        </w:tc>
        <w:tc>
          <w:tcPr>
            <w:tcW w:w="7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Forecasts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4.9</w:t>
            </w:r>
          </w:p>
        </w:tc>
        <w:tc>
          <w:tcPr>
            <w:tcW w:w="7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Material Adverse Effect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Adverse Proceedings, Etc.</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of Taxes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Properties, Title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4.13</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4.14</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Defaults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4.15</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4.16</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Governmental Regulation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4.17</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Margin Stock</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4.18</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Benefit Plans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4.19</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Fees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4.20</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4.21</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4.22</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Statutes, Etc.</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4.23</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4.24</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4.25</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4.26</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Permits, Etc.</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4.27</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Bank Accounts and Securities Accounts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4.28</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Security Interests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4.29</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PATRIOT ACT and FCPA</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4.30</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4.31</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4.32</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4.33</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Compliance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4.34</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 Contracts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4.35</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Health Care Laws.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4.36</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Data Protection</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4.37</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AFFIRMATIVE COVENANTS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 and Other Reports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5.2</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Existence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5.3</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5.5</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5.6</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Inspections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5.7</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Lenders Calls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5.8</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5.9</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Environmental</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Subsidiaries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5.11</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Assets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5.12</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5.13</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Control Agreements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Post-Closing Matters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NEGATIVE COVENANTS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Further Negative Pledges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Restricted Junior Payments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Restrictions on Subsidiary Distributions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6.7</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6.8</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Minimum Qualified Cash.</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6.9</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 Disposition of Assets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Disposal of Subsidiary Interests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Lease Backs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6.12</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Transactions with Shareholders and Affiliates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6.14</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to Certain Agreements and Organizational Documents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Methods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6.16</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6.17</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Prepayments of Certain Indebtedness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6.18</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Anti-Terrorism Laws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6.19</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Anti-Corruption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6.20</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 and Patent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Guaranty of the Obligations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Contribution by Guarantors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by Guarantors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Waivers by Guarantors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Guarantors’ Rights of Subrogation, Contribution,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7.7</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7.8</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7.9</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Authority of Guarantors or Borrower</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 of Borrower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Bankruptcy, Etc.</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Discharge of Guaranty Upon Sale of Guarantor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VIII EVENTS OF DEFAULT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Not Exclusive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ADMINISTRATIVE AGENT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Appointment of Administrative Agent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Powers and Duties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Immunity</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 Entitled to Act as Lender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Lenders’ Representations, Warranties and Acknowledgment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to Indemnity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9.8</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Documents and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Agency for Perfection</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Reports and Other Information; Confidentiality; Disclaimers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Protective Advances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Set-Off</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and Waivers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Successors and Assigns; Participations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Survival of Representations, Warranties and Agreements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10.9</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Waiver; Remedies Cumulative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10.10</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Marshalling; Payments Set Aside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10.12</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Several; Independent Nature of Lenders’ Rights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10.14</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10.16</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APPLICABLE LAW</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10.17</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TO JURISDICTION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10.18</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10.19</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10.20</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Usury Savings Clause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10.21</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10.22</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Effectiveness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PATRIOT Act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10.24</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Waiver of Immunity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of Process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10.26</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 Commitments</w:t>
            </w:r>
          </w:p>
        </w:tc>
      </w:tr>
      <w:tr>
        <w:trPr>
          <w:trHeight w:val="234"/>
        </w:trPr>
        <w:tc>
          <w:tcPr>
            <w:tcW w:w="14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Addresses</w:t>
            </w:r>
          </w:p>
        </w:tc>
      </w:tr>
      <w:tr>
        <w:trPr>
          <w:trHeight w:val="63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1.1(a)</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Chemical Structure of BRIUMVI</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1.1(b)</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Jurisdictions of Organization and Qualification</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Stock and Ownership</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4.11</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4.12</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4.13</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4.15</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4.23</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4.24</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4.27</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Accounts and Securities Accounts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4.34</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Contracts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5.14</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Post Closing Matters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Indebtedness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Liens</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6.6</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Loans and Advances to Employees</w:t>
            </w:r>
          </w:p>
        </w:tc>
      </w:tr>
      <w:tr>
        <w:trPr>
          <w:trHeight w:val="234"/>
        </w:trPr>
        <w:tc>
          <w:tcPr>
            <w:tcW w:w="14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6.7</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Investments</w:t>
            </w:r>
          </w:p>
        </w:tc>
      </w:tr>
      <w:tr>
        <w:trPr>
          <w:trHeight w:val="63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A-1</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Funding Notice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A-2</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Conversion/Continuation Notice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 Agreement</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Date Certificate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216"/>
        </w:trPr>
        <w:tc>
          <w:tcPr>
            <w:tcW w:w="146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 Agreement</w:t>
            </w:r>
          </w:p>
        </w:tc>
      </w:tr>
      <w:tr>
        <w:trPr>
          <w:trHeight w:val="234"/>
        </w:trPr>
        <w:tc>
          <w:tcPr>
            <w:tcW w:w="14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Tax Compliance Certificates</w:t>
            </w:r>
          </w:p>
        </w:tc>
      </w:tr>
    </w:tbl>
    <w:p>
      <w:pPr>
        <w:spacing w:after="0" w:line="1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u w:val="single" w:color="auto"/>
          <w:color w:val="auto"/>
        </w:rPr>
        <w:t>FINANCING AGREEMENT</w:t>
      </w:r>
    </w:p>
    <w:p>
      <w:pPr>
        <w:spacing w:after="0" w:line="25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This FINANCING AGREEMENT, dated as of August 2, 2024, is entered into by and among TG THERAPEUTICS,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certain Subsidiaries of Borrower, as Guarantors, the Lenders from time to time party hereto, and Blue Owl Capital Corporation (“</w:t>
      </w:r>
      <w:r>
        <w:rPr>
          <w:rFonts w:ascii="Times New Roman" w:cs="Times New Roman" w:eastAsia="Times New Roman" w:hAnsi="Times New Roman"/>
          <w:sz w:val="18"/>
          <w:szCs w:val="18"/>
          <w:u w:val="single" w:color="auto"/>
          <w:color w:val="auto"/>
        </w:rPr>
        <w:t>Blue Owl</w:t>
      </w:r>
      <w:r>
        <w:rPr>
          <w:rFonts w:ascii="Times New Roman" w:cs="Times New Roman" w:eastAsia="Times New Roman" w:hAnsi="Times New Roman"/>
          <w:sz w:val="18"/>
          <w:szCs w:val="18"/>
          <w:color w:val="auto"/>
        </w:rPr>
        <w:t>”), as administrative agent for the Lenders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WHEREAS, capitalized terms used in these Recitals shall have the respective meanings set forth for such terms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Lenders have agreed to extend certain senior secured credit facilities to Borrower, in an aggregate principal amount not to exceed $350,000,000, consisting of (a) an initial term loan in an aggregate principal amount equal to $250,000,000 and (b) an uncommitted incremental facility in an aggregate principal amount not to exceed $100,000,000, in each case the proceeds of which will be used as described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Borrower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(except as otherwise set forth in the Collateral Documents);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Guarantors have agreed to guarantee the Obligations of Borrower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 (except as otherwise set forth in the Collateral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INTERPRETATION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used herein, including in the preamble, recitals, exhibits and schedules hereto,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shall mean, for any period, Net Income for such period:</w:t>
      </w:r>
    </w:p>
    <w:p>
      <w:pPr>
        <w:spacing w:after="0" w:line="225" w:lineRule="exact"/>
        <w:rPr>
          <w:sz w:val="20"/>
          <w:szCs w:val="20"/>
          <w:color w:val="auto"/>
        </w:rPr>
      </w:pPr>
    </w:p>
    <w:p>
      <w:pPr>
        <w:ind w:firstLine="656"/>
        <w:spacing w:after="0" w:line="282" w:lineRule="auto"/>
        <w:tabs>
          <w:tab w:leader="none" w:pos="10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to the extent (and in the same proportion) deducted (and not added back or excluded) in determining Net Income for such period:</w:t>
      </w:r>
    </w:p>
    <w:p>
      <w:pPr>
        <w:spacing w:after="0" w:line="161"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the Borrower and its Subsidiaries for such period, determined on a consolidated basis in accordance with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w:t>
      </w:r>
    </w:p>
    <w:p>
      <w:pPr>
        <w:spacing w:after="0" w:line="206"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attributable to depreciation and amortization for such period;</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income tax expense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left="660" w:firstLine="320"/>
        <w:spacing w:after="0" w:line="258" w:lineRule="auto"/>
        <w:tabs>
          <w:tab w:leader="none" w:pos="14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adjustments, including any equity-based or non-cash compensation charges or expenses, including any such charges or expenses arising from grants of stock appreciation or similar rights, stock options, restricted stock or other rights, retention charges (including charges or expenses in respect of incentive plans) and any write-offs or write-downs reducing Net Income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non-cash charges do represent an accrual or reserve for potential cash items in any future period), and excluding amortization of a prepaid cash item that was paid in a prior period;</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3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restructuring charges or any reasonable and documented out-of-pocket costs, fees or expenses incurred in connection with any Permitted Acquisitions or other similar Permitted Investment, any permitted issuance of Capital Stock or Indebtedness or any permitted Asset Sale during such period (whether or not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costs, fees, expenses, and charges added back to Adjusted EBITDA pursuant to this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for any consecutive four Fiscal Quarter period shall not exceed the greater of</w:t>
      </w:r>
    </w:p>
    <w:p>
      <w:pPr>
        <w:spacing w:after="0" w:line="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and [***]% of Adjusted EBITDA (calculated prior to giving effect to this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45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extraordinary, unusual, non-recurring or one-time charges, expenses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costs, fees, expenses, and charges added back to Adjusted EBITDA pursuant to this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for any consecutive four Fiscal Quarter period shall not exceed the greater of (x) $[***] and [***]% of Adjusted EBITDA (calculated prior to giving effect to this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1040" w:hanging="384"/>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and to the extent included in arriving at such Net Income:</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4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credits and refunds for such period (to the extent consolidated income tax expense added-back in clause (a)(iii) above is not calculated net of such credit or refund);</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adjustments and all other non-cash items of income for such period; and</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non-recurring or one-time gains or adjustments for such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Account</w:t>
      </w:r>
      <w:r>
        <w:rPr>
          <w:rFonts w:ascii="Times New Roman" w:cs="Times New Roman" w:eastAsia="Times New Roman" w:hAnsi="Times New Roman"/>
          <w:sz w:val="18"/>
          <w:szCs w:val="18"/>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 whether pending or, to the knowledge of Borrower or any of its Subsidiaries, threatened in writing against Borrower or any of its Subsidiaries or any property of Borrower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 Any reference to an Affiliate of Blue Owl (or its Affiliates) shall include its affiliated funding entity, Hedgewig Funding I LLC, and any Person that is controlled or managed by Blue Owl (or its Affiliates), or where Blue Owl, together with its Affiliates, has a direct or indirect majority economic interest therein.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Financing Agreement and any annexes, exhibits and schedules attached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means any Requirement of Law relating to terrorism or money laundering, including, without limitation, (a) the Money Laundering Control Act of 1986 (18 U.S.C. §§ 1956 and 1957), (b) the Currency and Foreign Transactions Reporting Act (31 U.S.C. §§ 5311-5330 and 12 U.S.C. §§ 1818(s), 1820(b) and 1951-1959) (the “</w:t>
      </w:r>
      <w:r>
        <w:rPr>
          <w:rFonts w:ascii="Times New Roman" w:cs="Times New Roman" w:eastAsia="Times New Roman" w:hAnsi="Times New Roman"/>
          <w:sz w:val="18"/>
          <w:szCs w:val="18"/>
          <w:u w:val="single" w:color="auto"/>
          <w:color w:val="auto"/>
        </w:rPr>
        <w:t>Bank Secrecy Act</w:t>
      </w:r>
      <w:r>
        <w:rPr>
          <w:rFonts w:ascii="Times New Roman" w:cs="Times New Roman" w:eastAsia="Times New Roman" w:hAnsi="Times New Roman"/>
          <w:sz w:val="18"/>
          <w:szCs w:val="18"/>
          <w:color w:val="auto"/>
        </w:rPr>
        <w:t>”), (c) the USA PATRIOT Act, (d) the laws, regulations and Executive Orders administered by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as of any date of determination with respect to any Term Loan, the applicable percentage per annum set forth in the table below that corresponds to the most recent US Net Sales Calculation:</w:t>
      </w:r>
    </w:p>
    <w:p>
      <w:pPr>
        <w:spacing w:after="0" w:line="157" w:lineRule="exact"/>
        <w:rPr>
          <w:sz w:val="20"/>
          <w:szCs w:val="20"/>
          <w:color w:val="auto"/>
        </w:rPr>
      </w:pPr>
    </w:p>
    <w:tbl>
      <w:tblPr>
        <w:tblLayout w:type="fixed"/>
        <w:tblInd w:w="250" w:type="dxa"/>
        <w:tblCellMar>
          <w:top w:w="0" w:type="dxa"/>
          <w:left w:w="0" w:type="dxa"/>
          <w:bottom w:w="0" w:type="dxa"/>
          <w:right w:w="0" w:type="dxa"/>
        </w:tblCellMar>
      </w:tblPr>
      <w:tr>
        <w:trPr>
          <w:trHeight w:val="210"/>
        </w:trPr>
        <w:tc>
          <w:tcPr>
            <w:tcW w:w="1780" w:type="dxa"/>
            <w:vAlign w:val="bottom"/>
            <w:tcBorders>
              <w:top w:val="single" w:sz="8" w:color="auto"/>
              <w:left w:val="single" w:sz="8" w:color="auto"/>
              <w:right w:val="single" w:sz="8" w:color="auto"/>
            </w:tcBorders>
          </w:tcPr>
          <w:p>
            <w:pPr>
              <w:spacing w:after="0"/>
              <w:rPr>
                <w:sz w:val="18"/>
                <w:szCs w:val="18"/>
                <w:color w:val="auto"/>
              </w:rPr>
            </w:pPr>
          </w:p>
        </w:tc>
        <w:tc>
          <w:tcPr>
            <w:tcW w:w="3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Net Sales for the</w:t>
            </w:r>
          </w:p>
        </w:tc>
        <w:tc>
          <w:tcPr>
            <w:tcW w:w="3060" w:type="dxa"/>
            <w:vAlign w:val="bottom"/>
            <w:tcBorders>
              <w:top w:val="single" w:sz="8" w:color="auto"/>
              <w:right w:val="single" w:sz="8" w:color="auto"/>
            </w:tcBorders>
          </w:tcPr>
          <w:p>
            <w:pPr>
              <w:spacing w:after="0"/>
              <w:rPr>
                <w:sz w:val="18"/>
                <w:szCs w:val="18"/>
                <w:color w:val="auto"/>
              </w:rPr>
            </w:pPr>
          </w:p>
        </w:tc>
        <w:tc>
          <w:tcPr>
            <w:tcW w:w="2900" w:type="dxa"/>
            <w:vAlign w:val="bottom"/>
            <w:tcBorders>
              <w:top w:val="single" w:sz="8" w:color="auto"/>
              <w:right w:val="single" w:sz="8" w:color="auto"/>
            </w:tcBorders>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most recent</w:t>
            </w:r>
          </w:p>
        </w:tc>
        <w:tc>
          <w:tcPr>
            <w:tcW w:w="3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r>
      <w:tr>
        <w:trPr>
          <w:trHeight w:val="255"/>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 Level</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SOFR Loans</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r>
      <w:tr>
        <w:trPr>
          <w:trHeight w:val="193"/>
        </w:trPr>
        <w:tc>
          <w:tcPr>
            <w:tcW w:w="17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I</w:t>
            </w: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Less than $[***]</w:t>
            </w: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5.50%</w:t>
            </w:r>
          </w:p>
        </w:tc>
        <w:tc>
          <w:tcPr>
            <w:tcW w:w="29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4.50%</w:t>
            </w:r>
          </w:p>
        </w:tc>
      </w:tr>
      <w:tr>
        <w:trPr>
          <w:trHeight w:val="210"/>
        </w:trPr>
        <w:tc>
          <w:tcPr>
            <w:tcW w:w="1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Greater than or equal to $[***]</w:t>
            </w: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adjustment to the Applicable Margin shall be re-determined quarterly as of the [***] immediately following the date of delivery (or required delivery) to the Administrative Agent of the US Net Sales Calculation (each, a “</w:t>
      </w:r>
      <w:r>
        <w:rPr>
          <w:rFonts w:ascii="Times New Roman" w:cs="Times New Roman" w:eastAsia="Times New Roman" w:hAnsi="Times New Roman"/>
          <w:sz w:val="18"/>
          <w:szCs w:val="18"/>
          <w:u w:val="single" w:color="auto"/>
          <w:color w:val="auto"/>
        </w:rPr>
        <w:t>Pricing Adjustment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fails to provide such certification when such certification is due, the Applicable Margin shall be set at the margin in the row styled “Level I” in the tables above, effective as of the immediately succeeding Pricing Adjustment Date until the date on which such certification is delivered (on which date (but not retroactively), without constituting a waiver of any Default or Event of Default occasioned by the failure to timely deliver such certification, the Applicable Margin shall be set at the rate based upon the US Net Sales Calculation set forth in such certification).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has the meaning specified in the Fee Letter.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 Event</w:t>
      </w:r>
      <w:r>
        <w:rPr>
          <w:rFonts w:ascii="Times New Roman" w:cs="Times New Roman" w:eastAsia="Times New Roman" w:hAnsi="Times New Roman"/>
          <w:sz w:val="18"/>
          <w:szCs w:val="18"/>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a sale, lease or sublease (as lessor or sublessor), sale and leaseback, assignment, conveyance, transfer, license or sublicense or other disposition to, or any exchange of property with, any Person (other than to a Loan Party),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For purposes of clarification, “Asset Sale” shall include (a) the sale or other disposition for value of any contracts, (b) any disposition of property through a “plan of division” under the Delaware Limited Liability Company Act or any comparable transaction under any similar law, (c) any sale of accounts (or any rights thereto (including, without limitation, any rights to any residual payment stream with respect thereto)) by any Loan Party or Subsidiary of Borrower, (d) any Product Agreement, (e) any Permitted Product Transaction and (f) any Royalty Monetization Transaction.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none of the following items will be deemed to be an Asset Sale:</w:t>
      </w:r>
    </w:p>
    <w:p>
      <w:pPr>
        <w:spacing w:after="0" w:line="225" w:lineRule="exact"/>
        <w:rPr>
          <w:sz w:val="20"/>
          <w:szCs w:val="20"/>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Subsidiary of Borrower to Borrower or to another Loan Party;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Borrower;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transfer of Cash or Cash Equivalents in a manner that is not prohibited by the terms of this Agreement or the other Loan Documents; and</w:t>
      </w:r>
    </w:p>
    <w:p>
      <w:pPr>
        <w:spacing w:after="0" w:line="16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ind w:left="1300" w:hanging="320"/>
        <w:spacing w:after="0" w:line="258"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non-exclusive licensing or sublicensing alone of any Intellectual Property Rights in the ordinary course of business that does not materially interfere with the ordinary conduct of the business of Borrower or any of its Subsidiaries and that is otherwise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and for the avoidance of doubt that (x) any exclusive or co-exclusive out-license with respect to any Intellectual Property Rights, (y) any Permitted Product Transaction and (y) any Royalty Monetization Transaction, in each case (as applicable) shall be deemed to be an Asset Sale).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means an Assignment and Assumption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such amendments or modifications as may be approved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Secrecy Act</w:t>
      </w:r>
      <w:r>
        <w:rPr>
          <w:rFonts w:ascii="Times New Roman" w:cs="Times New Roman" w:eastAsia="Times New Roman" w:hAnsi="Times New Roman"/>
          <w:sz w:val="18"/>
          <w:szCs w:val="18"/>
          <w:color w:val="auto"/>
        </w:rPr>
        <w:t>” has the meaning specified in the definition of “Anti-Terrorism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½ of 1%, (c) Term SOFR (which rate shall be calculated based upon an Interest Period of three months and to be determined on a daily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2.00% per annum. Any change in the Prime Rate, the Federal Funds Effective Rate or Term SOFR shall be effective on the effective day of such change in the Prime Rate, the Federal Funds Effective Rate or Term SOFR,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bearing interest at a rate determined by reference to the Base Rate.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(including any related Benchmark Replacement Adjustment) would be less than the Floor, such Benchmark Replacement shall be deemed to be the Floor for the purposes of this Agreement and the other Loan Documents.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reasonably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5" w:lineRule="exact"/>
        <w:rPr>
          <w:sz w:val="20"/>
          <w:szCs w:val="20"/>
          <w:color w:val="auto"/>
        </w:rPr>
      </w:pPr>
    </w:p>
    <w:p>
      <w:pPr>
        <w:jc w:val="both"/>
        <w:ind w:firstLine="656"/>
        <w:spacing w:after="0" w:line="266" w:lineRule="auto"/>
        <w:tabs>
          <w:tab w:leader="none" w:pos="14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56"/>
        <w:spacing w:after="0" w:line="261" w:lineRule="auto"/>
        <w:tabs>
          <w:tab w:leader="none" w:pos="12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means Administrative Agent and each Lender.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Person</w:t>
      </w:r>
      <w:r>
        <w:rPr>
          <w:rFonts w:ascii="Times New Roman" w:cs="Times New Roman" w:eastAsia="Times New Roman" w:hAnsi="Times New Roman"/>
          <w:sz w:val="18"/>
          <w:szCs w:val="18"/>
          <w:color w:val="auto"/>
        </w:rPr>
        <w:t xml:space="preserve">” means any Person: (a) that is publicly identified (i) on the most current list of “Specially Designated Nationals and Blocked Persons” published by OFAC or resides, is organized or chartered, or has a place of business in a country or territory subject to an OFAC comprehensive sanctions or embargo program (as of the date of this Agreement, Cuba, Iran, North Korea, Syria, the Crimea region of Ukraine, and the so-called Donetsk People’s Republic (DNR) and Luhansk People’s Republic (LNR) regions of Ukraine) or (ii) that is prohibited from doing business with the United States under the International Emergency Economic Powers Act, the Trading With the Enemy Act, or any other Anti-Terrorism Law; (b) that is owned 50.0% or more or controlled by or that is acting for or on behalf of, any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(c) that any Lender is prohibited from dealing or otherwise engaging in any transaction by any Anti-Terrorism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Owl</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BRIUMVI</w:t>
      </w:r>
      <w:r>
        <w:rPr>
          <w:rFonts w:ascii="Times New Roman" w:cs="Times New Roman" w:eastAsia="Times New Roman" w:hAnsi="Times New Roman"/>
          <w:sz w:val="18"/>
          <w:szCs w:val="18"/>
          <w:color w:val="auto"/>
        </w:rPr>
        <w:t xml:space="preserve">” means any product containing, whether alone or with any other active ingredient, (a) Borrower’s and its Subsidiaries’ anti-CD20 monoclonal antibody known as BRIUMVI™ (formerly known as ublituximab-xiiy), the sequence of which is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(b) antibodies or binding agents comprising the CDR sequences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(c) antigen-binding fragments of the product of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 antibodies or binding agents incorporating one or more antigen-binding fragments of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(e) all forms, presentations, formulations or dosage forms of the product described in the preceding clauses (a), (b), (c), or (d).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BRIUMVI License Agreement</w:t>
      </w:r>
      <w:r>
        <w:rPr>
          <w:rFonts w:ascii="Times New Roman" w:cs="Times New Roman" w:eastAsia="Times New Roman" w:hAnsi="Times New Roman"/>
          <w:sz w:val="18"/>
          <w:szCs w:val="18"/>
          <w:color w:val="auto"/>
        </w:rPr>
        <w:t>” means that certain Exclusive License Agreement, dated as of January 30, 2012 by and among, GTC Biotherapeutics, Inc., LFB Biotechnologies, S.A.S. (“</w:t>
      </w:r>
      <w:r>
        <w:rPr>
          <w:rFonts w:ascii="Times New Roman" w:cs="Times New Roman" w:eastAsia="Times New Roman" w:hAnsi="Times New Roman"/>
          <w:sz w:val="18"/>
          <w:szCs w:val="18"/>
          <w:u w:val="single" w:color="auto"/>
          <w:color w:val="auto"/>
        </w:rPr>
        <w:t>LFB</w:t>
      </w:r>
      <w:r>
        <w:rPr>
          <w:rFonts w:ascii="Times New Roman" w:cs="Times New Roman" w:eastAsia="Times New Roman" w:hAnsi="Times New Roman"/>
          <w:sz w:val="18"/>
          <w:szCs w:val="18"/>
          <w:color w:val="auto"/>
        </w:rPr>
        <w:t>”), LFB/GTC LLC and Borrower, as amended by Amendment No. 1 to Schedule 4 of the Exclusive License Agreement dated as of August 16, 2022, Amendment to Section 2.2.1 of Exclusive License Agreement dated as of June 30, 2023 and Amendment to Section 5.3 of Exclusive License Agreement dated as of June 30, 2023, and as may be further amended, restated or otherwise modified from time to time to the extent permitted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any other day on which the Federal Reserve Bank of New York is closed.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as applied to any Person, any lease of any property (whether real, personal or mixed) by that Person (a) as lessee that, in conformity with GAAP, is or should be accounted for as a capital lease on the balance sheet of that Person or (b) as lessee that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means any and all shares, interests, participations or other equivalents (however designated) of capital stock of a company or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Capital Stock shall exclude debt securities and other Indebtedness convertible into or exchangeable for any of the foregoing (including without limitation, Permitted Convertible Indebtedness).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money, currency or a credit balance in any demand or Deposit Account.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(ii) has net assets of not less than $500,000,000, and (iii) has the highest rating obtainable from either S&amp;P or Moody’s.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at any time, any of the following occurrences:</w:t>
      </w:r>
    </w:p>
    <w:p>
      <w:pPr>
        <w:spacing w:after="0" w:line="225" w:lineRule="exact"/>
        <w:rPr>
          <w:sz w:val="20"/>
          <w:szCs w:val="20"/>
          <w:color w:val="auto"/>
        </w:rPr>
      </w:pPr>
    </w:p>
    <w:p>
      <w:pPr>
        <w:jc w:val="both"/>
        <w:ind w:firstLine="656"/>
        <w:spacing w:after="0" w:line="256" w:lineRule="auto"/>
        <w:tabs>
          <w:tab w:leader="none" w:pos="14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(i) shall have acquired beneficial ownership of 35% or more on a fully diluted basis of the voting 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“fundamental change” or similar event shall occur under, and as defined in or set forth in the documents evidencing or governing the Capital Stock of Borrower, any agreement evidencing any Royalty Monetization Transaction, any Permitted Convertible Indebtedness or any other Indebtedness in an aggregate principal amount of $10,000,000 or more of Borrower or any of its Subsidiaries, in each case to the extent any repayment or payment obligation would result in connection with the occurrence of such event; or</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cease to beneficially own and control 100% on a fully diluted basis of the economic and voting interest in the Capital Stock of each other Loan Party free and clear of any Lien other than the Lien granted to the Administrative Agent for the benefit of the Secured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this Agreement becomes effective, which is August 2,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xml:space="preserve">” means a Closing Date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means the repayment of all outstanding Indebtedness under that certain Loan and Security Agreement, dated as of February 28, 2019, by and among the Borrower, certain of the Borrower’s Subsidiaries, the several banks and other financial institutions or entities from time to time thereto and Hercules Capital, Inc., a Maryland corporation, as amended, and the termination of all guarantees, Liens and other security interests granted thereunder.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Pledge and Security Agreement, any Control Agreement, any Mortgages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the distribution, marketing, detailing, promotion, selling and securing of reimbursement of a Product (including the using, importing, selling and offering for sale of such Product), and shall include post-launch marketing, promoting, detailing, distributing, selling such Product, importing, exporting or transporting such Product for sale, and regulatory compliance with respect to the foregoing. When used as a verb,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shall mean to engage in Commercialization. Commercialization shall not include any activities directed to the development or manufacture of a Product.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Borrower’s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and other technical, administrative or operational matters) that Administrative Agent, in consultation with Borrower, decides may be appropriate to reflect the adoption and implementation of any such rate or to permit the use and administration thereof by Administrative Agent in a manner substantially consistent with market practice (or, if Administrative Agent, in consultation with Borrower, decides that adoption of any portion of such market practice is not administratively feasible or if Administrative Agent, in consultation with Borrower, determines that no market practice for the administration of any such rate exists, in such other manner of administration as Administrative Agent, in consultation with Borrower, decides is reasonably necessary in connection with the administration of this Agreement and the other Loan Documents).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total assets of the Loan Parties and their Subsidiaries calculated in accordance with GAAP on a consolidated basis.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Date</w:t>
      </w:r>
      <w:r>
        <w:rPr>
          <w:rFonts w:ascii="Times New Roman" w:cs="Times New Roman" w:eastAsia="Times New Roman" w:hAnsi="Times New Roman"/>
          <w:sz w:val="18"/>
          <w:szCs w:val="18"/>
          <w:color w:val="auto"/>
        </w:rPr>
        <w:t>” means the effective date of a continuation or conversion, as the case may be, as set forth in the applicable Conversion/Continuation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means a Conversion/Continuation Notice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Date</w:t>
      </w:r>
      <w:r>
        <w:rPr>
          <w:rFonts w:ascii="Times New Roman" w:cs="Times New Roman" w:eastAsia="Times New Roman" w:hAnsi="Times New Roman"/>
          <w:sz w:val="18"/>
          <w:szCs w:val="18"/>
          <w:color w:val="auto"/>
        </w:rPr>
        <w:t>” means the date of a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the making of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 or any Subsidiary’s products and the visitors to websites owned or controlled by Borrower or any of its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General Data Protection Regulation (and all laws implementing or supplementing it), the California Consumer Privacy Act, and Section 5 of the Federal Trade Commission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 condition or event that, after notice or lapse of time or both, would constitute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Excess</w:t>
      </w:r>
      <w:r>
        <w:rPr>
          <w:rFonts w:ascii="Times New Roman" w:cs="Times New Roman" w:eastAsia="Times New Roman" w:hAnsi="Times New Roman"/>
          <w:sz w:val="18"/>
          <w:szCs w:val="18"/>
          <w:color w:val="auto"/>
        </w:rPr>
        <w:t>” 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Period</w:t>
      </w:r>
      <w:r>
        <w:rPr>
          <w:rFonts w:ascii="Times New Roman" w:cs="Times New Roman" w:eastAsia="Times New Roman" w:hAnsi="Times New Roman"/>
          <w:sz w:val="18"/>
          <w:szCs w:val="18"/>
          <w:color w:val="auto"/>
        </w:rPr>
        <w:t xml:space="preserve">” means, with respect to any Defaulting Lender, the period commencing on the date of the applicable Funding Default or violation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as applicable, and ending on the earliest of the following dates: (a) the date on which all Term Loan Commitments are cancelled or terminated or the Obligations are declared or become immediately due and payable, (b) the date on which (i)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by a combination thereof), and (ii) such Defaulting Lender shall have delivered to Borrower and Administrative Agent a written reaffirmation of its intention to honor its obligations hereunder with respect to its Term Loan Commitments, (c) the date on which Borrower, Administrative Agent and Required Lenders waive all Funding Defaults of such Defaulting Lender in writing, and (d) the date on which Administrative Agent shall have waived all violations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by such Defaulting Lender in writing.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any interest payable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prior to the date that is [***] days after the Term Loan Maturity Date and other than solely for Qualified Capital Stock or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provided further that Disqualified Capital Stock shall exclude Permitted Equity Derivatives.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any (i) Person identified in writing to Administrative Agent prior to the Closing Date (or after the Closing Date, by written notice to the Administrative Agent, to identify any merger, name changes, business combination or transaction related to any applicable Person so as to be able to identify such Person going forward), together with any Affiliates of such Person that are (1) identified by the Borrower in writing prior to the Closing Date (or after the Closing Date, by written notice to the Administrative Agent, to identify any merger, name changes, business combination or transaction related to any applicable Person so as to be able to identify such Person going forward) or (2) clearly identifiable on the basis of such affiliate’s name and (ii) Person identified in writing by or on behalf of the Borrower to the Administrative Agent after the Closing Date if such designation is acceptable to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any Lender, any Affiliate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and (c) any other Person (other than a natural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Borrower nor any Affiliate of Borrower shall, in any event, be an Eligible Assignee.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as defined in Section 3(3) of ERISA that is or was sponsored, maintained or contributed to by, or required to be contributed by, Borrower, any of its Subsidiaries or any of their respective ERISA Affiliates.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w:t>
      </w:r>
    </w:p>
    <w:p>
      <w:pPr>
        <w:jc w:val="both"/>
        <w:ind w:firstLine="8"/>
        <w:spacing w:after="0" w:line="252"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that received Hazardous Materials generated by any Loan Party or any of its Subsidiaries or any predecessor in interest.</w:t>
      </w:r>
    </w:p>
    <w:p>
      <w:pPr>
        <w:spacing w:after="0" w:line="18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 and Costs</w:t>
      </w:r>
      <w:r>
        <w:rPr>
          <w:rFonts w:ascii="Times New Roman" w:cs="Times New Roman" w:eastAsia="Times New Roman" w:hAnsi="Times New Roman"/>
          <w:sz w:val="18"/>
          <w:szCs w:val="18"/>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any Lien in favor of any Governmental Authority for Environmental Liabilities and Costs.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as applied to any Person, (a) any corporation that is a member of a controlled group of corporations within the meaning of Section 414(b) of the Internal Revenue Code of which that Person is a member; (b) any trade or business (whether or not incorporated) that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any trade or business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would be liable under the Internal Revenue Code or ERISA.</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provision for thirty day notice to the PBGC has been waived by regulation), (b)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ERISA Affiliates pursuant to Section 4063 or 4064 of ERISA, (e) the institution by the PBGC of proceedings to terminate any Pension Plan, or the occurrence of any event or condition that might constitute grounds under ERISA for the termination of, or the appointment of a trustee to administer, any Pension Plan,</w:t>
      </w:r>
    </w:p>
    <w:p>
      <w:pPr>
        <w:spacing w:after="0" w:line="5" w:lineRule="exact"/>
        <w:rPr>
          <w:sz w:val="20"/>
          <w:szCs w:val="20"/>
          <w:color w:val="auto"/>
        </w:rPr>
      </w:pPr>
    </w:p>
    <w:p>
      <w:pPr>
        <w:jc w:val="both"/>
        <w:ind w:firstLine="8"/>
        <w:spacing w:after="0" w:line="251" w:lineRule="auto"/>
        <w:tabs>
          <w:tab w:leader="none" w:pos="2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material liability therefor, or the receipt by Borrower, any of its Subsidiaries or any of their respective ERISA Affiliates of notice from any Multiemployer Plan that it is in insolvency pursuant to Section 4245 of ERISA, or that it intends to terminate or has terminated under Section 4041A or 4042 of ERISA, (h) the occurrence of an act or omission that would reasonably be expected to give rise to the imposition on Borrower, any of its Subsidiaries or any of their respective ERISA Affiliates of fines, penalties, taxes or related charges under Chapter 43 of the Internal Revenue Code or under Section 502(c), (i) or (l),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(k) the imposition of a Lien pursuant to Section 430(k) of the Internal Revenue Code or pursuant to ERISA with respect to any Pension Plan; or (l) the assertion of a material claim (other than routine claims for benefits) against any Employee Benefit Plan or the assets thereof, or against Borrower, any of its Subsidiaries in connection with any Employee Benefit Plan.</w:t>
      </w:r>
    </w:p>
    <w:p>
      <w:pPr>
        <w:spacing w:after="0" w:line="19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each of the conditions or events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xml:space="preserve">” means Deposit Accounts, (a) the balance of which 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that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constituting (and the balance of which consists solely of funds set aside in connection with) fiduciary accounts, escrow accounts and trust accounts, (e) any other Deposit Accounts that have amounts on deposit that do not exceed $[***] individually or $[*** in the aggregate at any one time, and (f) that are exclusively holding cash collateral or other deposits constituting Liens permitted by </w:t>
      </w:r>
      <w:r>
        <w:rPr>
          <w:rFonts w:ascii="Times New Roman" w:cs="Times New Roman" w:eastAsia="Times New Roman" w:hAnsi="Times New Roman"/>
          <w:sz w:val="18"/>
          <w:szCs w:val="18"/>
          <w:u w:val="single" w:color="auto"/>
          <w:color w:val="auto"/>
        </w:rPr>
        <w:t>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of Permitted Liens.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not-for-profit Subsidiary, (b) any captive insurance entity, (c) any merger Subsidiary formed in connection with a Permitted Acquisition so long as such merger Subsidiary is merged out of existence pursuant to such Permitted Acquisition or dissolved within [***] days of its formation thereof or such later date as permitted by Administrative Agent in its reasonable discretion, (d) any Immaterial Subsidiary, and (e) any Subsidiary that is prohibited or restricted by any Requirement of Law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Notwithstanding the foregoing, no Subsidiary that is (i) party to any Royalty Monetization Transaction or (ii) holds material intellectual property shall be an “Excluded Subsidiary”.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hereunder pursuant to a law in effect on the date on which (i) such Lender acquires such interest in such commitment (or, in the case of Loan not funded by such Lender pursuant to a prior commitment, acquires such interest in such Loan), other than pursuant to an assignment request by the Borrower under Section 2.21(b) or (ii) such Lender changes its lending office, except in each case to the extent that, pursuant to Section 2.18, amounts with respect to such Taxes were payable either to such Lender’s assignor immediately before such Lender acquired the applicable interest in such commitment or Loan (as applicable) or to such Lender immediately before it changed its lending office, (c) Taxes attributable to such Recipient’s failure to comply with Section 2.15(d), and (d) any withholding Taxes imposed under FATCA.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in effect as of the date of this Agreement (or any amended or successor version that is substantively comparable and not materially more onerous to comply with), and any current or future regulations or official interpretations thereof and any agreements entered into pursuant to current Section 1471(b)(1) of the Internal Revenue Code (or any amended or successor version described above) and any intergovernmental agreement, treaty or convention among Governmental Authorities (and any related laws, regulations or other official administrative guidance) implementing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Laws</w:t>
      </w:r>
      <w:r>
        <w:rPr>
          <w:rFonts w:ascii="Times New Roman" w:cs="Times New Roman" w:eastAsia="Times New Roman" w:hAnsi="Times New Roman"/>
          <w:sz w:val="18"/>
          <w:szCs w:val="18"/>
          <w:color w:val="auto"/>
        </w:rPr>
        <w:t>” means all applicable statutes, rules, regulations, orders and Requirements of Law administered, implemented, enforced or issued by FDA or any comparable Governmental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day is not a Business Day, the Federal Funds Rate for such day shall be such rate on such transactions on the next preceding Business Day as so published on the next succeeding Business Day.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Programs</w:t>
      </w:r>
      <w:r>
        <w:rPr>
          <w:rFonts w:ascii="Times New Roman" w:cs="Times New Roman" w:eastAsia="Times New Roman" w:hAnsi="Times New Roman"/>
          <w:sz w:val="18"/>
          <w:szCs w:val="18"/>
          <w:color w:val="auto"/>
        </w:rPr>
        <w:t>” shall mean the Medicare, Medicaid and TRICARE programs and any other state or federal government health care program, as defined in 42 U.S.C. § 1320a-7b(f).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Borrower and its Subsidiaries ending on December 31 of each calendar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one percent (1.00%).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 of Funds Agreement</w:t>
      </w:r>
      <w:r>
        <w:rPr>
          <w:rFonts w:ascii="Times New Roman" w:cs="Times New Roman" w:eastAsia="Times New Roman" w:hAnsi="Times New Roman"/>
          <w:sz w:val="18"/>
          <w:szCs w:val="18"/>
          <w:color w:val="auto"/>
        </w:rPr>
        <w:t xml:space="preserve">” means that certain Flow of Funds Agreement, dated as of the Closing Date, duly executed by Borrower, Administrative Agent, and any other person party thereto, in form and substance reasonably satisfactory to Administrative Agent, in connection with the disbursement of Loan proceeds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Official</w:t>
      </w:r>
      <w:r>
        <w:rPr>
          <w:rFonts w:ascii="Times New Roman" w:cs="Times New Roman" w:eastAsia="Times New Roman" w:hAnsi="Times New Roman"/>
          <w:sz w:val="18"/>
          <w:szCs w:val="18"/>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Sovereign Immunities Act</w:t>
      </w:r>
      <w:r>
        <w:rPr>
          <w:rFonts w:ascii="Times New Roman" w:cs="Times New Roman" w:eastAsia="Times New Roman" w:hAnsi="Times New Roman"/>
          <w:sz w:val="18"/>
          <w:szCs w:val="18"/>
          <w:color w:val="auto"/>
        </w:rPr>
        <w:t>” means the US Foreign Sovereign Immunities Act of 1976 (28 U.S.C. Sections 1602-1611).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xml:space="preserve">” means a written notice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subject to the limitations on the application thereof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United States generally accepted accounting principles in effect as of the date of determination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or a foreign entity or government.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authorization, clearance, approval, Registration, plan, directive, consent order or consent decree of or from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has the meaning specified in the Pledge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Subsidiary of Borrower and each other Person that guarantees,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all or any part of the Obligations. For the avoidance of doubt, no Excluded Subsidiary shall be required to become a Guarantor except at the election of Borrower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Subsidiary</w:t>
      </w:r>
      <w:r>
        <w:rPr>
          <w:rFonts w:ascii="Times New Roman" w:cs="Times New Roman" w:eastAsia="Times New Roman" w:hAnsi="Times New Roman"/>
          <w:sz w:val="18"/>
          <w:szCs w:val="18"/>
          <w:color w:val="auto"/>
        </w:rPr>
        <w:t>” means each Guarantor.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the guaranty of each Guarantor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(b) each other guaranty, in form and substance satisfactory to Administrative Agent, made by any other Guarantor for the benefit of the Secured Parties guaranteeing all or part of the Obligations.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HCR</w:t>
      </w:r>
      <w:r>
        <w:rPr>
          <w:rFonts w:ascii="Times New Roman" w:cs="Times New Roman" w:eastAsia="Times New Roman" w:hAnsi="Times New Roman"/>
          <w:sz w:val="18"/>
          <w:szCs w:val="18"/>
          <w:color w:val="auto"/>
        </w:rPr>
        <w:t>” means Healthcare Royalty, Inc.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collectively, (a) Title XVIII of the Social Security Act, 42 U.S.C. §§ 1395-1395hhh (the Medicare statute); (b) Title XIX of the Social Security Act, 42 U.S.C. §§ 1396-1396y (the Medicaid statute); (c) the Federal Anti-Kickback Statute, 42 U.S.C. § 1320a-7b(b); (d) the civil False Claims Act, 31 U.S.C. §§ 3729 et seq.; (e) the criminal False Claims Act, 42 U.S.C. § 1320a-7b(a); (f) criminal laws relating to health care fraud and abuse, including but not limited to 18 U.S.C. §§ 286 and 287; (g) the criminal fraud provisions under HIPAA; (h) the Civil Monetary Penalties law, 42 U.S.C. §§ 1320a-7a and 1320a-7b; (i) the U.S. Physician Payments Sunshine Act, 42 U.S.C. § 1320-7h; (j) the Exclusion Law, 42 U.S.C. § 1320a-7; (k) Requirements of Law regarding the collection and reporting requirements, and the processing of any applicable rebate, chargeback or adjustment, under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(l) comparable state Requirements of Law and other Requirements of Law that directly or indirectly govern the distribution, sale or promotion of any drug or biologic; and (m) each as amended and the regulations promulgated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the maximum lawful interest rate, if any, that at any time or from time to time may be contracted for, charged, or received under the laws applicable to any Lender that are presently in effect or, to the extent allowed by law, under such applicable laws that may hereafter be in effect and that allow a higher maximum non-usurious interest rate than applicable laws now allow.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or security of patient-identifying health care information, including with respect to notification of breach of privacy or security of such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means as of the Closing Date, (a) the audited financial statements of Borrower and its Subsidiaries, for the Fiscal Year ended December 31, 2023, consisting of balance sheets and the related consolidated statements of income, stockholders’ equity and cash flows for such Fiscal Year, and (b) the financial statements of Borrower and its Subsidiaries for the Fiscal Quarter ended March 31, 2024, consisting of balance sheets and the related consolidated statements of income, stockholders’ equity and cash flows for such Fiscal Quarter.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that (i) had assets representing [***]% or less of the total assets of Borrower and its Subsidiaries, determined on a consolidated basis in accordance with GAAP, as of the last day of the most recent Fiscal Quarter for which financial statements have been, or were required to be, delivered pursuant to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xml:space="preserve">”) and (ii) contributed [***]% or less of the total revenues of Borrower and its Subsidiaries, for the Fiscal Quarter ended on the Test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at any time and from time to time after the Closing Date, Subsidiaries that are not Loan Parties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Excluded Subsidiaries comprise in the aggregate more than [***]% of the total assets of Borrower and its Subsidiaries as of the Test Date or contribute more than [***]% of the total revenues of Borrower and its Subsidiaries for the Fiscal Quarter ended on the Test Date or have Cash and Cash Equivalents in excess of [***] as of the Test Date, then Borrower shall, not later than [***] days after the date by which financial statements for such period are required to be delivered (or such longer period as the Administrative Agent may agree in its sole discretion in writing), designate in writing to Administrative Agent that one or more of such Subsidiaries is no longer an Excluded Subsidiary for purposes of this Agreement to the extent required such that the foregoing condition ceases to be true.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the primary purpose or intent thereof is as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(k) all obligations of such Person in respect of any exchange traded or over the counter derivative transaction, including, without limitation, any Hedging Agreement, whether entered into for hedging or speculative purposes, (l) Disqualified Capital Stock, and (m) all obligations in respect of Royalty Monetization Transactions.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(v) deferred compensation and severance, and, solely to the extent such obligations are properly classified as liabilities on a balance sheet in conformity with GAAP, pension, retiree welfare and equivalent benefits or any deferred obligations incurred under ERISA, (vi) purchase price adjustments or earn outs or other contingent payments of a similar nature (including any non-compete payments and consulting payments) made in connection with any Investment or other acquisitions, mergers, amalgamations, or similar transaction, in each case, to the extent such obligations have not become due and payable and not been paid within 5 Business Days (unless such obligation is subject to a good faith dispute contested by appropriate proceedings) of such obligation becoming due and payable (provided that deferred payments that are fixed or not subject to a bona fide contingency shall constitute Indebtedness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(vii) non-compete or consulting obligations incurred in connection with Investments or other acquisitions, mergers, amalgamations, or similar transaction, until such obligations become a liability on the balance sheet of such Person in accordance with GAAP, (viii) unsecured installment payments or the deferred purchase price of property or services to the extent payable solely in Qualified Capital Stock of such Person, and (ix) purchase price holdbacks in respect of a portion of the purchase price of an asset to satisfy unperformed obligations of the seller of such asset.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means, collectively, any and all liabilities (including Environmental Liabilities and Costs),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and documented out-of-pocket fees and disbursements of counsel pursuant to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 (a) 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Borrower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Date</w:t>
      </w:r>
      <w:r>
        <w:rPr>
          <w:rFonts w:ascii="Times New Roman" w:cs="Times New Roman" w:eastAsia="Times New Roman" w:hAnsi="Times New Roman"/>
          <w:sz w:val="18"/>
          <w:szCs w:val="18"/>
          <w:color w:val="auto"/>
        </w:rPr>
        <w:t>” means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w:t>
      </w:r>
      <w:r>
        <w:rPr>
          <w:rFonts w:ascii="Times New Roman" w:cs="Times New Roman" w:eastAsia="Times New Roman" w:hAnsi="Times New Roman"/>
          <w:sz w:val="18"/>
          <w:szCs w:val="18"/>
          <w:color w:val="auto"/>
        </w:rPr>
        <w:t xml:space="preserve">” means the Term Loan funded on the Initial Funding Date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any proceeding commenced by or against any Person under any provision of any Debtor Relief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specified in the Pledge and Security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rights, title and interests in and to all intellectual property rights of every kind and nature however denominated, as they exist throughout the world, including</w:t>
      </w:r>
    </w:p>
    <w:p>
      <w:pPr>
        <w:spacing w:after="0" w:line="162" w:lineRule="exact"/>
        <w:rPr>
          <w:sz w:val="20"/>
          <w:szCs w:val="20"/>
          <w:color w:val="auto"/>
        </w:rPr>
      </w:pPr>
    </w:p>
    <w:p>
      <w:pPr>
        <w:ind w:left="1900" w:hanging="596"/>
        <w:spacing w:after="0"/>
        <w:tabs>
          <w:tab w:leader="none" w:pos="1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ind w:right="20" w:firstLine="1304"/>
        <w:spacing w:after="0" w:line="282" w:lineRule="auto"/>
        <w:tabs>
          <w:tab w:leader="none" w:pos="213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trade names, service marks, brands, trade dress and logos, packaging design, slogans, domain names and the goodwill and activities associated therewith;</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Know-How;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means that certain Intercompany Subordination Agreement, dated as of the Closing Date, made by the Loan Parties and their Subsidiaries in favor of Administrative Agent for the benefit of the Secured Parties.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Fiscal Quarter, commencing on the first such date to occur after the Closing Date, (b) with respect to any SOFR Loan, the last Business Day of each Fiscal Quarter, commencing on the first such date to occur after the Closing Date, and (c) with respect to each Loan, the final maturity date of the Loans (whether by scheduled maturity, acceleration or otherwise).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in connection with a SOFR Loan, an interest period of three months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18"/>
          <w:szCs w:val="18"/>
          <w:u w:val="single" w:color="auto"/>
          <w:color w:val="auto"/>
        </w:rPr>
        <w:t>clauses (b)(iii)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of this definition, end on the last Business Day of a calendar month, and (iii) no Interest Period with respect to any portion of any Term Loan shall extend beyond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Interest Period for any SOFR Loan to be made on the Initial Funding Date may, at the Borrower’s option, end on September 30, 2024.</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means, with respect to any Interest Period, the date that is two Business Days prior to the first day of such Interest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means a joint venture, partnership or other similar arrangement, whether in corporate, partnership or other legal form, in which Borrower or any of its Subsidiaries holds any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any corporate Subsidiary of any Person be considered to be a Joint Venture to which such Person is a party.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information and materials, including discoveries, improvements, processes, methods, protocols, formulations formulas, data (including pharmacological, toxicological, non-clinical data, clinical data, analytical and quality control data, manufacturing data and descriptions, market data, financial data or descriptions), inventions, assays, chemical formulations, specifications, practices, procedures, technology, techniques, designs, drawings, correspondence, computer programs, documents, results, strategies, regulatory documentation, information and submissions pertaining to, or made in association with, filings with any Governmental Authority, research in progress, algorithms, data, databases, data collections, chemical and biological materials, and the results of experimentation and testing, in each case, knowledge, know-how, trade secrets and the like, in written, electronic, oral or other tangible or intangible form, patentable or otherwise, that are not generally known or otherwise in the public domain.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as of any date of determination, the latest maturity date applicable to any Term Loan hereunder as of such date.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means, with respect to a Product, any third party to which Borrower or any of its Affiliates, directly or indirectly through multiple tiers, grants a license, a sublicense, or other right, in each case, to Commercialize such Product in any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Account</w:t>
      </w:r>
      <w:r>
        <w:rPr>
          <w:rFonts w:ascii="Times New Roman" w:cs="Times New Roman" w:eastAsia="Times New Roman" w:hAnsi="Times New Roman"/>
          <w:sz w:val="18"/>
          <w:szCs w:val="18"/>
          <w:color w:val="auto"/>
        </w:rPr>
        <w:t>” means an account maintained hereunder by Administrative Agent on its books of account at the Payment Office, and with respect to Borrower, in which it will be charged with the Term Loan made to, and all other Obligations incurred by the Loan Parties.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means any of this Agreement, the Notes, if any, the Collateral Documents, the Fee Letters, the Flow of Funds Agreement, any Guaranty, the Intercompany Subordination Agreement, the Perfection Certificate, any intercreditor agreement executed pursuant to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and all other documents, instruments or agreements executed and delivered by a Loan Party for the benefit of Administrative Agent or any Lender in connection 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Borrower 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specified in Regulation U of the Board of Governors of the Federal Reserve System as in effect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means, as of any date of determination, an amount equal to (a) the total number of issued and outstanding shares of Common Stock on such date, multiplied by (b) the arithmetic mean of the closing prices per share of such Common Stock on the NASDAQ exchange (or, if the primary listing of such capital stock is on another exchange, on such other exchange) for the fifteen (15) consecutive Trading Days immediately preceding such date.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w:t>
      </w:r>
    </w:p>
    <w:p>
      <w:pPr>
        <w:spacing w:after="0" w:line="1" w:lineRule="exact"/>
        <w:rPr>
          <w:sz w:val="20"/>
          <w:szCs w:val="20"/>
          <w:color w:val="auto"/>
        </w:rPr>
      </w:pPr>
    </w:p>
    <w:p>
      <w:pPr>
        <w:ind w:firstLine="8"/>
        <w:spacing w:after="0" w:line="260" w:lineRule="auto"/>
        <w:tabs>
          <w:tab w:leader="none" w:pos="2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means, collectively, (i) the BRIUMVI License Agreement, (ii) the agreements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hereto, (iii) any contract that is material to the development, manufacture or Commercialization of the Products and (iv) any other contract to which Borrower, or a Subsidiary of Borrower, as the case may be in the context in which used, is a party or any of the respective assets or properties (including, for the avoidance of doubt, the Product) of Borrower or such Subsidiary are bound or committed (other than the Loan Documents) for which any breach, violation, nonperformance or early cancellation by any party therein would have, individually or in the aggregate,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Jurisdiction</w:t>
      </w:r>
      <w:r>
        <w:rPr>
          <w:rFonts w:ascii="Times New Roman" w:cs="Times New Roman" w:eastAsia="Times New Roman" w:hAnsi="Times New Roman"/>
          <w:sz w:val="18"/>
          <w:szCs w:val="18"/>
          <w:color w:val="auto"/>
        </w:rPr>
        <w:t>” means as of the date of determination, each or any (as applicable) of the U.S. and such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fee-owned real property located in the United States that is owned by any Loan Party with a fair market value in excess of $[***] (at the time of acquisition, as reasonably estimated by the Borrower in good faith).</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xml:space="preserve">” means (i) any Liabilities arising from the violation of FDA Laws, Public Health Laws, Health Care Laws, and other applicable comparable Requirements of Law, or the terms, conditions of or requirements applicable to any Registrations (including costs of actions required under applicable Requirements of Law, including FDA Laws and Health Care Laws, or necessary to remedy any violation of any terms or conditions applicable to any Registrations), including, but not limited to, withdrawal of approval or licensure, recall, revocation, suspension, import, detention and seizure of any Product, and (ii) any loss of recurring annual revenues as a result of any loss, suspension or limitation of any Registrations, that, in the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exceed $[***] individually or $[***] in the aggregate, or (b) could reasonably be expected to result in a Material Adverse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(4) consecutive Fiscal Quarters of the Borrower and its Subsidiaries for which financial statements have been (or were required to have been) delivered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(or, prior to the first delivery of any such financial statements, the period of four (4) consecutive Fiscal Quarters of the Borrower and its Subsidiaries ended March 31,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Services,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shall mean, for any period, the consolidated net income (or loss) of the Borrower and its Subsidiaries for such period, determined on a consolidated basis in accordance with GAAP.</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bona fide costs or expenses incurred in connection with such Asset Sale that are properly attributable to such Asset Sale and to the extent paid or payable to non-Affiliates, including [***], and (b) with respect to any insurance, condemnation, taking or other casualty proceeds, an amount equal to: (i) any Cash payments or proceeds received by Borrower or any of its Subsidiaries (A) under any [***]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including [***], and (c) with respect to any issuance of Capital Stock, the cash proceeds thereof, net of all Taxes and customary fees, commissions, costs, underwriting discounts and other fees and expenses incurred by Borrower or any Subsidiary in connection therewith.</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NIH</w:t>
      </w:r>
      <w:r>
        <w:rPr>
          <w:rFonts w:ascii="Times New Roman" w:cs="Times New Roman" w:eastAsia="Times New Roman" w:hAnsi="Times New Roman"/>
          <w:sz w:val="18"/>
          <w:szCs w:val="18"/>
          <w:color w:val="auto"/>
        </w:rPr>
        <w:t>” has the meaning specified in the definition of Public Health Laws.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 Product Intellectual Property Rights</w:t>
      </w:r>
      <w:r>
        <w:rPr>
          <w:rFonts w:ascii="Times New Roman" w:cs="Times New Roman" w:eastAsia="Times New Roman" w:hAnsi="Times New Roman"/>
          <w:sz w:val="18"/>
          <w:szCs w:val="18"/>
          <w:color w:val="auto"/>
        </w:rPr>
        <w:t>” means any and all Intellectual Property Rights non-exclusively licensed to, or purported to by non-exclusively licensed to, Borrower or its Affiliates that are necessary for Borrower or its Affiliates to develop, manufacture or Commercialize a Product.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evidencing the Initial Term Loan or an Incremental Term Loan, as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 Funding Notice or a Conversion/Continuation Notice.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obligations of every nature of each Loan Party and its Subsidiaries from time to time owed to Administrative Agent (including former Administrative Agents), the Lenders or any of them, under any Loan Document, whether for principal, interest (including interest that, but for the filing of a petition in bankruptcy with respect to such Loan Party, would have accrued on any Obligation, whether or not a claim is allowed against such Loan Party for such interest in the related bankruptcy proceeding), the Applicable Premium, the Prepayment Premium, Erroneous Payment Subrogation Rights, fees, expenses, indemnification or otherwise and whether primary, secondary, direct, indirect, contingent, fixed or otherwise (including obligations of performance).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the definition of “Anti-Terrorism Laws”.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Sanctions Programs</w:t>
      </w:r>
      <w:r>
        <w:rPr>
          <w:rFonts w:ascii="Times New Roman" w:cs="Times New Roman" w:eastAsia="Times New Roman" w:hAnsi="Times New Roman"/>
          <w:sz w:val="18"/>
          <w:szCs w:val="18"/>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or company, its certificate of incorporation, its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any connection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that extend the duration or any of the subject matter of a patent, and any substitution patent, confirmation patent or registration patent or patent of addition based on any such patent, and all foreign counterparts of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jc w:val="both"/>
        <w:ind w:firstLine="648"/>
        <w:spacing w:after="0" w:line="19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means Administrative Agent’s office located at 399 Park Avenue,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or such other office or offices of Administrative Agent as may be designated in writing from time to time by Administrative Agent and Borrower.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Benefit Plan, other than a Multiemployer Plan, that is subject to Section 412 of the Internal Revenue Code, Section 302 of ERISA or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that certain Perfection Certificate dated as of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by Borrower or its Subsidiaries, whether by purchase, merger, in-licensing or otherwise, of all or substantially all of the assets of, a majority of the Capital Stock of, or a business line or unit or a division of, or Patents, royalty rights or similar or related assets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760" w:hanging="456"/>
        <w:spacing w:after="0"/>
        <w:tabs>
          <w:tab w:leader="none" w:pos="1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thereto, no Event of Default shall have occurred and be continuing or would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therefrom;</w:t>
      </w:r>
    </w:p>
    <w:p>
      <w:pPr>
        <w:spacing w:after="0" w:line="207" w:lineRule="exact"/>
        <w:rPr>
          <w:sz w:val="20"/>
          <w:szCs w:val="20"/>
          <w:color w:val="auto"/>
        </w:rPr>
      </w:pPr>
    </w:p>
    <w:p>
      <w:pPr>
        <w:ind w:right="20" w:firstLine="1304"/>
        <w:spacing w:after="0" w:line="282" w:lineRule="auto"/>
        <w:tabs>
          <w:tab w:leader="none" w:pos="16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therewith shall be consummated, in all material respects, in accordance with all applicable laws and in conformity with all applicable Governmental Authorizations;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100% by a Loan Party, and Borrower shall have taken, or caused to be taken, as of the date such Person becomes a Subsidiary, any actions required to be taken as of such date as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as applicable;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Subsidiaries shall, on a pro forma basis after giving effect to such acquisition, as of the last day of the Fiscal Quarter most recently ended, have not less than $[***] in Qualified Cash;</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with total cash consideration in excess of $[***], and solely to the extent reasonably available to Borrower, Borrower shall have delivered to Administrative Agent at least [***] Business Days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assets or division as acquired in such Permitted Acquisition shall be in the same business or lines of business in which Borrower or its Subsidiaries are engaged as of the Closing Date (or in lines of business reasonably related or incidental thereto, or such other lines of business as may be consented to by Administrative Agent (such consent not to be unreasonably withheld or delayed));</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ind w:firstLine="1304"/>
        <w:spacing w:after="0" w:line="282" w:lineRule="auto"/>
        <w:tabs>
          <w:tab w:leader="none" w:pos="17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approved by the Board of Directors or other governing body or controlling Person of the Person acquired or the Person from whom such assets or division is acquired or a court of competent jurisdiction;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consideration (excluding any portion thereof paid with the proceeds of (i) Qualified Capital Stock received no more than [***] days before such acquisition (to the extent not previously utilized for the making of any other Permitted Investment or Restricted Junior Payment), (ii) any cash consideration in connection with unsecured earnouts that by their terms are not capable of becoming due and payable prior to the date that is [***] days after the Term Loan Maturity Date or (iii) [***]) paid or payable in connection with all such acquisitions shall not exceed [***].</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xml:space="preserve">” means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together with a certificate of the chief financial officer of Borrower certifying that such Indebtedness constitutes Permitted Convertible Indebtedness, and shall be subject to customary terms for similar convertible transactions in the public markets (as determined by Borrower in good faith), including all of the following terms: (i) it shall be (and shall remain at all times) unsecured, (ii) it shall not have a scheduled maturity (and shall not have any scheduled amortization of principal) prior to the date that is [***] after the Term Loan Maturity Date in effect at the time such Indebtedness is incurred, (iii) it shall not have any covenants (including covenants relating to incurrence of Indebtedness) that are more restrictive than those set forth herein, (iv) it shall have no restrictions on Borrower’s ability to grant liens securing the Obligations, (v) it shall not prohibit the incurrence of the Obligations, (vi) it is not guaranteed by any Subsidiary, (vii) it shall bear a rate of interest similar to other comparable convertible transactions in the public markets at the time of incurrence (as determined by Borrower in good faith), and (viii) any cross-default or cross acceleration event of default (howsoever defined) provision contained therein that relates to indebtedness or other payment obligations of Borrower (or any of its Subsidiaries) (such indebtedness or other payment obligations, a “Cross-Default Reference Obligation”) contains a cure period of at least [***] calendar days (after written notice to the issuer of such Indebtedness by the trustee or to such issuer and such trustee by the requisite holders of such Indebtedness then outstanding) before a default, event of default, acceleration or other event or condition under such Cross-Default Reference Obligation results in an event of default under such cross-default or cross acceleration provision.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Derivative</w:t>
      </w:r>
      <w:r>
        <w:rPr>
          <w:rFonts w:ascii="Times New Roman" w:cs="Times New Roman" w:eastAsia="Times New Roman" w:hAnsi="Times New Roman"/>
          <w:sz w:val="18"/>
          <w:szCs w:val="18"/>
          <w:color w:val="auto"/>
        </w:rPr>
        <w:t>” 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(a) is entered into contemporaneously and otherwise in connection with the issuance of Permitted Convertible Indebtedness or (b) is explicitly permitted under Section 6.5, and (z) such transaction shall be classified in Borrower’s stockholders’ equity under FASB ASC 815-40 or any successor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384" w:hanging="384"/>
        <w:spacing w:after="0"/>
        <w:tabs>
          <w:tab w:leader="none" w:pos="3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4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Permitted Intercompany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shall be unsecured and the parties thereto are party to an Intercompany Subordination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Borrower or any of its Subsidiaries arising from agreements providing for indemnification or from guaranties or letters of credit, surety bonds or performance bonds securing the performance of Borrower or any such Subsidiary pursuant to such agreements, in connection with Permitted Acquisitions or Asset Sales permitted hereunder;</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 of incurrence;</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3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described in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 and any Permitted Refinancing Indebtedness in respect of such Indebtedness;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an aggregate amount outstanding not to exceed at any time [***] with respect to (i) Capital Leases and (ii) purchase money Indebtedness (including any Indebtedness acquired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shall be secured only by the asset subject to such Capital Lease or by the asset acquired in connection with the incurrence of such Indebtedness;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4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guaranties with respect to Indebtedness of Borrower or any of its Subsidiaries, to the extent that the Person that is obligated under such guaranty could have incurred such underlying Indebtedness and to the extent such guaranties are not prohibited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Indebtedness being guaranteed is subordinated to the Obligations, such guaranty shall be subordinated to the Obligations on terms at least as favorable to the Secured Parties as those contained in the subordination of such Indebtedness;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does not to exceed at any time [***];</w:t>
      </w:r>
    </w:p>
    <w:p>
      <w:pPr>
        <w:spacing w:after="0" w:line="179"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1" w:name="page122"/>
    <w:bookmarkEnd w:id="121"/>
    <w:p>
      <w:pPr>
        <w:jc w:val="both"/>
        <w:ind w:left="-656" w:firstLine="656"/>
        <w:spacing w:after="0" w:line="266" w:lineRule="auto"/>
        <w:tabs>
          <w:tab w:leader="none" w:pos="39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purchase price, deferred purchase price and compensation, or other similar arrangements incurred by such Person in connection with Permitted Acquisitions, any Investment permitted hereunder or any license, transfer or other Asset Sale permitted hereunder in an aggregate amount outstanding not to exceed at any time [***];</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whose assets or Capital Stock are acquired by Borrower or any of its Subsidiaries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(i) is either purchase money Indebtedness or a Capital Lease with respect to equipment or mortgage financing with respect to a facility, (ii) was in existence prior to the date of such Permitted Acquisition, and (iii) was not incurred in connection with, or in contemplation of, such Permitted Acquisition;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Convertible Indebtedness and any Permitted Refinancing Indebtedness in respect thereof in an aggregate outstanding principal amount not to exceed at any time the greater of (i) $[***] and (ii) the product of Borrower’s Market Capitalization immediately prior to the date such Permitted Convertible Indebtedness is priced,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3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in respect of letters of credit, bank guarantees, surety bonds, performance bonds or similar extensions of credit in an aggregate outstanding principal amount not to exceed at any time $[***];</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4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and owed to any financial institution in respect of (i) purchasing or credit card programs and (ii) treasury, depository or cash management services, including any payments in connection with the termination thereof;</w:t>
      </w:r>
    </w:p>
    <w:p>
      <w:pPr>
        <w:spacing w:after="0" w:line="16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take-or-pay obligations contained in supply arrangements in the ordinary course of business;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4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purchased in the ordinary course of business;</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61"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3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to suppliers, customers, franchisees, lessors, licensees, sub-licensees and distribution partners;</w:t>
      </w:r>
    </w:p>
    <w:p>
      <w:pPr>
        <w:spacing w:after="0" w:line="16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Hedging Agreement;</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4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non-Loan Parties and the guarantees of any such Indebtedness;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aggregate principal amount or liquidation preference, as applicable, of Indebtedness incurred or guaranteed pursuant to this clause (w) at any time outstanding does not exceed $[***]; and</w:t>
      </w:r>
    </w:p>
    <w:p>
      <w:pPr>
        <w:spacing w:after="0" w:line="16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2" w:name="page123"/>
    <w:bookmarkEnd w:id="122"/>
    <w:p>
      <w:pPr>
        <w:ind w:left="1040" w:hanging="384"/>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Borrower and its Subsidiaries, in an aggregate amount not to exceed at any time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Investments</w:t>
      </w:r>
      <w:r>
        <w:rPr>
          <w:rFonts w:ascii="Times New Roman" w:cs="Times New Roman" w:eastAsia="Times New Roman" w:hAnsi="Times New Roman"/>
          <w:sz w:val="18"/>
          <w:szCs w:val="18"/>
          <w:color w:val="auto"/>
        </w:rPr>
        <w:t xml:space="preserve">” means Investments by (a) a Loan Party to or in another Loan Party, (b) a Subsidiary that is an Excluded Subsidiary to or in another Subsidiary that is an Excluded Subsidiary, (c) a Subsidiary that is an Excluded Subsidiary to or in a Loan Party, so long as, in the case of a loan or an advance, the parties thereto are party to an Intercompany Subordination Agreement, (d) Investments by the Loan Parties in Subsidiaries that are not Loan Parties to the extent such Investments constitute bona fide transfer pricing transactions, cost-sharing arrangements or “cost-plus” arrangements in the ordinary course of business; and (e) additional Investments by the Loan Parties in Subsidiaries that are not Loan Parties in an aggregate amount outstanding not to exceed at any time $[***];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no Product or Product Intellectual Property Rights shall be assigned, transferred, contributed, licensed, sublicensed, or otherwise disposed by any Loan Party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and (ii) no Investment otherwise permitted by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made during the Restricted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040" w:hanging="38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owned as of the Closing Date in any Subsidiary and equity Investments in an aggregate amount outstanding not to exceed at any time $[***] owned as a result of the formation of a Subsidiary to the extent otherwise permitted hereunder;</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Investments;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employees of Borrower and its Subsidiaries (i) made in the ordinary course of business, existing on the Closing Date and described on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 and (ii) any refinancings of such loans after the Closing Date in an aggregate amount not to exceed $[***] at any time outstanding;</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Closing Date and described in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7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negotiable instruments deposited or to be deposited for collection in the ordinary course of business;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customary trade arrangements with customers;</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ind w:left="1000" w:hanging="344"/>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made in connection with purchases of goods or services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or would result therefrom, Investments in Joint Ventures in an aggregate outstanding amount not to exceed [***];</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Equity Derivatives;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1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Hedging Agreement permitted under this Agreement;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of the non-cash consideration received from an Asset Sale that was made pursuant to and in compliance with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8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made by the Borrower or its Subsidiaries in connection with any letter of intent or other agreement in respect of any Investment permitted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obligations of one or more officers or other employees of Borrower or any Subsidiary of the Borrower in connection with such officer’s or employee’s acquisition of Capital Stock of any direct or indirect parent of the Borrower, so long as no cash is actually advanced by the Borrower or any Subsidiary to such officers or employees in connection with the acquisition of any such obligations;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operating leases or of other obligations, in each case, that do not constitute Indebtedness, and are entered into by the Borrower 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redemption, purchase, repurchase or retirement of any Capital Stock of Borrower permitted by this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Investments made with Capital Stock (other than Disqualified Capital Stock) of the Borrower or from the Net Proceeds received by the Borrower from the sale of Capital Stock of the Borrower so long as (i) such Investments are made within [***] days after the receipt of such proceeds and (ii) such proceeds have not otherwise been utilized for the making of any Permitted Acquisition or Restricted Junior Payment;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1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other Investments in an aggregate amount outstanding not to exceed at any time [***].</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at no time during a Restricted Period shall any Investment otherwise permitted under the foregoing clauses (d)(ii), (e), (l), (m), (o), (u) or (v) be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040" w:hanging="384"/>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Administrative Agent for the benefit of Secured Parties granted pursuant to any Loan Document;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(i) not yet due and payable or (ii) if obligations with respect to such Taxes are being contested in good faith by appropriate proceedings promptly instituted and diligently conducted and reserves required by GAAP have been made;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banks (and rights of set off), of carriers, warehousemen, mechanics, repairmen, workmen and materialmen, and other Liens imposed by law (other than any such Lien imposed pursuant to Section 430(k) of the Internal Revenue Code or by ERISA), in each case incurred in the ordinary course of business for amounts not yet overdue;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9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encroachments, and other minor defects or irregularities in title, in each case, that do not and will not interfere in any material respect with the ordinary conduct of the business of Borrower or any of its Subsidiaries;</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of real estate permitted hereunder;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1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permitted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office or agency to control or regulate the use of any real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described in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Lien shall only secure the Indebtedness that it secures on the Closing Date and any Permitted Refinancing Indebtedness in respect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Capital Leases or purchase money Indebtedness permitted pursuant to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Lien shall encumber only the asset subject to such Capital Lease or the asset acquired with the proceeds of such Indebtedness;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ind w:left="-656" w:right="20" w:firstLine="656"/>
        <w:spacing w:after="0" w:line="282" w:lineRule="auto"/>
        <w:tabs>
          <w:tab w:leader="none" w:pos="3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assumed by Borrower and its Subsidiaries in connection with a Permitted Acquisition that secure Indebtedness permitted by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of the definition of Permitted Indebtedness;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solely on any cash deposits securing Indebtedness permitted pursuant to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the definition of Permitted Indebtedness not in excess of [***]% of the face amount of such Indebtedness secured thereby, (ii) Liens on cash deposits not exceeding $[***] in the aggregate securing Indebtedness permitted pursuant to </w:t>
      </w:r>
      <w:r>
        <w:rPr>
          <w:rFonts w:ascii="Times New Roman" w:cs="Times New Roman" w:eastAsia="Times New Roman" w:hAnsi="Times New Roman"/>
          <w:sz w:val="18"/>
          <w:szCs w:val="18"/>
          <w:u w:val="single" w:color="auto"/>
          <w:color w:val="auto"/>
        </w:rPr>
        <w:t>clause (p)(i)</w:t>
      </w:r>
      <w:r>
        <w:rPr>
          <w:rFonts w:ascii="Times New Roman" w:cs="Times New Roman" w:eastAsia="Times New Roman" w:hAnsi="Times New Roman"/>
          <w:sz w:val="18"/>
          <w:szCs w:val="18"/>
          <w:color w:val="auto"/>
        </w:rPr>
        <w:t xml:space="preserve"> of the definition of Permitted Indebtedness, and (iii) Liens granted in the ordinary course of business on cash deposits securing Indebtedness permitted pursuant to </w:t>
      </w:r>
      <w:r>
        <w:rPr>
          <w:rFonts w:ascii="Times New Roman" w:cs="Times New Roman" w:eastAsia="Times New Roman" w:hAnsi="Times New Roman"/>
          <w:sz w:val="18"/>
          <w:szCs w:val="18"/>
          <w:u w:val="single" w:color="auto"/>
          <w:color w:val="auto"/>
        </w:rPr>
        <w:t>clause (p)(ii)</w:t>
      </w:r>
      <w:r>
        <w:rPr>
          <w:rFonts w:ascii="Times New Roman" w:cs="Times New Roman" w:eastAsia="Times New Roman" w:hAnsi="Times New Roman"/>
          <w:sz w:val="18"/>
          <w:szCs w:val="18"/>
          <w:color w:val="auto"/>
        </w:rPr>
        <w:t xml:space="preserve"> of the definition of Permitted Indebtedness;</w:t>
      </w:r>
    </w:p>
    <w:p>
      <w:pPr>
        <w:spacing w:after="0" w:line="179" w:lineRule="exact"/>
        <w:rPr>
          <w:rFonts w:ascii="Times New Roman" w:cs="Times New Roman" w:eastAsia="Times New Roman" w:hAnsi="Times New Roman"/>
          <w:sz w:val="18"/>
          <w:szCs w:val="18"/>
          <w:color w:val="auto"/>
        </w:rPr>
      </w:pPr>
    </w:p>
    <w:p>
      <w:pPr>
        <w:ind w:left="-656" w:firstLine="656"/>
        <w:spacing w:after="0" w:line="282" w:lineRule="auto"/>
        <w:tabs>
          <w:tab w:leader="none" w:pos="4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vendors or suppliers of such Person in the ordinary course of business to the extent encumbering property purchased from or provided by such vendors or suppliers and the proceeds thereof;</w:t>
      </w:r>
    </w:p>
    <w:p>
      <w:pPr>
        <w:spacing w:after="0" w:line="16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any judgments, writs or warrants of attachment or similar process not constituting an Event of Default under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subleases, licenses or sublicenses that are (i) permitted by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or (ii) excluded from the definition of Asset Sale;</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20" w:lineRule="exact"/>
        <w:tabs>
          <w:tab w:leader="none" w:pos="39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such Liens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consensual and arise by operation of law, in no case shall any such Liens secure (either directly or indirectly) the repayment of any Indebtedness;</w:t>
      </w:r>
    </w:p>
    <w:p>
      <w:pPr>
        <w:spacing w:after="0" w:line="200"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8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that are within the general parameters customary in the banking or finance industry;</w:t>
      </w:r>
    </w:p>
    <w:p>
      <w:pPr>
        <w:spacing w:after="0" w:line="17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4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43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or from UCC financing statement filings regarding, operating leases or consignments entered into by the Borrower or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42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4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any put and call arrangements, related to Capital Stock in any Joint Venture set forth in the Organizational Documents of such Joint Venture or any related joint venture, shareholders’ or similar agreement;</w:t>
      </w:r>
    </w:p>
    <w:p>
      <w:pPr>
        <w:spacing w:after="0" w:line="16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6" w:name="page127"/>
    <w:bookmarkEnd w:id="126"/>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(z)</w:t>
      </w:r>
      <w:r>
        <w:rPr>
          <w:sz w:val="20"/>
          <w:szCs w:val="20"/>
          <w:color w:val="auto"/>
        </w:rPr>
        <w:tab/>
      </w:r>
      <w:r>
        <w:rPr>
          <w:rFonts w:ascii="Times New Roman" w:cs="Times New Roman" w:eastAsia="Times New Roman" w:hAnsi="Times New Roman"/>
          <w:sz w:val="17"/>
          <w:szCs w:val="17"/>
          <w:color w:val="auto"/>
        </w:rPr>
        <w:t>Liens on insurance policies and the proceeds thereof securing the financing of the premiums with respect thereto;</w:t>
      </w:r>
    </w:p>
    <w:p>
      <w:pPr>
        <w:spacing w:after="0" w:line="225" w:lineRule="exact"/>
        <w:rPr>
          <w:sz w:val="20"/>
          <w:szCs w:val="20"/>
          <w:color w:val="auto"/>
        </w:rPr>
      </w:pPr>
    </w:p>
    <w:p>
      <w:pPr>
        <w:ind w:left="1120" w:hanging="464"/>
        <w:spacing w:after="0"/>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Liens, licenses and sublicenses under any Permitted Product Transaction;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of non-Loan Parties permitted pursuant to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of the definition of Permitted Indebtedness so long as such Liens do not encumber any assets of the Loan Parties;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incurred in the ordinary course of business of Borrower or any Subsidiary of Borrower with respect to obligations in aggregate amount outstanding not to exceed at any time [***].</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no Liens on any Product, Product Patent or Registrations shall be permitted (other than non-consensual Liens constituting “Permitted Liens” and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Product Agreement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6" w:lineRule="auto"/>
        <w:tabs>
          <w:tab w:leader="none" w:pos="1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Product (Non-Core), a Product Agreement that grants a license or sublicense of any rights under any Product Intellectual Property Rights, Non-Exclusive Product Intellectual Property Rights, or Registrations that allows the licensee to develop, manufacture, research, seek Registrations for, or Commercialize a Product (Non-Core) anywhere in the world;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Product (Core), a Product Agreement that grants a license or sublicense of any rights under any Product Intellectual Property Rights, Non-Exclusive Product Intellectual Property Rights, or Registrations that allows the licensee to (i) develop, manufacture, research, seek Registrations for, or Commercialize a Product (Core) only outside of the United States and its territories or (ii) develop or research (but not Commercialize) a Product (Core) on behalf of Borrower or any of its Subsidiaries within the United States and its territories (provided, that Borrower or its applicable Subsidiary shall either (A) obtain ownership of any Product Intellectual Property Rights generated under such Product Agreement or (B) otherwise obtain the right to exploit the Product (Core) under such Product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Product Agreement (x) does not provide for the legal transfer of title to any Product Patents, Registrations or Intellectual Property Rights relating to a Product (Core), (y) permits the disclosure of royalty and similar reports to the Administrative Agent and the Lenders in accordance with </w:t>
      </w:r>
      <w:r>
        <w:rPr>
          <w:rFonts w:ascii="Times New Roman" w:cs="Times New Roman" w:eastAsia="Times New Roman" w:hAnsi="Times New Roman"/>
          <w:sz w:val="18"/>
          <w:szCs w:val="18"/>
          <w:u w:val="single" w:color="auto"/>
          <w:color w:val="auto"/>
        </w:rPr>
        <w:t>Section 5.1(e)(i)</w:t>
      </w:r>
      <w:r>
        <w:rPr>
          <w:rFonts w:ascii="Times New Roman" w:cs="Times New Roman" w:eastAsia="Times New Roman" w:hAnsi="Times New Roman"/>
          <w:sz w:val="18"/>
          <w:szCs w:val="18"/>
          <w:color w:val="auto"/>
        </w:rPr>
        <w:t xml:space="preserve"> and (z) in the case of any Product Agreement with respect to a Product (Core) is not a Restricted License;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the avoidance of doubt, if a Product Agreement grants a license or sublicense under any Product Intellectual Property Rights, Non-Exclusive Product Intellectual Property Rights, or Registrations that allows such Person to Commercialize a Product (Core) anywhere inside the United States or its territories, such Product Agreement shall not be a “Permitted Product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Product Transaction</w:t>
      </w:r>
      <w:r>
        <w:rPr>
          <w:rFonts w:ascii="Times New Roman" w:cs="Times New Roman" w:eastAsia="Times New Roman" w:hAnsi="Times New Roman"/>
          <w:sz w:val="18"/>
          <w:szCs w:val="18"/>
          <w:color w:val="auto"/>
        </w:rPr>
        <w:t>” means the grant of a license or sublicense under any Product Patents or Registrations pursuant to a Permitted Product Agreement; provided that (i) the consideration received for any such transaction shall be in an amount at least equal to the fair market value thereof (as reasonably determined by the Borrower’s Board of Directors), and (ii) no Event of Default shall have occurred and be continuing at the time of such transaction or result therefrom.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firstLine="656"/>
        <w:spacing w:after="0" w:line="266" w:lineRule="auto"/>
        <w:tabs>
          <w:tab w:leader="none" w:pos="10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1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either by Borrower or by the Subsidiary who is the obligor on the Indebtedness being renewed, refunded, refinanced, replaced, defeased or discharged;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Permitted Convertible Indebtedness, such Indebtedness complies with the terms set forth in the proviso of the definition of Permitted Convertible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 any information that relates to, identifies or can be used to identify a natural person or (ii) any information defined as “personal data,” “personally identifiable information,” “personal information,” “protected health information,” “nonpublic personal information,” or similar term under applicable Data Protection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and Security Agreement</w:t>
      </w:r>
      <w:r>
        <w:rPr>
          <w:rFonts w:ascii="Times New Roman" w:cs="Times New Roman" w:eastAsia="Times New Roman" w:hAnsi="Times New Roman"/>
          <w:sz w:val="18"/>
          <w:szCs w:val="18"/>
          <w:color w:val="auto"/>
        </w:rPr>
        <w:t>” means the Pledge and Security Agreement executed by Grantors in favor of Administrative Agent for the benefit of the Secured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has the meaning specified in the Fee Letter.</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quoted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means Administrative Agent’s “Principal Office”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or such other office as such Person may from time to time designate in writing to Borrower and each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w:t>
      </w:r>
    </w:p>
    <w:p>
      <w:pPr>
        <w:spacing w:after="0" w:line="225" w:lineRule="exact"/>
        <w:rPr>
          <w:sz w:val="20"/>
          <w:szCs w:val="20"/>
          <w:color w:val="auto"/>
        </w:rPr>
      </w:pPr>
    </w:p>
    <w:p>
      <w:pPr>
        <w:jc w:val="both"/>
        <w:ind w:firstLine="1304"/>
        <w:spacing w:after="0" w:line="261" w:lineRule="auto"/>
        <w:tabs>
          <w:tab w:leader="none" w:pos="207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Lender’s obligation to make the Initial Term Loan, the percentage obtained by dividing (A) such Lender’s Term Loan Commitment by (B) the Total Term Loan Commitment; and (ii) a Lender’s right to make an Incremental Term Loan, the percentage obtained by dividing</w:t>
      </w: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outstanding Term Loans by (B) the aggregate amount of all Lenders’ outstanding Term Loans;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matters, the percentage obtained by dividing (i) the unpaid principal amount of such Lender’s portion of the Term Loan, by (ii) the aggregate unpaid principal amount of the Term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BRIUMVI and any other product/development candidate being developed or Commercialized by Borrower or the Loan Parties from time to time, including any acquired Product that is acquired or in-licensed pursuant to a Permitted Acquisition.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(Core)</w:t>
      </w:r>
      <w:r>
        <w:rPr>
          <w:rFonts w:ascii="Times New Roman" w:cs="Times New Roman" w:eastAsia="Times New Roman" w:hAnsi="Times New Roman"/>
          <w:sz w:val="18"/>
          <w:szCs w:val="18"/>
          <w:color w:val="auto"/>
        </w:rPr>
        <w:t>” means BRIUMVI and any Competing Product with respect to BRIUMVI.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(Core) Intellectual Property Rights</w:t>
      </w:r>
      <w:r>
        <w:rPr>
          <w:rFonts w:ascii="Times New Roman" w:cs="Times New Roman" w:eastAsia="Times New Roman" w:hAnsi="Times New Roman"/>
          <w:sz w:val="18"/>
          <w:szCs w:val="18"/>
          <w:color w:val="auto"/>
        </w:rPr>
        <w:t>” means Product Intellectual Property Rights and Non-Exclusive Product Intellectual Property Rights relating to any Product (Core).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(Non-Core)</w:t>
      </w:r>
      <w:r>
        <w:rPr>
          <w:rFonts w:ascii="Times New Roman" w:cs="Times New Roman" w:eastAsia="Times New Roman" w:hAnsi="Times New Roman"/>
          <w:sz w:val="18"/>
          <w:szCs w:val="18"/>
          <w:color w:val="auto"/>
        </w:rPr>
        <w:t>” means any Product other than Product (Core).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Agreement</w:t>
      </w:r>
      <w:r>
        <w:rPr>
          <w:rFonts w:ascii="Times New Roman" w:cs="Times New Roman" w:eastAsia="Times New Roman" w:hAnsi="Times New Roman"/>
          <w:sz w:val="18"/>
          <w:szCs w:val="18"/>
          <w:color w:val="auto"/>
        </w:rPr>
        <w:t>” means any agreement entered into between Borrower or any of its Subsidiaries with another Person that includes the granting of a license or sublicense of any rights under any Product Intellectual Property Rights, Non-Exclusive Product Intellectual Property Rights, or Registrations that allows such Person to develop, manufacture, research, seek Registrations for, or Commercialize a Product.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Intellectual Property Rights</w:t>
      </w:r>
      <w:r>
        <w:rPr>
          <w:rFonts w:ascii="Times New Roman" w:cs="Times New Roman" w:eastAsia="Times New Roman" w:hAnsi="Times New Roman"/>
          <w:sz w:val="18"/>
          <w:szCs w:val="18"/>
          <w:color w:val="auto"/>
        </w:rPr>
        <w:t>” means (a) the Product Patents and (b) any and all Intellectual Property Rights owned by or exclusively licensed to, or purported to be owned by or exclusively licensed to, Borrower or its Affiliates relating to any Product.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Patents</w:t>
      </w:r>
      <w:r>
        <w:rPr>
          <w:rFonts w:ascii="Times New Roman" w:cs="Times New Roman" w:eastAsia="Times New Roman" w:hAnsi="Times New Roman"/>
          <w:sz w:val="18"/>
          <w:szCs w:val="18"/>
          <w:color w:val="auto"/>
        </w:rPr>
        <w:t>” means the U.S. and foreign Patents owned or in-licensed by Borrower or any of its Subsidiaries, now or in the future, that are necessary or material to the research, development, manufacture, use, or Commercialization of one or more of the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Laws</w:t>
      </w:r>
      <w:r>
        <w:rPr>
          <w:rFonts w:ascii="Times New Roman" w:cs="Times New Roman" w:eastAsia="Times New Roman" w:hAnsi="Times New Roman"/>
          <w:sz w:val="18"/>
          <w:szCs w:val="18"/>
          <w:color w:val="auto"/>
        </w:rPr>
        <w:t>” means all Requirements of Law relating to the procurement, development, clinical and non-clinical evaluation, product approval or licensure, manufacture, production, analysis, wholesale, distribution, dispensing, importation, exportation, use, handling, quality, sale, labeling, promotion, clinical trial registration or post market requirements of any drug products (including, without limitation, any ingredient or component of the foregoing products) subject to regulation under the Federal Food, Drug, and Cosmetic Act (21 U.S.C. § 301 et seq.) or Public Health Service Act (42 U.S.C. §262 et seq.), including without limitation the regulations promulgated by the FDA at Title 21 of the Code of Federal Regulations, and comparable foreign legislation issued by other comparable Governmental Authorities, including foreign Governmental Authorities, as well as applicable Requirements of Law relating to the licensure of entities that manufacture or distribute drug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Purple Book Patents</w:t>
      </w:r>
      <w:r>
        <w:rPr>
          <w:rFonts w:ascii="Times New Roman" w:cs="Times New Roman" w:eastAsia="Times New Roman" w:hAnsi="Times New Roman"/>
          <w:sz w:val="18"/>
          <w:szCs w:val="18"/>
          <w:color w:val="auto"/>
        </w:rPr>
        <w:t>” means any Product Patents provided to a biosimilar applicant pursuant to 42 U.S.C. § 262, as such patent listing may be amended from time to time, together with all foreign counterpart patents.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with respect to any Person, all Capital Stock of such Person that are not Disqualified Capital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Cash</w:t>
      </w:r>
      <w:r>
        <w:rPr>
          <w:rFonts w:ascii="Times New Roman" w:cs="Times New Roman" w:eastAsia="Times New Roman" w:hAnsi="Times New Roman"/>
          <w:sz w:val="18"/>
          <w:szCs w:val="18"/>
          <w:color w:val="auto"/>
        </w:rPr>
        <w:t xml:space="preserve">” means, as of any date of determination, the amount of unrestricted Cash and Cash Equivalents (other than restrictions created by the Collateral Documents) of the Loan Parties that is in Deposit Accounts or in Securities Accounts, or any combination thereof, which such Deposit Accounts or Securities Accounts are (after the post-closing period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subject to a Control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Asset</w:t>
      </w:r>
      <w:r>
        <w:rPr>
          <w:rFonts w:ascii="Times New Roman" w:cs="Times New Roman" w:eastAsia="Times New Roman" w:hAnsi="Times New Roman"/>
          <w:sz w:val="18"/>
          <w:szCs w:val="18"/>
          <w:color w:val="auto"/>
        </w:rPr>
        <w:t>” means, at any time of determination, any Real Property owned by a Loan Party, but only to the extent such Real Property constitutes Collateral and is encumbered by a Mortgage pursuant to the terms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operated or used by Borrower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registrations, listings, certificates, or exemptions of or issued by any Governmental Authority (including marketing approvals, investigational new drug applications, product recertifications, manufacturing approvals and authorizations,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of Governors of the Federal Reserve System, as in effect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Action</w:t>
      </w:r>
      <w:r>
        <w:rPr>
          <w:rFonts w:ascii="Times New Roman" w:cs="Times New Roman" w:eastAsia="Times New Roman" w:hAnsi="Times New Roman"/>
          <w:sz w:val="18"/>
          <w:szCs w:val="18"/>
          <w:color w:val="auto"/>
        </w:rPr>
        <w:t>” 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or a comparable Governmental Authority in any other regulatory jurisdiction.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whose Pro Rata Share (calculated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thereof) aggregate at least 50.1% as of such date; provided, that, Required Lenders shall include (x) each Blue Owl Affiliated Lender if, as of such date, Blue Owl and its Affiliates and Related Funds collectively hold at least [***]% of the outstanding principal amount of the Term Loans and (y) each HCR Affiliated Lender if, as of such date, HCR and its Affiliates and Related Funds holds at least [***]% of the outstanding principal amount of the Term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and binding upon such Person or any of its property or to which such Person or any of its property is subject.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Junior Payment</w:t>
      </w:r>
      <w:r>
        <w:rPr>
          <w:rFonts w:ascii="Times New Roman" w:cs="Times New Roman" w:eastAsia="Times New Roman" w:hAnsi="Times New Roman"/>
          <w:sz w:val="18"/>
          <w:szCs w:val="18"/>
          <w:color w:val="auto"/>
        </w:rPr>
        <w:t>” 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(d) [reserved], and (e) any payment or prepayment of principal of, premium, if any, or interest on, or redemption, purchase, retirement, defeasance (including in substance or legal defeasance), sinking fund or similar payment with respect to, any Indebtedness that is contractually subordinated to the Obligations.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License</w:t>
      </w:r>
      <w:r>
        <w:rPr>
          <w:rFonts w:ascii="Times New Roman" w:cs="Times New Roman" w:eastAsia="Times New Roman" w:hAnsi="Times New Roman"/>
          <w:sz w:val="18"/>
          <w:szCs w:val="18"/>
          <w:color w:val="auto"/>
        </w:rPr>
        <w:t xml:space="preserve">” means any Product Agreement (excluding any Product Agreement in the ordinary course of business granting only non-exclusive rights, and that does not materially interfere with, and is not material to, the conduct of the business of Borrower or any of its Subsidiaries in the ordinary course and that is otherwise permitted under this Agreement) that (a) cannot be collaterally assigned to secure the Obligations or otherwise contains provisions that restrict or penalize the granting of a security interest in or Lien on such Product Agreement or the related Product Intellectual Property Rights, (b)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(c) does not permit the disclosure of information to be provided thereunder to Administrative Agent and the Lenders, any purchaser or prospective purchaser in a foreclosure or other Asset Sale of all or any portion of the Collateral (subject to customary confidentiality obligations); provided a Product Agreement shall not be a “Restricted Licenses” by virtue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if Borrower or the applicable Subsidiary has used commercially reasonable efforts to permit, or other obtain permission for, such disclosure.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Monetization Transaction</w:t>
      </w:r>
      <w:r>
        <w:rPr>
          <w:rFonts w:ascii="Times New Roman" w:cs="Times New Roman" w:eastAsia="Times New Roman" w:hAnsi="Times New Roman"/>
          <w:sz w:val="18"/>
          <w:szCs w:val="18"/>
          <w:color w:val="auto"/>
        </w:rPr>
        <w:t>” means any monetization or financing transaction involving (a) the sale, transfer, option or collateralization of</w:t>
      </w:r>
    </w:p>
    <w:p>
      <w:pPr>
        <w:spacing w:after="0" w:line="27" w:lineRule="exact"/>
        <w:rPr>
          <w:sz w:val="20"/>
          <w:szCs w:val="20"/>
          <w:color w:val="auto"/>
        </w:rPr>
      </w:pPr>
    </w:p>
    <w:p>
      <w:pPr>
        <w:jc w:val="both"/>
        <w:ind w:firstLine="8"/>
        <w:spacing w:after="0" w:line="253" w:lineRule="auto"/>
        <w:tabs>
          <w:tab w:leader="none" w:pos="2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monetary payments (contingent or otherwise) payable to Borrower or its Subsidiaries by a counterparty under a Product Agreement, or (ii) any revenues generated through the commercial sale of the Product to third parties, in each case whether in whole or in part or (b) the provision of financing for the development, manufacture or Commercialization of any Product in exchange for the future payment of royalties, milestones and other amounts (whether or not contingent), including sales of royalty streams, royalty bonds and other royalty financings, synthetic royalty, development financing, and revenue interest transactions (including clinical trial funding arrangements), and hybrid monetization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The McGraw Hill Corporation.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Entity</w:t>
      </w:r>
      <w:r>
        <w:rPr>
          <w:rFonts w:ascii="Times New Roman" w:cs="Times New Roman" w:eastAsia="Times New Roman" w:hAnsi="Times New Roman"/>
          <w:sz w:val="18"/>
          <w:szCs w:val="18"/>
          <w:color w:val="auto"/>
        </w:rPr>
        <w:t xml:space="preserve">” means (a) a country or territory or a government of a country or territory, (b) an agency of the government of a country or territory, (c) an organization directly or indirectly controlled by the government of a country or territory, or (d) a Person resident in or determined to be resident in a country or territory,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that is itself the target of Sanctions, including a target of any country or territory-based comprehensive sanctions or embargo program administered and enforced by OFAC (as of the date of this Agreement, Cuba, Iran, North Korea, Syria, the Crimea region of Ukraine, and the so-called Donetsk People’s Republic (DNR) and Luhansk People’s Republic (LNR) regions of Ukraine).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named on the list of Specially Designated Nationals and Blocked Persons maintained by OFAC, OFAC’s consolidated Non-SDN list or any other Sanctions-related list maintained by any Governmental Authority, (b) a Person or legal entity that is itself the target of Sanctions, (c) any Person operating, organized or resident in a country or territory subject to an OFAC comprehensive sanctions or embargo program (as of the date of this Agreement, Cuba, Iran, North Korea, Syria, the Crimea region of Ukraine, and the so-called Donetsk People’s Republic (DNR) and Luhansk People’s Republic (LNR) regions of Ukraine), or (d) any Person directly or indirectly owned 50.0% or more or controlled (individually or in the aggregate) by or acting on behalf of any such Person or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assigned to that term in the Pledge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means a securities account (as defined in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 Loan bearing interest at a rate determined by reference to Term SOFR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means a Solvency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(iii) such Loan Party has not incurred and does not intend to incur, or believe (nor should it reasonably believe) that it will incur, debts beyond its ability to pay such debts as they become due (whether at maturity or otherwise) and (b) such Person is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Jurisdiction</w:t>
      </w:r>
      <w:r>
        <w:rPr>
          <w:rFonts w:ascii="Times New Roman" w:cs="Times New Roman" w:eastAsia="Times New Roman" w:hAnsi="Times New Roman"/>
          <w:sz w:val="18"/>
          <w:szCs w:val="18"/>
          <w:color w:val="auto"/>
        </w:rPr>
        <w:t>” means, each of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determining the percentage of ownership interests of any Person controlled by another Person, no ownership interest in the nature of a “qualifying share” of the former Person shall be deemed to be outstanding. When used herein, “Subsidiary” shall mean a Subsidiary of Borrower unless otherwise specified.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present or future tax, levy, impost, duty, withholding (including backup withholding) assessment, fee or other charge imposed by any Governmental Authority, and any interest, penalties, additions to tax or other liabilities with respect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collectively, the Initial Term Loan and each Incremental Term Loan (if 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means the commitment of a Lender to make or otherwise fund the Initial Term Loan and “</w:t>
      </w: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means such commitments of all such Lenders in the aggregate. The amount of each Lender’s Term Loan Commitment, if any, is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 aggregate amount of the Term Loan Commitments as of the Closing Date is $250,000,000.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means the earlier of (a) August [2], 2029 and (b) the date that the Term Loan shall become due and payable in full hereunder, whether by acceleration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4" w:lineRule="auto"/>
        <w:tabs>
          <w:tab w:leader="none" w:pos="20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three months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Term SOFR determined as provided above (including pursuant to the proviso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ever be less than the Floor, then Term SOFR shall be deemed to be the Floor.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has the meaning specified in the definition of Excluded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means, as of any date of determination, the aggregate outstanding principal amount of third party Indebtedness of the Borrower and its Subsidiaries consisting of Indebtedness of the type described in clause (a), (b), (c) or (g) of the definition thereof.</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of determination, the ratio of (x) the sum of (i) Total Debt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lesser of</w:t>
      </w:r>
    </w:p>
    <w:p>
      <w:pPr>
        <w:spacing w:after="0" w:line="29" w:lineRule="exact"/>
        <w:rPr>
          <w:sz w:val="20"/>
          <w:szCs w:val="20"/>
          <w:color w:val="auto"/>
        </w:rPr>
      </w:pPr>
    </w:p>
    <w:p>
      <w:pPr>
        <w:ind w:left="660" w:right="2220" w:hanging="652"/>
        <w:spacing w:after="0" w:line="490" w:lineRule="auto"/>
        <w:tabs>
          <w:tab w:leader="none" w:pos="2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Cash as of such date and (b) $[***], to (y) Adjusted EBITDA for the most recently ended Measurement Period. “</w:t>
      </w:r>
      <w:r>
        <w:rPr>
          <w:rFonts w:ascii="Times New Roman" w:cs="Times New Roman" w:eastAsia="Times New Roman" w:hAnsi="Times New Roman"/>
          <w:sz w:val="18"/>
          <w:szCs w:val="18"/>
          <w:u w:val="single" w:color="auto"/>
          <w:color w:val="auto"/>
        </w:rPr>
        <w:t>Total Term Loan Commitment</w:t>
      </w:r>
      <w:r>
        <w:rPr>
          <w:rFonts w:ascii="Times New Roman" w:cs="Times New Roman" w:eastAsia="Times New Roman" w:hAnsi="Times New Roman"/>
          <w:sz w:val="18"/>
          <w:szCs w:val="18"/>
          <w:color w:val="auto"/>
        </w:rPr>
        <w:t>” means the sum of the amounts of the Lenders’ Term Loan Commitments.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exchanges in the United States are open for the buying and selling of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reasonable and documented fees, costs and expenses payable by the Borrower or any of its Subsidiaries on or before the Closing Date in connection with the transactions contemplated by the Loan Documents (including the Closing Date Refinancing).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 of Loan</w:t>
      </w:r>
      <w:r>
        <w:rPr>
          <w:rFonts w:ascii="Times New Roman" w:cs="Times New Roman" w:eastAsia="Times New Roman" w:hAnsi="Times New Roman"/>
          <w:sz w:val="18"/>
          <w:szCs w:val="18"/>
          <w:color w:val="auto"/>
        </w:rPr>
        <w:t>” means with respect to any Term Loan, a Base Rate Loan or a SOFR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2.15(d)(i)(B)(3).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that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Net Sales</w:t>
      </w:r>
      <w:r>
        <w:rPr>
          <w:rFonts w:ascii="Times New Roman" w:cs="Times New Roman" w:eastAsia="Times New Roman" w:hAnsi="Times New Roman"/>
          <w:sz w:val="18"/>
          <w:szCs w:val="18"/>
          <w:color w:val="auto"/>
        </w:rPr>
        <w:t>” means, with respect to each Measurement Period,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Net Sales Calculation</w:t>
      </w:r>
      <w:r>
        <w:rPr>
          <w:rFonts w:ascii="Times New Roman" w:cs="Times New Roman" w:eastAsia="Times New Roman" w:hAnsi="Times New Roman"/>
          <w:sz w:val="18"/>
          <w:szCs w:val="18"/>
          <w:color w:val="auto"/>
        </w:rPr>
        <w:t xml:space="preserve">” means the most recent certified calculation of US Net Sales delivered to the Administrative Agent in the Compliance Certificate accompanying the financial statements delivered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as applicable, and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25" w:lineRule="exact"/>
        <w:rPr>
          <w:sz w:val="20"/>
          <w:szCs w:val="20"/>
          <w:color w:val="auto"/>
        </w:rPr>
      </w:pPr>
    </w:p>
    <w:p>
      <w:pPr>
        <w:jc w:val="both"/>
        <w:ind w:firstLine="656"/>
        <w:spacing w:after="0" w:line="266" w:lineRule="auto"/>
        <w:tabs>
          <w:tab w:leader="none" w:pos="10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Event</w:t>
      </w:r>
      <w:r>
        <w:rPr>
          <w:rFonts w:ascii="Times New Roman" w:cs="Times New Roman" w:eastAsia="Times New Roman" w:hAnsi="Times New Roman"/>
          <w:sz w:val="18"/>
          <w:szCs w:val="18"/>
          <w:color w:val="auto"/>
        </w:rPr>
        <w:t>” means (a) any voluntary withdrawal or removal of one or both of (i) BRIUMVI or (ii) any Competing Product (excluding, in each case (i) or (ii), a recall, removal, market withdrawal, or correction of BRIUMVI or a Competing Product that involves a minor violation that would not be subject to legal action by the FDA (or international equivalent thereof) or that involves no violation of FDA Laws), (b) the loss of marketing authorization for any Product (Core), or (c) the Borrower or any of its Subsidiaries receives a notification from a Governmental Authority that it intends to withdraw marketing approval of any Product (Core) or such notification is published in the Federal Register or other equivalent information source (each, a “</w:t>
      </w:r>
      <w:r>
        <w:rPr>
          <w:rFonts w:ascii="Times New Roman" w:cs="Times New Roman" w:eastAsia="Times New Roman" w:hAnsi="Times New Roman"/>
          <w:sz w:val="18"/>
          <w:szCs w:val="18"/>
          <w:u w:val="single" w:color="auto"/>
          <w:color w:val="auto"/>
        </w:rPr>
        <w:t>Regulatory Withdrawal Notice</w:t>
      </w:r>
      <w:r>
        <w:rPr>
          <w:rFonts w:ascii="Times New Roman" w:cs="Times New Roman" w:eastAsia="Times New Roman" w:hAnsi="Times New Roman"/>
          <w:sz w:val="18"/>
          <w:szCs w:val="18"/>
          <w:color w:val="auto"/>
        </w:rPr>
        <w:t>”) [***], in each case of (a), (b) and (c), with respect to a Material Jurisdiction. [***].</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Accounting and Other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18"/>
          <w:szCs w:val="18"/>
          <w:u w:val="single" w:color="auto"/>
          <w:color w:val="auto"/>
        </w:rPr>
        <w:t>Sections 5.1(b)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1, 2018 shall be applied and (iii) with respect to revenue recognition and the impact of such accounting in accordance with FASB ASC 606 on the definitions and covenants herein, GAAP as in effect on December 31, 2017 shall be applied. Notwithstanding anything to the contrary above or in the definition of “Capital Lease”, all obligations of any Person that are or would have been treated as operating leases for purposes of GAAP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w:t>
      </w:r>
    </w:p>
    <w:p>
      <w:pPr>
        <w:spacing w:after="0" w:line="1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jc w:val="both"/>
        <w:ind w:firstLine="1304"/>
        <w:spacing w:after="0" w:line="261" w:lineRule="auto"/>
        <w:tabs>
          <w:tab w:leader="none" w:pos="17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used in this Agreement that are defined in Article 8 or Article 9 of the UCC as in effect from time to time in the State of New York and that are not otherwise defined herein shall have the same meanings herein as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terms used herein that are defined in the UCC as in effect in the State of New York on the date hereof shall continue to have the same meaning notwithstanding any replacement or amendment of such statute except as Administrative Agent may otherwise determine.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7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Interpretation, Etc.</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The word “or” is used in the inclusive sense (and/or).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Whenever this Agreement refers to a number of days, unless otherwise specified, such number refers to calendar days.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Applicable Premium and any Prepayment Premium, (ii) all costs, expenses, or indemnities payable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Section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and (iv)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all Loan Documents.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Time References</w:t>
      </w:r>
      <w:r>
        <w:rPr>
          <w:rFonts w:ascii="Times New Roman" w:cs="Times New Roman" w:eastAsia="Times New Roman" w:hAnsi="Times New Roman"/>
          <w:sz w:val="18"/>
          <w:szCs w:val="18"/>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computation of fees or interest payable to Administrative Agent or any Lender, such period shall in any event consist of at least one full day.</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Certain Matters of Construction</w:t>
      </w:r>
      <w:r>
        <w:rPr>
          <w:rFonts w:ascii="Times New Roman" w:cs="Times New Roman" w:eastAsia="Times New Roman" w:hAnsi="Times New Roman"/>
          <w:sz w:val="18"/>
          <w:szCs w:val="18"/>
          <w:color w:val="auto"/>
        </w:rPr>
        <w:t xml:space="preserve">.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cured or waived in writing pursuant to this Agreement or, in the case of a Default, is cured within any period of cure expressly provided for in this Agreement; and an Event of Default shall “continue” or be “continuing” until such Event of Default has been cured or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 If at any time any action or transaction meets the criteria of one or more than one of the categories of exceptions, thresholds or baskets set forth in any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definition used therein, the Borrower or its Subsidiaries may divide, classify or designate such action or transaction (or any portion thereof), and later (on one or more occasions) may re-divide, re-classify or re-designate such action or transaction (or any portion thereof), as consummated in reliance on one or more of such exceptions, thresholds and baskets within such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as the Borrower or any of its Subsidiaries may determine in their sole discretion from time to time. All references to “in the ordinary course of business” of the Borrower or any Subsidiary thereof means (i) in the ordinary course of business of, or in furtherance of an objective that is in the ordinary course of business of the Borrower or such Subsidiary, as applicable, (ii) customary and usual in the industry or industries of the Borrower and its Subsidiaries in the United States or any other jurisdiction in which the Borrower or any Subsidiary does business, as applicable, and (iii) generally consistent with the past or current practice of the Borrower or such Subsidiary, as applicable, or any similarly situated businesses of the United States or any other jurisdiction in which the Borrower or any Subsidiary does business, as applicable.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Borrower.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Financial Metrics</w:t>
      </w:r>
      <w:r>
        <w:rPr>
          <w:rFonts w:ascii="Times New Roman" w:cs="Times New Roman" w:eastAsia="Times New Roman" w:hAnsi="Times New Roman"/>
          <w:sz w:val="18"/>
          <w:szCs w:val="18"/>
          <w:color w:val="auto"/>
        </w:rPr>
        <w:t>. For purposes of determining any financial metric, including, without limitation, Consolidated Total Assets of the Borrower and its Subsidiaries, in connection with any test, requirement, condition or calculation using such metric required hereunder to determine whether any action taken or to be taken by the Borrower is permitted hereunder, the Borrower shall use such number as of the last date for which the Borrower has, or is required to have, delivered financial reporting under Section 5.1 hereof (giving pro forma effect to the proposed action).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auto"/>
        </w:rPr>
        <w:t>. If any of the baskets set forth in Article VI of this Agreement are exceeded solely as a result of currency fluctuations or fluctuations in the Total Net Leverage Ratio or in Consolidated Total Assets for the most recently completed Fiscal Quarter after the last time such baskets were calculated for any purpose under this Agreement, such baskets will not be deemed to have been exceeded solely as a result of such fluctuations.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LOANS</w:t>
      </w:r>
    </w:p>
    <w:p>
      <w:pPr>
        <w:spacing w:after="0" w:line="22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6"/>
        <w:spacing w:after="0"/>
        <w:tabs>
          <w:tab w:leader="none" w:pos="1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Term Loans; Incremental Term Loans</w:t>
      </w:r>
      <w:r>
        <w:rPr>
          <w:rFonts w:ascii="Times New Roman" w:cs="Times New Roman" w:eastAsia="Times New Roman" w:hAnsi="Times New Roman"/>
          <w:sz w:val="18"/>
          <w:szCs w:val="18"/>
          <w:color w:val="auto"/>
        </w:rPr>
        <w:t>. Subject to the terms and conditions hereof:</w:t>
      </w:r>
    </w:p>
    <w:p>
      <w:pPr>
        <w:spacing w:after="0" w:line="225" w:lineRule="exact"/>
        <w:rPr>
          <w:rFonts w:ascii="Times New Roman" w:cs="Times New Roman" w:eastAsia="Times New Roman" w:hAnsi="Times New Roman"/>
          <w:sz w:val="18"/>
          <w:szCs w:val="18"/>
          <w:color w:val="auto"/>
        </w:rPr>
      </w:pPr>
    </w:p>
    <w:p>
      <w:pPr>
        <w:ind w:right="20" w:firstLine="1628"/>
        <w:spacing w:after="0" w:line="282" w:lineRule="auto"/>
        <w:tabs>
          <w:tab w:leader="none" w:pos="197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agrees to make, on the Initial Funding Date, an Initial Term Loan to Borrower in an amount equal to such Lender’s Term Loan Commitment; and</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206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Borrower, and subject to the approval of Lenders in their sole discretion, each Lender may, severally and not jointly, make Incremental Term Loans to Borrower in an aggregate amount not to exceed $100,000,000.00.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Borrower may make only one borrowing under the Term Loan Commitment, which shall be on the Initial Funding Date. Any amount borrowed under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subsequently repaid or prepaid may not be reborrowed.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all amounts owed hereunder with respect to the Term Loan shall be paid in full no later than the Term Loan Maturity Date. Each Lender’s Term Loan Commitment shall terminate immediately and without further action on the Credit Date on which such Lender funds Initial Term Loans after giving effect to the funding of such Term Loans on such Credit Date.</w:t>
      </w:r>
    </w:p>
    <w:p>
      <w:pPr>
        <w:spacing w:after="0" w:line="180" w:lineRule="exact"/>
        <w:rPr>
          <w:sz w:val="20"/>
          <w:szCs w:val="20"/>
          <w:color w:val="auto"/>
        </w:rPr>
      </w:pPr>
    </w:p>
    <w:p>
      <w:pPr>
        <w:ind w:left="1700" w:hanging="396"/>
        <w:spacing w:after="0"/>
        <w:tabs>
          <w:tab w:leader="none" w:pos="1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54" w:lineRule="auto"/>
        <w:tabs>
          <w:tab w:leader="none" w:pos="200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Administrative Agent a fully executed Funding Notice no later than three Business Days prior to the Initial Funding Date (or such shorter period permitted by Administrative Agent), with respect to Term Loans made on the Initial Funding Date. Except as otherwise provided herein, a Funding Notice for a Term Loan that is a SOFR Loan shall be irrevocable on and after the related Interest Rate Determination Date, and Borrower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Borrower (or from any Authorized Officer thereof designated in writing purportedly from Borrower to Administrative Agent), (B) shall be entitled to rely conclusively on any Authorized Officer’s authority to request a Term Loan on behalf of Borrower until Administrative Agent receives written notice to the contrary, and (C) shall have no duty to verify the authenticity of the signature appearing on any written Funding Notice.</w:t>
      </w:r>
    </w:p>
    <w:p>
      <w:pPr>
        <w:spacing w:after="0" w:line="188" w:lineRule="exact"/>
        <w:rPr>
          <w:rFonts w:ascii="Times New Roman" w:cs="Times New Roman" w:eastAsia="Times New Roman" w:hAnsi="Times New Roman"/>
          <w:sz w:val="18"/>
          <w:szCs w:val="18"/>
          <w:color w:val="auto"/>
        </w:rPr>
      </w:pPr>
    </w:p>
    <w:p>
      <w:pPr>
        <w:jc w:val="both"/>
        <w:ind w:firstLine="1628"/>
        <w:spacing w:after="0" w:line="256" w:lineRule="auto"/>
        <w:tabs>
          <w:tab w:leader="none" w:pos="202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Borrower on the applicable Credit Date by causing an amount of same day funds in Dollars equal to the proceeds of all such Loans received by Administrative Agent from Lenders to be credited to the account of Borrower at Administrative Agent’s Principal Office or to such other account as may be designated in writing to Administrative Agent by Borrower.</w:t>
      </w:r>
    </w:p>
    <w:p>
      <w:pPr>
        <w:spacing w:after="0" w:line="187" w:lineRule="exact"/>
        <w:rPr>
          <w:rFonts w:ascii="Times New Roman" w:cs="Times New Roman" w:eastAsia="Times New Roman" w:hAnsi="Times New Roman"/>
          <w:sz w:val="18"/>
          <w:szCs w:val="18"/>
          <w:color w:val="auto"/>
        </w:rPr>
      </w:pPr>
    </w:p>
    <w:p>
      <w:pPr>
        <w:jc w:val="both"/>
        <w:ind w:firstLine="1628"/>
        <w:spacing w:after="0" w:line="258" w:lineRule="auto"/>
        <w:tabs>
          <w:tab w:leader="none" w:pos="20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Funding Notice requesting Incremental Term Loans, (a) the Administrative Agent shall promptly forward such Funding Notice to each Lender and (b) each Lender shall, within fifteen (15) U.S. Government Securities Business Days of receipt of such Funding Notice, elect or decline to commit, on the applicable Credit Date, to provide its Pro Rata Share of such Term Loans. During such fifteen (15) U.S. Government Securities Business Days period, Borrower shall provide to Administrative Agent, for distribution to the Lenders, such information as reasonably requested by Lenders, including, without limitation any information related to the use of funds of such Incremental Term Loans.</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1680" w:hanging="376"/>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 Availability of Funds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61" w:lineRule="auto"/>
        <w:tabs>
          <w:tab w:leader="none" w:pos="21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(other than the Incremental Term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spacing w:after="0" w:line="179" w:lineRule="exact"/>
        <w:rPr>
          <w:rFonts w:ascii="Times New Roman" w:cs="Times New Roman" w:eastAsia="Times New Roman" w:hAnsi="Times New Roman"/>
          <w:sz w:val="18"/>
          <w:szCs w:val="18"/>
          <w:color w:val="auto"/>
        </w:rPr>
      </w:pPr>
    </w:p>
    <w:p>
      <w:pPr>
        <w:jc w:val="both"/>
        <w:ind w:firstLine="1628"/>
        <w:spacing w:after="0" w:line="253" w:lineRule="auto"/>
        <w:tabs>
          <w:tab w:leader="none" w:pos="203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xml:space="preserve"> shall be deemed to relieve any Lender from its obligation to fulfill its Term Loan Commitments hereunder or to prejudice any rights that Borrower may have against any Lender as a result of any default by such Lender hereunder.</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Initial Term Loans shall be applied by Borrower (a) to finance the Closing Date Refinancing and to pay the Transaction Costs and (b) for working capital and general corporate purposes of the Borrower and its Subsidiaries.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8"/>
          <w:szCs w:val="18"/>
          <w:u w:val="single" w:color="auto"/>
          <w:color w:val="auto"/>
        </w:rPr>
        <w:t>Evidence of Debt; Register; Lenders’ Books and Records;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6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Evidence of Debt</w:t>
      </w:r>
      <w:r>
        <w:rPr>
          <w:rFonts w:ascii="Times New Roman" w:cs="Times New Roman" w:eastAsia="Times New Roman" w:hAnsi="Times New Roman"/>
          <w:sz w:val="18"/>
          <w:szCs w:val="18"/>
          <w:color w:val="auto"/>
        </w:rPr>
        <w:t xml:space="preserve">. Each Lender shall maintain on its internal records an account or accounts evidencing the Obligations of Borrower to such Lender, including the amounts of the Term Loans made by it and each repayment and prepayment in respect thereof. Any such recordation shall be conclusive and binding on Borrower,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make any such recordation, or any error in such recordation, shall not affect Borrower’s Obligations in respect of any Term Loans; and provided further, in the event of any inconsistency between the Register and any Lender’s records, the recordations in the Register shall govern.</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left="-660" w:firstLine="1304"/>
        <w:spacing w:after="0" w:line="253"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Administrative Agent shall maintain at its Principal Office a register for the recordation of the names and addresses of Lenders and the commitments of and principal amount of the Term Loans (and stated interest therein)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Register shall be available for inspection by Borrower at any reasonable time and from time to time upon reasonable prior notice.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failure to make any such recordation, or any error in such recordation, shall not affect Borrower’s Obligations to repay any Term Loan in accordance with the terms of this Agreement. Borrower hereby designates the entity serving as Administrative Agent to serve as Borrower’s non-fiduciary agent solely for purposes of maintaining the Register as provided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0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If so requested by any Lender by written notice to Borrower (with a copy to Administrative Agent) at least two Business Days prior to the Closing Date, or at any time thereafter, Borrower shall execute and deliver to such Lender (or, if applicable and if so specified in such notice, to any Person who is an assignee of such Lender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on the Closing Date (or, if such notice is delivered after the Closing Date, promptly after Borrower’s receipt of such notice) a Note or Notes.</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1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or (ii) if a SOFR Loan, at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03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determining the rate of interest with respect to any Loan, and the Interest Period with respect to any SOFR Loan, shall be selected by Borrower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02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SOFR Loans there shall be no more than five (5) Interest Periods outstanding at any time. In the event Borrower fails to specify between a Base Rate Loan or a SOFR Loan in the applicable Funding Notice or Conversion/Continuation Notice, such Loan (if outstanding as a SOFR Loan) will automatically continue as a SOFR Loan on the last day of the then current Interest Period for such Loan (or if outstanding as a Base Rate Loan will remain as, or (if not then outstanding) will be made as, a Base Rate Loan). At any time that an Event of Default has occurred and is continuing, Borrower no longer shall have the option to request that any portion of the Loans be a SOFR Loan and such SOFR Loans shall automatically convert to Base Rate Loans on the last day of the then current Interest Period. As soon as practicable after 1:00 p.m.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Borrower and each Lender.</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42" w:name="page143"/>
    <w:bookmarkEnd w:id="142"/>
    <w:p>
      <w:pPr>
        <w:jc w:val="both"/>
        <w:ind w:firstLine="1304"/>
        <w:spacing w:after="0" w:line="256" w:lineRule="auto"/>
        <w:tabs>
          <w:tab w:leader="none" w:pos="17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hereunder shall be computed on the basis of a 360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 Loan is repaid on the same day on which it is made, one day’s interest shall be paid on that Loan.</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interest on each Term Loan shall be payable in cash and in arrears (i) on each Interest Payment Date and (ii) upon any prepayment of that Term Loan, whether voluntary or mandatory, to the extent accrued on the amount being prepaid.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Conversion/Continuation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40" w:hanging="436"/>
        <w:spacing w:after="0"/>
        <w:tabs>
          <w:tab w:leader="none" w:pos="1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so long as no Event of Default shall have occurred and then be continuing, Borrower shall have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7" w:lineRule="exact"/>
        <w:rPr>
          <w:sz w:val="20"/>
          <w:szCs w:val="20"/>
          <w:color w:val="auto"/>
        </w:rPr>
      </w:pPr>
    </w:p>
    <w:p>
      <w:pPr>
        <w:jc w:val="both"/>
        <w:ind w:firstLine="1628"/>
        <w:spacing w:after="0" w:line="266" w:lineRule="auto"/>
        <w:tabs>
          <w:tab w:leader="none" w:pos="20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SOFR Loan may only be converted on the expiration of the Interest Period applicable to such SOFR Loan unless Borrower shall pay all amounts due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 connection with any such conversion; or</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205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SOFR Loan, to continue all or any portion of such Loan equal to $5,000,000 and integral multiples of $5,000,000 in excess of that amount as a SOFR Loan.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a Conversion/Continuation Notice to Administrative Agent no later than 1:00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Borrower shall be bound to effect a conversion or continuation in accordance therewith.</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Upon the occurrence and during the continuance of an Event of Default under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and after written notice from the Administrative Agent acting at the direction of the Required Lenders, after the occurrence and during the continuance of any other Event of Default, the principal amount of all Term Loans outstanding and, to the extent permitted by applicable law, any interest payments on the Term Loans or any fees or other amounts owed hereunder (including any Applicable Premium and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is not a permitted alternative to timely payment and shall not constitute a waiver of any Default or Event of Default or otherwise prejudice or limit any rights or remedies of Administrative Agent or any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20" w:hanging="416"/>
        <w:spacing w:after="0"/>
        <w:tabs>
          <w:tab w:leader="none" w:pos="1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pay to Administrative Agent all fees payable by it in the Fee Letters in the amounts and at the times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 xml:space="preserve">All fees referred to in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calculated on the basis of a 360 day year and the actual number of days elapsed.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The principal amounts of the Term Loans shall be repaid in quarterly installments (each, an “</w:t>
      </w:r>
      <w:r>
        <w:rPr>
          <w:rFonts w:ascii="Times New Roman" w:cs="Times New Roman" w:eastAsia="Times New Roman" w:hAnsi="Times New Roman"/>
          <w:sz w:val="18"/>
          <w:szCs w:val="18"/>
          <w:u w:val="single" w:color="auto"/>
          <w:color w:val="auto"/>
        </w:rPr>
        <w:t>Installment</w:t>
      </w:r>
      <w:r>
        <w:rPr>
          <w:rFonts w:ascii="Times New Roman" w:cs="Times New Roman" w:eastAsia="Times New Roman" w:hAnsi="Times New Roman"/>
          <w:sz w:val="18"/>
          <w:szCs w:val="18"/>
          <w:color w:val="auto"/>
        </w:rPr>
        <w:t>”) in the amounts set forth opposite each installment payment date in the table below:</w:t>
      </w:r>
    </w:p>
    <w:p>
      <w:pPr>
        <w:spacing w:after="0" w:line="157" w:lineRule="exact"/>
        <w:rPr>
          <w:sz w:val="20"/>
          <w:szCs w:val="20"/>
          <w:color w:val="auto"/>
        </w:rPr>
      </w:pPr>
    </w:p>
    <w:tbl>
      <w:tblPr>
        <w:tblLayout w:type="fixed"/>
        <w:tblInd w:w="2270" w:type="dxa"/>
        <w:tblCellMar>
          <w:top w:w="0" w:type="dxa"/>
          <w:left w:w="0" w:type="dxa"/>
          <w:bottom w:w="0" w:type="dxa"/>
          <w:right w:w="0" w:type="dxa"/>
        </w:tblCellMar>
      </w:tblPr>
      <w:tr>
        <w:trPr>
          <w:trHeight w:val="249"/>
        </w:trPr>
        <w:tc>
          <w:tcPr>
            <w:tcW w:w="3420" w:type="dxa"/>
            <w:vAlign w:val="bottom"/>
            <w:tcBorders>
              <w:top w:val="single" w:sz="8" w:color="auto"/>
              <w:left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Installment Payment Date</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Loan Installments</w:t>
            </w:r>
          </w:p>
        </w:tc>
      </w:tr>
      <w:tr>
        <w:trPr>
          <w:trHeight w:val="193"/>
        </w:trPr>
        <w:tc>
          <w:tcPr>
            <w:tcW w:w="3420" w:type="dxa"/>
            <w:vAlign w:val="bottom"/>
            <w:tcBorders>
              <w:bottom w:val="single" w:sz="8" w:color="auto"/>
              <w:right w:val="single" w:sz="8" w:color="auto"/>
            </w:tcBorders>
          </w:tcPr>
          <w:p>
            <w:pPr>
              <w:jc w:val="right"/>
              <w:ind w:right="2930"/>
              <w:spacing w:after="0" w:line="193" w:lineRule="exact"/>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(x) [***], (y) the outstanding unpaid principal balance, together with all other amounts owed hereunder with respect thereto, shall, in any event, be paid in full in cash no later than the Term Loan Maturity Date; and (z) any Incremental Term Loans shall be repaid in accordance with the amortization schedule for such Incremental Term Loans in the Incremental Amendment applicable thereto.</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Voluntary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2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Fee Letter, Borrower may prepay at any time the Term Loan on any Business Day in whole or in part (together with any amounts due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in an aggregate minimum amount of $10,000,000 and integral multiples of $5,000,000 in excess of that amount.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prepayments shall be made upon not less than three (3) Business Day’s prior written notice, in each case given to Administrative Agent by 1:00 p.m.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rescind any notice if (i) such prepayment would have resulted from a refinancing of the Term Loans or other contingent transaction and such refinancing or transaction shall not be consummated or shall otherwise be delayed, and (ii) such prior written notice states that such prepayment is conditioned upon the closing on the proposed date of prepayment of a refinancing of the Term Loans or other contingent transaction. Any such voluntary prepayment shall be applied as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with respect to the Term Loans.</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ind w:left="652"/>
        <w:spacing w:after="0"/>
        <w:tabs>
          <w:tab w:leader="none" w:pos="1712"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Mandatory Prepayment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72" w:hanging="376"/>
        <w:spacing w:after="0"/>
        <w:tabs>
          <w:tab w:leader="none" w:pos="167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628"/>
        <w:spacing w:after="0" w:line="253" w:lineRule="auto"/>
        <w:tabs>
          <w:tab w:leader="none" w:pos="200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 following the date of receipt by any Loan Party of any Net Proceeds from Asset Sales (other than any Asset Sale described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(solely with respect to an Asset Sale of Product (Core) pursuant to an agreement that satisfies the conditions of clause (b) of the definition of Permitted Product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in excess of (x) $[***] in the aggregate with respect to Asset Sales of Product and (y) $[***] in the aggregate with respect to any other Asset Sales (including, for the avoidance of doubt, any priority review voucher);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prepayment shall not be required so long as (i) no Default or Event of Default shall have occurred and be continuing, (ii) Borrower has delivered Administrative Agent written notice of Borrower’s intention to reinvest such monies in long-term or capital assets used or useful in the business of the Loan Parties, (iii) the Net Proceeds are held in a Deposit Account in which Administrative Agent has a perfected first-priority security interest, and (iv) the Loan Parties complete such reinvestment or purchase within [***] days after the initial receipt of such monies;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day period,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 amount equal to any such Net Proceeds shall, within [***]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8" w:firstLine="1628"/>
        <w:spacing w:after="0" w:line="282" w:lineRule="auto"/>
        <w:tabs>
          <w:tab w:leader="none" w:pos="20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67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No later than the [***] following the date of receipt by any Loan Party, or Administrative Agent as loss payee, of any Net Proceeds from insurance or any condemnation, taking or other casualty in excess of $[***], Borrower shall,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2.12(b)</w:t>
      </w:r>
      <w:r>
        <w:rPr>
          <w:rFonts w:ascii="Times New Roman" w:cs="Times New Roman" w:eastAsia="Times New Roman" w:hAnsi="Times New Roman"/>
          <w:sz w:val="18"/>
          <w:szCs w:val="18"/>
          <w:color w:val="auto"/>
        </w:rPr>
        <w:t xml:space="preserve">, prepay the Term Loan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in an aggregate amount equal to such Net Proceeds in excess of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such prepayment shall not be required so long as (i) no Default or Event of Default shall have occurred and be continuing, (ii) Borrower has delivered Administrative Agent prior written notice of Borrower’s intention to [***] reinvest such monies in long-term or capital assets used or useful in the business of the Loan Parties, (iii) the Net Proceeds are held in a Deposit Account in which Administrative Agent has a perfected first-priority security interest, and</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complete such reinvestment or purchase within [***] days after the initial receipt of such monies;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day period,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 amount equal to any such Net Proceeds shall, within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7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Borrower shall prepay the Loans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70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Certificate</w:t>
      </w:r>
      <w:r>
        <w:rPr>
          <w:rFonts w:ascii="Times New Roman" w:cs="Times New Roman" w:eastAsia="Times New Roman" w:hAnsi="Times New Roman"/>
          <w:sz w:val="18"/>
          <w:szCs w:val="18"/>
          <w:color w:val="auto"/>
        </w:rPr>
        <w:t>. Concurrently with any prepayment of the Term Loan pursuant to Section 2.10(a) through Section 2.10(c), Borrower shall deliver to Administrative Agent a certificate of an Authorized Officer demonstrating the calculation of the amount of the applicable net proceeds and compensation owing to Lenders pursuant to the Fee Letter, if any, as the case may be. In the event that Borrower shall subsequently determine that the actual amount received exceeded the amount set forth in such certificate, Borrower shall promptly make an additional prepayment of the Loans, and Borrower shall concurrently therewith deliver to Administrative Agent a certificate of an Authorized Officer demonstrating the derivation of such excess.</w:t>
      </w:r>
    </w:p>
    <w:p>
      <w:pPr>
        <w:spacing w:after="0" w:line="18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45" w:name="page146"/>
    <w:bookmarkEnd w:id="145"/>
    <w:p>
      <w:pPr>
        <w:ind w:left="652"/>
        <w:spacing w:after="0"/>
        <w:tabs>
          <w:tab w:leader="none" w:pos="1692"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Application of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66" w:lineRule="auto"/>
        <w:tabs>
          <w:tab w:leader="none" w:pos="17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Term Loans</w:t>
      </w:r>
      <w:r>
        <w:rPr>
          <w:rFonts w:ascii="Times New Roman" w:cs="Times New Roman" w:eastAsia="Times New Roman" w:hAnsi="Times New Roman"/>
          <w:sz w:val="18"/>
          <w:szCs w:val="18"/>
          <w:color w:val="auto"/>
        </w:rPr>
        <w:t xml:space="preserve">. (i) Any prepayment of the Term Loan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(ii) except in connection with any Waivable Mandatory Prepayment provided for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so long as no Application Event has occurred and is continuing, any mandatory prepayment of any Loan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in each case, shall be applied as follows:</w:t>
      </w:r>
    </w:p>
    <w:p>
      <w:pPr>
        <w:spacing w:after="0" w:line="17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to prepay accrued and unpaid interest on the Term Loan;</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to pay any Prepayment Premium and any Applicable Premium payable thereon; and</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i w:val="1"/>
          <w:iCs w:val="1"/>
          <w:color w:val="auto"/>
        </w:rPr>
        <w:t xml:space="preserve">third, </w:t>
      </w:r>
      <w:r>
        <w:rPr>
          <w:rFonts w:ascii="Times New Roman" w:cs="Times New Roman" w:eastAsia="Times New Roman" w:hAnsi="Times New Roman"/>
          <w:sz w:val="18"/>
          <w:szCs w:val="18"/>
          <w:color w:val="auto"/>
        </w:rPr>
        <w:t>to prepay the principal of the (i) Initial Term Loan, subject to Section 2.8, ratably, and (ii) Incremental Term Loans, ratably.</w:t>
      </w:r>
    </w:p>
    <w:p>
      <w:pPr>
        <w:spacing w:after="0" w:line="227" w:lineRule="exact"/>
        <w:rPr>
          <w:sz w:val="20"/>
          <w:szCs w:val="20"/>
          <w:color w:val="auto"/>
        </w:rPr>
      </w:pPr>
    </w:p>
    <w:p>
      <w:pPr>
        <w:jc w:val="both"/>
        <w:ind w:left="-8" w:firstLine="1304"/>
        <w:spacing w:after="0" w:line="253" w:lineRule="auto"/>
        <w:tabs>
          <w:tab w:leader="none" w:pos="170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Anything contained herein to the contrary notwithstanding, in the event Borrower is required to make any mandatory prepayment (a “</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of the Term Loans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not less than [***] prior to the date (the “</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on which Borrower is required to make such Waivable Mandatory Prepayment, Borrower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Borrower and Administrative Agent of its election to do so on or before the</w:t>
      </w:r>
    </w:p>
    <w:p>
      <w:pPr>
        <w:spacing w:after="0" w:line="5"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42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Required Prepayment Date (it being understood that any Lender which does not notify Borrower and Administrative Agent of its election to exercise such option on or before the [***] prior to the Required Prepayment Date shall be deemed to have elected, as of such date, not to exercise such option). On the Required Prepayment Date, Borrower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and (ii) to the extent of any excess, to Borrower for working capital and general corporate purposes.</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6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all payments shall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Nothing contained herein shall modify the provisions of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regarding the requirement that all prepayments be accompanied by accrued interest and fees on the principal amount being prepaid to the date of such prepayment and the applicable Applicable Premium, Prepayment Premium, or any requirement otherwise contained herein to pay all other amounts as the same become due and payable.</w:t>
      </w:r>
    </w:p>
    <w:p>
      <w:pPr>
        <w:spacing w:after="0" w:line="180" w:lineRule="exact"/>
        <w:rPr>
          <w:sz w:val="20"/>
          <w:szCs w:val="20"/>
          <w:color w:val="auto"/>
        </w:rPr>
      </w:pPr>
    </w:p>
    <w:p>
      <w:pPr>
        <w:ind w:left="652"/>
        <w:spacing w:after="0"/>
        <w:tabs>
          <w:tab w:leader="none" w:pos="1712"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General Provisions Regarding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8" w:lineRule="auto"/>
        <w:tabs>
          <w:tab w:leader="none" w:pos="16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Borrower of principal, interest, fees and other Obligations shall be made in Dollars in immediately available funds, without defense, recoupment, setoff or counterclaim, free of any restriction or condition, and delivered to Administrative Agent, for the account of Lenders, not later than 1:00 p.m. (or such later time as the Administrative Agent may agree) on the date such payment is due and payable to Administrative Agent’s Account. Funds received by Administrative Agent after that time on such due date may be deemed to have been paid by Borrower on the next Business Day.</w:t>
      </w:r>
    </w:p>
    <w:p>
      <w:pPr>
        <w:spacing w:after="0" w:line="183"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46" w:name="page147"/>
    <w:bookmarkEnd w:id="146"/>
    <w:p>
      <w:pPr>
        <w:jc w:val="both"/>
        <w:ind w:firstLine="1304"/>
        <w:spacing w:after="0" w:line="266" w:lineRule="auto"/>
        <w:tabs>
          <w:tab w:leader="none" w:pos="17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Term Loan shall be accompanied by payment of accrued interest on the principal amount being repaid or prepaid, any Prepayment Premium, any Applicable Premium, and all other amounts payable with respect to the principal amount being repaid or prepaid.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19" w:lineRule="exact"/>
        <w:tabs>
          <w:tab w:leader="none" w:pos="17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shall deem any payment by or on behalf of Borrower hereunder that is not made in same day funds prior to 1:00 p.m. (or such later time as the Administrative Agent may agree) to be a non-conforming payment. Any such payment shall be deemed not to have been received by Administrative Agent until the later of (i) the time such funds become available funds, and (ii) the applicable next Business Day. Administrative Agent shall give prompt telephonic notice to Borrower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Interest shall continue to accrue on any principal as to which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from the date such amount was due and payable until the date such amount is paid in full.</w:t>
      </w:r>
    </w:p>
    <w:p>
      <w:pPr>
        <w:spacing w:after="0" w:line="19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17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Obligations in respect of any fees (other than any Prepayment Premium and Applicable Premium),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indemnities and other amounts then due and payable to Administrative Agent until paid in full;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interest then due and payable in respect of Protective Advances until paid in full;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principal of Protective Advances then due and payable until paid in full;</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the Obligations in respect of any fees (other than any Prepayment Premium and Applicable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indemnities then due and payable to the Lenders with a Term Loan Commitment until paid in full;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interest then due and payable in respect of the Term Loan until paid in full;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ratably to pay the principal of the Term Loan until paid in full;</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ratably to pay the Obligations in respect of any Prepayment Premium and Applicable Premium then due and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with a Term Loan Commitment until paid in full; 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the ratable payment of all other Obligations then due and payable until paid in full.</w:t>
      </w:r>
    </w:p>
    <w:p>
      <w:pPr>
        <w:spacing w:after="0" w:line="225" w:lineRule="exact"/>
        <w:rPr>
          <w:sz w:val="20"/>
          <w:szCs w:val="20"/>
          <w:color w:val="auto"/>
        </w:rPr>
      </w:pPr>
    </w:p>
    <w:p>
      <w:pPr>
        <w:jc w:val="both"/>
        <w:ind w:firstLine="1304"/>
        <w:spacing w:after="0" w:line="254" w:lineRule="auto"/>
        <w:tabs>
          <w:tab w:leader="none" w:pos="17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(other than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90"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direct conflict between the priority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shall control and govern.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6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Borrower hereby authorize Administrative Agent to, and Administrative Agent may, from time to time, charge the Loan Account with any amount then due and payable by Borrower under any Loan Document. Each of the Lenders and Borrower agrees that Administrative Agent shall have the right to make such charges whether or not any Default or Event of Default shall have occurred and be continuing or whether any of the conditions precedent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have been satisfied. Any amount charged to the Loan Account shall be deemed a Loan hereunder made by the Lenders to Borrower, funded by Administrative Agent on behalf of the Lenders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Lenders and Borrower confirm that any charges that Administrative Agent may so make to the Loan Account as herein provided will be made as an accommodation to Borrower and solely at Administrative Agent’s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Administrative Agent shall from time to time in its discretion or upon the request of the Required Lenders, charge the Loan Account of Borrower with any amount due and payable under any Loan Document. The Administrative Agent shall provide a reasonably detailed invoice for any amounts charged to the Loan Account (unless such charge is made at the Borrower’s request) promptly upon request by the Borrower.</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8" w:name="page149"/>
    <w:bookmarkEnd w:id="1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all or part of such proportionately greater payment received by such purchasing Lender is thereafter recovered from such Lender upon the bankruptcy or reorganization of Borrower or otherwise, those purchases shall be rescinded and the purchase prices paid for such participations shall be returned to such purchasing Lender ratably to the extent of such recovery, but without interest. Borrower expressly consents to the foregoing arrangement and agrees that any holder of a participation so purchased may exercise any and all rights of banker’s lien, set off or counterclaim with respect to any and all monies owing by Borrower to that holder with respect thereto as fully as if that holder were owed the amount of the participation held by that holder.</w:t>
      </w:r>
    </w:p>
    <w:p>
      <w:pPr>
        <w:spacing w:after="0" w:line="19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Increased Costs; Capital Adequacy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9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Increased Costs and Taxes</w:t>
      </w:r>
      <w:r>
        <w:rPr>
          <w:rFonts w:ascii="Times New Roman" w:cs="Times New Roman" w:eastAsia="Times New Roman" w:hAnsi="Times New Roman"/>
          <w:sz w:val="18"/>
          <w:szCs w:val="18"/>
          <w:color w:val="auto"/>
        </w:rPr>
        <w:t xml:space="preserve">.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with respect to its Loans, commitments, or other obligations, or its deposits, reserves, other liabilities or capital attributable thereto;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Borrower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Borrower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which statement shall be conclusive and binding upon all parties hereto absent manifest error.</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jc w:val="both"/>
        <w:ind w:left="-660" w:firstLine="1304"/>
        <w:spacing w:after="0" w:line="253" w:lineRule="auto"/>
        <w:tabs>
          <w:tab w:leader="none" w:pos="110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 Adjustment</w:t>
      </w:r>
      <w:r>
        <w:rPr>
          <w:rFonts w:ascii="Times New Roman" w:cs="Times New Roman" w:eastAsia="Times New Roman" w:hAnsi="Times New Roman"/>
          <w:sz w:val="18"/>
          <w:szCs w:val="18"/>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Borrower from such Lender of the statement referred to in the next sentence, Borrower shall pay to such Lender such additional amount or amounts as will compensate such Lender or such controlling corporation on an after tax basis for such reduction. Such Lender shall deliver to Borrower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which statement shall be conclusive and binding upon all parties hereto absent manifest error.</w:t>
      </w:r>
    </w:p>
    <w:p>
      <w:pPr>
        <w:spacing w:after="0" w:line="1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Taxes; Withholding, Etc.</w:t>
      </w:r>
    </w:p>
    <w:p>
      <w:pPr>
        <w:spacing w:after="0" w:line="225" w:lineRule="exact"/>
        <w:rPr>
          <w:sz w:val="20"/>
          <w:szCs w:val="20"/>
          <w:color w:val="auto"/>
        </w:rPr>
      </w:pPr>
    </w:p>
    <w:p>
      <w:pPr>
        <w:jc w:val="both"/>
        <w:ind w:left="-660" w:firstLine="1304"/>
        <w:spacing w:after="0" w:line="252" w:lineRule="auto"/>
        <w:tabs>
          <w:tab w:leader="none" w:pos="10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xml:space="preserve">. All sums payable by any Loan Party hereunder and under the other Loan Documents shall (except to the extent required by applicable law) be paid free and clear of, and without any deduction or withholding on account of, any Tax. If any Loan Party or any other Person is required by law to make any deduction or withholding on account of any Tax with respect to any sum paid or payable by any Loan Party to Administrative Agent or any Lender under any of the Loan Documents: (1) Borrower shall notify Administrative Agent of any such requirement or any change in any such requirement as soon as Borrower becomes aware of it; (2) Borrower or the applicable Loan Party, if it is the applicable withholding agent, shall pay any such Tax before the date on which penalties attach thereto, such payment to be made (if the liability to pay is imposed on any Loan Party) for its own account or (if that liability is imposed on Administrative Agent or such Lender, as the case may be) on behalf of and in the name of Administrative Agent or such Lender; (3) if such Tax is an Indemnified Tax, then the sum payable by the applicable Loan Party shall be increased to the extent necessary to ensure that, after all such deductions or withholdings have been made by any applicable withholding agent (including any such deductions or withholdings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applicable Lender (or, in the case of payments made to the Administrative Agent for its own account, the Administrative Agent) receives on the due date a net sum equal to what it would have received had no such deduction or withholding been required or made; and (4) within [***] days after paying any sum from which Borrower or any other Loan Party is required by law to make any deduction or withholding, Borrower shall deliver to Administrative Agent evidence satisfactory to Administrative Agent of such deduction or withholding and of the remittance thereof to the relevant Governmental Authority.</w:t>
      </w:r>
    </w:p>
    <w:p>
      <w:pPr>
        <w:spacing w:after="0" w:line="197"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50" w:name="page151"/>
    <w:bookmarkEnd w:id="150"/>
    <w:p>
      <w:pPr>
        <w:jc w:val="both"/>
        <w:ind w:left="-1120" w:firstLine="1304"/>
        <w:spacing w:after="0" w:line="256" w:lineRule="auto"/>
        <w:tabs>
          <w:tab w:leader="none" w:pos="56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The Loan Parties shall pay to the relevant Governmental Authorities (or, at the option of Administrative Agent, timely reimburse it for the payment of) any present or future stamp, court, documentary, intangible, recording, filing or similar Taxes or any other property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Within [***] days after paying any such Other Taxes, each Loan Party shall deliver to Administrative Agent evidence satisfactory to Administrative Agent that such Other Taxes have been paid to the relevant Governmental Authority.</w:t>
      </w:r>
    </w:p>
    <w:p>
      <w:pPr>
        <w:spacing w:after="0" w:line="187" w:lineRule="exact"/>
        <w:rPr>
          <w:rFonts w:ascii="Times New Roman" w:cs="Times New Roman" w:eastAsia="Times New Roman" w:hAnsi="Times New Roman"/>
          <w:sz w:val="18"/>
          <w:szCs w:val="18"/>
          <w:color w:val="auto"/>
        </w:rPr>
      </w:pPr>
    </w:p>
    <w:p>
      <w:pPr>
        <w:ind w:left="560" w:hanging="376"/>
        <w:spacing w:after="0"/>
        <w:tabs>
          <w:tab w:leader="none" w:pos="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628"/>
        <w:spacing w:after="0" w:line="253" w:lineRule="auto"/>
        <w:tabs>
          <w:tab w:leader="none" w:pos="115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hereby jointly and severally agree to indemnify and hold Administrative Agent and any Lender harmless from and against all Indemnified Taxes (including, without limitation, Indemnified Taxes imposed or asserted on or attributable to any amounts payable under this Section 2.15) payable or paid by such Person or required to be withheld or deducted with respect to any payment to such Person and any reasonable expenses arising therefrom or with respect thereto, whether or not such Indemnified Taxes were correctly or legally imposed or asserted;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reasonably believes that such Taxes were not correctly or legally asserted, the Administrative Agent or such Lender, as applicable, will, at the Borrower’s request, use reasonable efforts to cooperate with the Borrower to obtain a refund of such Taxes (which shall be repaid to the Borrower in accordance with Section 2.15(e)) so long as such efforts would not, in the sole determination of the Administrative Agent or such Lender, result in any additional out-of-pocket costs or expenses not reimbursed by such Loan Party or be otherwise materially disadvantageous to the Administrative Agent or such Lender, as applicable. Such indemnification shall be paid within [***] days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91" w:lineRule="exact"/>
        <w:rPr>
          <w:rFonts w:ascii="Times New Roman" w:cs="Times New Roman" w:eastAsia="Times New Roman" w:hAnsi="Times New Roman"/>
          <w:sz w:val="18"/>
          <w:szCs w:val="18"/>
          <w:color w:val="auto"/>
        </w:rPr>
      </w:pPr>
    </w:p>
    <w:p>
      <w:pPr>
        <w:jc w:val="both"/>
        <w:ind w:left="-1120" w:firstLine="1628"/>
        <w:spacing w:after="0" w:line="254" w:lineRule="auto"/>
        <w:tabs>
          <w:tab w:leader="none" w:pos="122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severally indemnify Administrative Agent, within [***] days after written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88"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Exemption From Withholding 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628"/>
        <w:spacing w:after="0" w:line="253" w:lineRule="auto"/>
        <w:tabs>
          <w:tab w:leader="none" w:pos="88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any exemption from or reduction of withholding Tax with respect to any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(iii))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w:t>
      </w:r>
    </w:p>
    <w:p>
      <w:pPr>
        <w:spacing w:after="0" w:line="19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1" w:name="page152"/>
    <w:bookmarkEnd w:id="151"/>
    <w:p>
      <w:pPr>
        <w:jc w:val="both"/>
        <w:ind w:left="500" w:firstLine="494"/>
        <w:spacing w:after="0" w:line="261" w:lineRule="auto"/>
        <w:tabs>
          <w:tab w:leader="none" w:pos="1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500" w:firstLine="494"/>
        <w:spacing w:after="0" w:line="261" w:lineRule="auto"/>
        <w:tabs>
          <w:tab w:leader="none" w:pos="14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000" w:firstLine="480"/>
        <w:spacing w:after="0" w:line="266" w:lineRule="auto"/>
        <w:tabs>
          <w:tab w:leader="none" w:pos="189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executed copies of IRS Form W-8BEN or IRS Form W-8BEN-E establishing an exemption from, or reduction of, U.S. federal withholding Tax pursuant to such tax treaty;</w:t>
      </w:r>
    </w:p>
    <w:p>
      <w:pPr>
        <w:spacing w:after="0" w:line="175" w:lineRule="exact"/>
        <w:rPr>
          <w:rFonts w:ascii="Times New Roman" w:cs="Times New Roman" w:eastAsia="Times New Roman" w:hAnsi="Times New Roman"/>
          <w:sz w:val="18"/>
          <w:szCs w:val="18"/>
          <w:color w:val="auto"/>
        </w:rPr>
      </w:pPr>
    </w:p>
    <w:p>
      <w:pPr>
        <w:ind w:left="1860" w:hanging="380"/>
        <w:spacing w:after="0"/>
        <w:tabs>
          <w:tab w:leader="none" w:pos="18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1000" w:firstLine="480"/>
        <w:spacing w:after="0" w:line="256" w:lineRule="auto"/>
        <w:tabs>
          <w:tab w:leader="none" w:pos="1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871(h)(3)(B) of the Internal Revenue Code, or a “controlled foreign corporation” related to any Loan Party described in Section 881(c)(3)(C) of the Internal Revenue Code Internal Revenue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executed copies of IRS Form W-8BEN or IRS Form W-8BEN-E; or</w:t>
      </w:r>
    </w:p>
    <w:p>
      <w:pPr>
        <w:spacing w:after="0" w:line="187" w:lineRule="exact"/>
        <w:rPr>
          <w:rFonts w:ascii="Times New Roman" w:cs="Times New Roman" w:eastAsia="Times New Roman" w:hAnsi="Times New Roman"/>
          <w:sz w:val="18"/>
          <w:szCs w:val="18"/>
          <w:color w:val="auto"/>
        </w:rPr>
      </w:pPr>
    </w:p>
    <w:p>
      <w:pPr>
        <w:jc w:val="both"/>
        <w:ind w:left="1000" w:firstLine="480"/>
        <w:spacing w:after="0" w:line="255" w:lineRule="auto"/>
        <w:tabs>
          <w:tab w:leader="none" w:pos="188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(for example, where the Foreign Lender is a partnership or a participating Lender), executed copies of IRS Form W-8IMY, accompanied by IRS Form W-8ECI, IRS Form W-8BEN, IRS Form W-8BEN-E, a U.S. Tax Compliance Certificate substantially in the form of Exhibit G-2 or Exhibit G-3, IRS Form W-9, 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G-4 on behalf of such direct and indirect partner(s);</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2" w:name="page153"/>
    <w:bookmarkEnd w:id="152"/>
    <w:p>
      <w:pPr>
        <w:jc w:val="both"/>
        <w:ind w:left="-1120" w:firstLine="1628"/>
        <w:spacing w:after="0" w:line="256" w:lineRule="auto"/>
        <w:tabs>
          <w:tab w:leader="none" w:pos="95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120" w:firstLine="1628"/>
        <w:spacing w:after="0" w:line="254" w:lineRule="auto"/>
        <w:tabs>
          <w:tab w:leader="none" w:pos="96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2.15(d)(iii)</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left="-1120" w:firstLine="1628"/>
        <w:spacing w:after="0" w:line="282" w:lineRule="auto"/>
        <w:tabs>
          <w:tab w:leader="none" w:pos="96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2.15(d), a Lender shall not be required to deliver any documentation pursuant to this Section 2.15(d) that such Lender is not legally eligible to deliver.</w:t>
      </w:r>
    </w:p>
    <w:p>
      <w:pPr>
        <w:spacing w:after="0" w:line="161" w:lineRule="exact"/>
        <w:rPr>
          <w:rFonts w:ascii="Times New Roman" w:cs="Times New Roman" w:eastAsia="Times New Roman" w:hAnsi="Times New Roman"/>
          <w:sz w:val="18"/>
          <w:szCs w:val="18"/>
          <w:color w:val="auto"/>
        </w:rPr>
      </w:pPr>
    </w:p>
    <w:p>
      <w:pPr>
        <w:jc w:val="both"/>
        <w:ind w:left="-1120" w:firstLine="1628"/>
        <w:spacing w:after="0" w:line="266" w:lineRule="auto"/>
        <w:tabs>
          <w:tab w:leader="none" w:pos="9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ineligibility to do so.</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5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2.15(e) (plus any penalties, interest or other charges imposed by the relevant Governmental Authority) in the event that such indemnified party is required to repay such refund to such Governmental Authority. Notwithstanding anything to the contrary in this Section 2.15(e), in no event will the indemnified party be required to pay any amount to an indemnifying party pursuant to this Section 2.15(e)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3" w:name="page154"/>
    <w:bookmarkEnd w:id="1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Obligation to Mitigate</w:t>
      </w:r>
      <w:r>
        <w:rPr>
          <w:rFonts w:ascii="Times New Roman" w:cs="Times New Roman" w:eastAsia="Times New Roman" w:hAnsi="Times New Roman"/>
          <w:sz w:val="18"/>
          <w:szCs w:val="18"/>
          <w:color w:val="auto"/>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that would cause such Lender to be an Affected Lender would cease to exist or the additional amounts that would otherwise be required to be paid to such Lender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Lender will not be obligated to take any of the foregoing measures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Borrower agrees to pay all incremental expenses incurred by such Lender as a result of taking such actions as described above. A certificate as to the amount of any such expenses payable by Borrower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(setting forth in reasonable detail the basis for requesting such amount) submitted by such Lender to Borrower (with a copy to Administrative Agent) shall be conclusive absent manifest error.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Anything contained herein to the contrary notwithstanding, in the event that any Lender becomes the subject of a Bail-in Action or violates any provision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or, other than at the direction or request of any regulatory agency or authority, defaults (in each case, a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in its obligation to fund (a “</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a Term Loan (in each case, a “</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Borrower shall be entitled to retain any portion of any mandatory prepayment of the Term Loans that is not paid to such Defaulting Lender solely as a result of the operation of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No Term Loan Commitment of any Lender shall be increased or otherwise affected, and, except as otherwise expressly provided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performance by Borrower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rights and remedies against a Defaulting Lender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are in addition to other rights and remedies that Borrower may have against such Defaulting Lender with respect to any Funding Default and that Administrative Agent or any Lender may have against such Defaulting Lender with respect to any Funding Default or violation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Making or Maintaining SOFR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6"/>
        <w:spacing w:after="0"/>
        <w:tabs>
          <w:tab w:leader="none" w:pos="1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if, on or prior to the first day of any Interest Period for any SOFR Loan:</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ind w:firstLine="1628"/>
        <w:spacing w:after="0" w:line="282" w:lineRule="auto"/>
        <w:tabs>
          <w:tab w:leader="none" w:pos="21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reasonable and adequate means do not exist for ascertaining “Term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3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 then the Administrative Agent will promptly so notify Borrower and each Lender.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Borrower, any obligation of the Lenders to make SOFR Loans, and any right of Borrower to continue SOFR Loans or to convert Base Rate Loans to SOFR Loans, shall be suspended (to the extent of the affected SOFR Loans or affected Interest Periods) until the Administrative Agent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at the instruction of the Required Lenders) revokes such notice. Upon receipt of such notice, (i) Borrower may revoke any pending request for a borrowing of, conversion to or continuation of SOFR Loans (to the extent of the affected SOFR Loans or affected Interest Periods) or, failing that,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until the Administrative Agent revokes such determination.</w:t>
      </w:r>
    </w:p>
    <w:p>
      <w:pPr>
        <w:spacing w:after="0" w:line="192" w:lineRule="exact"/>
        <w:rPr>
          <w:sz w:val="20"/>
          <w:szCs w:val="20"/>
          <w:color w:val="auto"/>
        </w:rPr>
      </w:pPr>
    </w:p>
    <w:p>
      <w:pPr>
        <w:jc w:val="both"/>
        <w:ind w:firstLine="1304"/>
        <w:spacing w:after="0" w:line="252" w:lineRule="auto"/>
        <w:tabs>
          <w:tab w:leader="none" w:pos="17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or to determine or charge interest based upon SOFR, the Term SOFR Reference Rate or Term SOFR, then, upon notice thereof by such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to Borrower (through the Administrative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xml:space="preserve">”), (a) any obligation of the Lenders to make SOFR Loans, and any right of Borrower to continue SOFR Loans or to convert Base Rate Loans to SOFR Loans, shall be suspended, and (b)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in each case until each Affected Lender notifies the Administrative Agent and Borrower that the circumstances giving rise to such determination no longer exist. Upon receipt of an Illegality Notice,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both"/>
        <w:ind w:left="-660" w:firstLine="1304"/>
        <w:spacing w:after="0" w:line="254" w:lineRule="auto"/>
        <w:tabs>
          <w:tab w:leader="none" w:pos="10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Breakage or Non-Commencement of Interest Periods</w:t>
      </w:r>
      <w:r>
        <w:rPr>
          <w:rFonts w:ascii="Times New Roman" w:cs="Times New Roman" w:eastAsia="Times New Roman" w:hAnsi="Times New Roman"/>
          <w:sz w:val="18"/>
          <w:szCs w:val="18"/>
          <w:color w:val="auto"/>
        </w:rPr>
        <w:t>. Borrower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that such Lender actually sustains: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 or (ii) if any prepayment or other principal payment of, or any conversion of, any of its SOFR Loans occurs on any day other than the last day of an Interest Period applicable to that Loan (whether voluntary, mandatory, automatic, by reason of acceleration, or otherwise).</w:t>
      </w:r>
    </w:p>
    <w:p>
      <w:pPr>
        <w:spacing w:after="0" w:line="188" w:lineRule="exact"/>
        <w:rPr>
          <w:rFonts w:ascii="Times New Roman" w:cs="Times New Roman" w:eastAsia="Times New Roman" w:hAnsi="Times New Roman"/>
          <w:sz w:val="18"/>
          <w:szCs w:val="18"/>
          <w:color w:val="auto"/>
        </w:rPr>
      </w:pPr>
    </w:p>
    <w:p>
      <w:pPr>
        <w:ind w:left="-660" w:firstLine="1304"/>
        <w:spacing w:after="0" w:line="282" w:lineRule="auto"/>
        <w:tabs>
          <w:tab w:leader="none" w:pos="10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Booking of SOFR Loans</w:t>
      </w:r>
      <w:r>
        <w:rPr>
          <w:rFonts w:ascii="Times New Roman" w:cs="Times New Roman" w:eastAsia="Times New Roman" w:hAnsi="Times New Roman"/>
          <w:sz w:val="18"/>
          <w:szCs w:val="18"/>
          <w:color w:val="auto"/>
        </w:rPr>
        <w:t>. Any Lender may make, carry or transfer SOFR Loans at, to, or for the account of any of its branch offices or the office of an Affiliate of such Lender.</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7"/>
          <w:szCs w:val="17"/>
          <w:u w:val="single" w:color="auto"/>
          <w:color w:val="auto"/>
        </w:rPr>
        <w:t>Benchmark Replacement Setting.</w:t>
      </w:r>
    </w:p>
    <w:p>
      <w:pPr>
        <w:spacing w:after="0" w:line="225" w:lineRule="exact"/>
        <w:rPr>
          <w:sz w:val="20"/>
          <w:szCs w:val="20"/>
          <w:color w:val="auto"/>
        </w:rPr>
      </w:pPr>
    </w:p>
    <w:p>
      <w:pPr>
        <w:jc w:val="both"/>
        <w:ind w:left="-660" w:firstLine="1304"/>
        <w:spacing w:after="0" w:line="256" w:lineRule="auto"/>
        <w:tabs>
          <w:tab w:leader="none" w:pos="10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Administrative Agent and Borrower may amend this Agreement to replace the then-current Benchmark with a Benchmark Replacement. Any such amendment with respect to a Benchmark Transition Event will become effective at 5:00 p.m. on the [***]after Administrative Agent has posted such proposed amendment to all affected Lenders and Borrower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1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other than the Administrative Agent and the Borrower.</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0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Administrative Agent will promptly notify the Borrower and the Lenders, in writing, of (1) the implementation of any Benchmark Replacement and (2) the effectiveness of any Conforming Changes in connection with the use, administration, adoption or implementation of a Benchmark Replacement. The Administrative Agent will notify Borrower of (x) the removal or reinstatement of any tenor of a Benchmark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and (y) the commencement or conclusion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56" w:name="page157"/>
    <w:bookmarkEnd w:id="156"/>
    <w:p>
      <w:pPr>
        <w:jc w:val="both"/>
        <w:ind w:firstLine="1304"/>
        <w:spacing w:after="0" w:line="253" w:lineRule="auto"/>
        <w:tabs>
          <w:tab w:leader="none" w:pos="168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(or any similar or analogous definition) for any Benchmark settings at or after such time to remove such unavailable or non-representative tenor and (2) if a tenor that was removed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Borrower’s receipt of notice of the commencement of a Benchmark Unavailability Period,</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revoke any pending request for a borrowing of, conversion to or continuation of SOFR Loans to be made, converted or continued during any Benchmark Unavailability Period and, failing that,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9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Incremental Term Loans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2.22 . After the Closing Date, the Borrower may, with the prior written consent of the Administrative Agent, on one or more occasions request additional term loans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by delivering notice to the Administrative Agent at least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prior to the requested Credit Date; provided, however, that:</w:t>
      </w:r>
    </w:p>
    <w:p>
      <w:pPr>
        <w:spacing w:after="0" w:line="176" w:lineRule="exact"/>
        <w:rPr>
          <w:sz w:val="20"/>
          <w:szCs w:val="20"/>
          <w:color w:val="auto"/>
        </w:rPr>
      </w:pPr>
    </w:p>
    <w:p>
      <w:pPr>
        <w:ind w:left="1680" w:hanging="376"/>
        <w:spacing w:after="0"/>
        <w:tabs>
          <w:tab w:leader="none" w:pos="1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Incremental Term Loans shall not exceed $[***];</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making such Incremental Term Loans have received investment committee approval (in such investment committee’s sole discretion) with respect thereto, and no Lender shall be obligated to provide any Incremental Term Loan Commitments or fund any Incremental Term Loan without its consent;</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Term Loan shall be in an amount not less than $[***] (or such lesser amount then agreed to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conditions precedent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this Agreement shall have been satisfied as of the date such Incremental Term Loans are incurred (it being understood and agreed that the incurrence of such Incremental Term Loans shall not be subject to any other conditions precedent set forth in Section 3.2 of this Agreement, except to the extent agreed to by the Borrower and the Lenders providing such Incremental Term Loans);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4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with respect to any such Incremental Term Loans (including any fees payable in connection therewith) shall be set forth in the applicable Incremental Amendment with respect thereto; provided, however, that:</w:t>
      </w:r>
    </w:p>
    <w:p>
      <w:pPr>
        <w:spacing w:after="0" w:line="161" w:lineRule="exact"/>
        <w:rPr>
          <w:rFonts w:ascii="Times New Roman" w:cs="Times New Roman" w:eastAsia="Times New Roman" w:hAnsi="Times New Roman"/>
          <w:sz w:val="18"/>
          <w:szCs w:val="18"/>
          <w:color w:val="auto"/>
        </w:rPr>
      </w:pPr>
    </w:p>
    <w:p>
      <w:pPr>
        <w:ind w:left="2000" w:hanging="372"/>
        <w:spacing w:after="0"/>
        <w:tabs>
          <w:tab w:leader="none" w:pos="20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Incremental Term Loans shall be no earlier than the Latest Maturity Date of the then outstanding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Loans;</w:t>
      </w: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jc w:val="both"/>
        <w:ind w:firstLine="1628"/>
        <w:spacing w:after="0" w:line="266" w:lineRule="auto"/>
        <w:tabs>
          <w:tab w:leader="none" w:pos="211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Incremental Term Loans shall be no shorter than the remaining Weighted Average Life to Maturity of the then outstanding Term Loans (determined without giving effect to any prepayments that reduce amortization or that would otherwise modify the Weighted Average Life to Maturity);</w:t>
      </w:r>
    </w:p>
    <w:p>
      <w:pPr>
        <w:spacing w:after="0" w:line="175" w:lineRule="exact"/>
        <w:rPr>
          <w:rFonts w:ascii="Times New Roman" w:cs="Times New Roman" w:eastAsia="Times New Roman" w:hAnsi="Times New Roman"/>
          <w:sz w:val="18"/>
          <w:szCs w:val="18"/>
          <w:color w:val="auto"/>
        </w:rPr>
      </w:pPr>
    </w:p>
    <w:p>
      <w:pPr>
        <w:ind w:right="20" w:firstLine="1628"/>
        <w:spacing w:after="0" w:line="282" w:lineRule="auto"/>
        <w:tabs>
          <w:tab w:leader="none" w:pos="2108"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Loans may participate on a pro rata basis or a less than pro rata basis (but not greater than a pro rata basis) in any voluntary or mandatory repayments or prepayments of the Term Loans;</w:t>
      </w:r>
    </w:p>
    <w:p>
      <w:pPr>
        <w:spacing w:after="0" w:line="159" w:lineRule="exact"/>
        <w:rPr>
          <w:rFonts w:ascii="Times New Roman" w:cs="Times New Roman" w:eastAsia="Times New Roman" w:hAnsi="Times New Roman"/>
          <w:sz w:val="18"/>
          <w:szCs w:val="18"/>
          <w:color w:val="auto"/>
        </w:rPr>
      </w:pPr>
    </w:p>
    <w:p>
      <w:pPr>
        <w:ind w:left="2100" w:hanging="472"/>
        <w:spacing w:after="0"/>
        <w:tabs>
          <w:tab w:leader="none" w:pos="21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Incremental Term Loans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with respect to security with the Obligations,</w:t>
      </w:r>
    </w:p>
    <w:p>
      <w:pPr>
        <w:spacing w:after="0" w:line="2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secured by any assets other than the Collateral and (C) may not be guaranteed by any Person that is not a Loan 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0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except for any terms and conditions with respect to any Incremental Term Loans that are applicable only after the Latest Maturity Date of the then outstanding Term Loans), the terms and conditions with respect to any Incremental Term Loans shall not be (A) materially more favorable to the Lenders of such Incremental Term Loans than the existing terms and conditions contained in the Loan Documents that apply to the Lenders of the then outstanding Term Loans (unless such existing terms and conditions contained in the Loan Documents are amended so as to conform to the materially more favorable terms and conditions that apply to the Lenders of the Incremental Term Loans) or (B) materially adverse to the Lenders of the then outstanding Term Loans (in their capacity as such Lenders);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such Incremental Term Loans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shall become Term Loan Commitments hereunder pursuant to an amendment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the Borrower, each existing Lender agreeing to provide such Term Loan Commitment, if any, each additional Lender agreeing to provide such Commitment,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effectivness of this Agreement, and the obligation of each Lender to make a Credit Extension on the Initial Funding Date, is subject to the satisfaction, or waiver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of the following conditions on or before the Closing Date:</w:t>
      </w:r>
    </w:p>
    <w:p>
      <w:pPr>
        <w:spacing w:after="0" w:line="162" w:lineRule="exact"/>
        <w:rPr>
          <w:sz w:val="20"/>
          <w:szCs w:val="20"/>
          <w:color w:val="auto"/>
        </w:rPr>
      </w:pPr>
    </w:p>
    <w:p>
      <w:pPr>
        <w:ind w:firstLine="1304"/>
        <w:spacing w:after="0" w:line="282" w:lineRule="auto"/>
        <w:tabs>
          <w:tab w:leader="none" w:pos="172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Administrative Agent shall have received copies of each Loan Document duly executed and delivered by each applicable Loan Party for each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and (iv) a good standing certificate (to the extent such concept exists) from the applicable Governmental Authority of such Loan Party’s jurisdiction of incorporation, organization or formation, each dated a recent date prior to the Closing Date.</w:t>
      </w:r>
    </w:p>
    <w:p>
      <w:pPr>
        <w:spacing w:after="0" w:line="1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ind w:firstLine="1304"/>
        <w:spacing w:after="0" w:line="282" w:lineRule="auto"/>
        <w:tabs>
          <w:tab w:leader="none" w:pos="16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and Capital Structure</w:t>
      </w:r>
      <w:r>
        <w:rPr>
          <w:rFonts w:ascii="Times New Roman" w:cs="Times New Roman" w:eastAsia="Times New Roman" w:hAnsi="Times New Roman"/>
          <w:sz w:val="18"/>
          <w:szCs w:val="18"/>
          <w:color w:val="auto"/>
        </w:rPr>
        <w:t xml:space="preserve">. The organizational structure and capital structure of Borrower and its Subsidiaries shall be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that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78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Property Collateral</w:t>
      </w:r>
      <w:r>
        <w:rPr>
          <w:rFonts w:ascii="Times New Roman" w:cs="Times New Roman" w:eastAsia="Times New Roman" w:hAnsi="Times New Roman"/>
          <w:sz w:val="18"/>
          <w:szCs w:val="18"/>
          <w:color w:val="auto"/>
        </w:rPr>
        <w:t>. In order to create in favor of Administrative Agent, for the benefit of Secured Parties, a valid, perfected First Priority security interest in the personal property Collateral, Administrative Agent shall have received:</w:t>
      </w:r>
    </w:p>
    <w:p>
      <w:pPr>
        <w:spacing w:after="0" w:line="161" w:lineRule="exact"/>
        <w:rPr>
          <w:rFonts w:ascii="Times New Roman" w:cs="Times New Roman" w:eastAsia="Times New Roman" w:hAnsi="Times New Roman"/>
          <w:sz w:val="18"/>
          <w:szCs w:val="18"/>
          <w:color w:val="auto"/>
        </w:rPr>
      </w:pPr>
    </w:p>
    <w:p>
      <w:pPr>
        <w:jc w:val="both"/>
        <w:ind w:firstLine="1628"/>
        <w:spacing w:after="0" w:line="219" w:lineRule="exact"/>
        <w:tabs>
          <w:tab w:leader="none" w:pos="200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or securities accounts as provided therein), together with appropriate financing statements on Form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in form for filing in such office or offices as may be necessary or, in the opinion of Administrative Agent, desirable to perfect the security interests purported to be created by each Pledge and Security Agreement and each other Collateral Document;</w:t>
      </w:r>
    </w:p>
    <w:p>
      <w:pPr>
        <w:spacing w:after="0" w:line="202" w:lineRule="exact"/>
        <w:rPr>
          <w:rFonts w:ascii="Times New Roman" w:cs="Times New Roman" w:eastAsia="Times New Roman" w:hAnsi="Times New Roman"/>
          <w:sz w:val="18"/>
          <w:szCs w:val="18"/>
          <w:color w:val="auto"/>
        </w:rPr>
      </w:pPr>
    </w:p>
    <w:p>
      <w:pPr>
        <w:jc w:val="both"/>
        <w:ind w:firstLine="1628"/>
        <w:spacing w:after="0" w:line="256" w:lineRule="auto"/>
        <w:tabs>
          <w:tab w:leader="none" w:pos="20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87"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Forecast</w:t>
      </w:r>
      <w:r>
        <w:rPr>
          <w:rFonts w:ascii="Times New Roman" w:cs="Times New Roman" w:eastAsia="Times New Roman" w:hAnsi="Times New Roman"/>
          <w:sz w:val="18"/>
          <w:szCs w:val="18"/>
          <w:color w:val="auto"/>
        </w:rPr>
        <w:t>. Lenders shall have received from Borrower (i) the Historical Financial Statements and (ii)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xml:space="preserve">. The Administrative Agent shall have received a certificate from Borrower’s insurance broker or other evidence reasonably satisfactory to it that all insurance required to be maintained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is in full force and effect,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jc w:val="both"/>
        <w:ind w:firstLine="1304"/>
        <w:spacing w:after="0" w:line="266" w:lineRule="auto"/>
        <w:tabs>
          <w:tab w:leader="none" w:pos="17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Loan Parties</w:t>
      </w:r>
      <w:r>
        <w:rPr>
          <w:rFonts w:ascii="Times New Roman" w:cs="Times New Roman" w:eastAsia="Times New Roman" w:hAnsi="Times New Roman"/>
          <w:sz w:val="18"/>
          <w:szCs w:val="18"/>
          <w:color w:val="auto"/>
        </w:rPr>
        <w:t>. Lenders and their respective counsel shall have received an executed copy of the favorable written opinions of Ropes &amp; Gray LLP, counsel for Loan Parties, as to such other matters as Administrative Agent may reasonably request, dated the Closing Date and otherwise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Borrower shall have paid to Administrative Agent, the fees and expenses then due and payable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Initial Funding Date, Borrower and its Subsidiaries are and will be Solvent.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Borrower shall have delivered to Administrative Agent a duly executed Closing Date Certificate, together with all attachments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shall not exist any action, suit, investigation, litigation or proceeding or other legal or regulatory developments, pending or threatened in any court or before any arbitrator or Governmental Authority that singly or in the aggregate materially impairs the transactions contemplated by the Loan Documents or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1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Effect/Material Regulatory Liability</w:t>
      </w:r>
      <w:r>
        <w:rPr>
          <w:rFonts w:ascii="Times New Roman" w:cs="Times New Roman" w:eastAsia="Times New Roman" w:hAnsi="Times New Roman"/>
          <w:sz w:val="18"/>
          <w:szCs w:val="18"/>
          <w:color w:val="auto"/>
        </w:rPr>
        <w:t>. Since [***], no event, circumstance or change shall have occurred that has caused or evidences, either in any case or in the aggregate, a Material Adverse Effect or a Material Regulatory Liability.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Completion of Proceedings</w:t>
      </w:r>
      <w:r>
        <w:rPr>
          <w:rFonts w:ascii="Times New Roman" w:cs="Times New Roman" w:eastAsia="Times New Roman" w:hAnsi="Times New Roman"/>
          <w:sz w:val="18"/>
          <w:szCs w:val="18"/>
          <w:color w:val="auto"/>
        </w:rPr>
        <w:t>. All partnership, corporate and other proceedings taken or to be taken in connection with the transactions contemplated hereby and all documents incidental thereto not previously found acceptable by Administrative Agent and its counsel shall be satisfactory in form and substance to Administrative Agent and such counsel, and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Regulations</w:t>
      </w:r>
      <w:r>
        <w:rPr>
          <w:rFonts w:ascii="Times New Roman" w:cs="Times New Roman" w:eastAsia="Times New Roman" w:hAnsi="Times New Roman"/>
          <w:sz w:val="18"/>
          <w:szCs w:val="18"/>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ind w:right="20" w:firstLine="1304"/>
        <w:spacing w:after="0" w:line="282" w:lineRule="auto"/>
        <w:tabs>
          <w:tab w:leader="none" w:pos="173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event shall have occurred and be continuing or would result from the consummation of the transactions contemplated herein that would constitute an Event of Default or a Default.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All Registrations from the FDA and EMA in respect of the Products shall be valid and subsisting and in full force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Conditions to Each Credit Extension</w:t>
      </w:r>
    </w:p>
    <w:p>
      <w:pPr>
        <w:spacing w:after="0" w:line="225" w:lineRule="exact"/>
        <w:rPr>
          <w:sz w:val="20"/>
          <w:szCs w:val="20"/>
          <w:color w:val="auto"/>
        </w:rPr>
      </w:pPr>
    </w:p>
    <w:p>
      <w:pPr>
        <w:ind w:firstLine="1304"/>
        <w:spacing w:after="0" w:line="282" w:lineRule="auto"/>
        <w:tabs>
          <w:tab w:leader="none" w:pos="169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obligation of each Lender to make the Initial Term Loan on the Initial Funding Date or any other Loan on any date following the Closing Date is subject to the satisfaction, or waiver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of the following conditions precedent:</w:t>
      </w:r>
    </w:p>
    <w:p>
      <w:pPr>
        <w:spacing w:after="0" w:line="162" w:lineRule="exact"/>
        <w:rPr>
          <w:sz w:val="20"/>
          <w:szCs w:val="20"/>
          <w:color w:val="auto"/>
        </w:rPr>
      </w:pPr>
    </w:p>
    <w:p>
      <w:pPr>
        <w:ind w:left="1720" w:hanging="416"/>
        <w:spacing w:after="0"/>
        <w:tabs>
          <w:tab w:leader="none" w:pos="1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Administrative Agent shall have received a fully executed and delivered Funding Notice as and when required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304"/>
        <w:spacing w:after="0" w:line="254" w:lineRule="auto"/>
        <w:tabs>
          <w:tab w:leader="none" w:pos="17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7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As of as of the applicable Credit Date, no event shall have occurred and be continuing or would result from the consummation of the applicable Credit Extension that would constitute an Event of Default or a Default;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With respect to the Initial Funding Date, Administrative Agent shall have received evidence reasonably satisfactory to it that the Loan Parties shall have Qualified Cash of at least $[***] on the Initial Funding Date (on a pro forma basis after giving effect to the Credit Extension made on the Initial Funding Date, the Closing Date Refinancing and the payment of all Transaction Costs required to be paid in Cash).</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On each Credit Date,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ind w:right="20" w:firstLine="1304"/>
        <w:spacing w:after="0" w:line="282" w:lineRule="auto"/>
        <w:tabs>
          <w:tab w:leader="none" w:pos="16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Approval</w:t>
      </w:r>
      <w:r>
        <w:rPr>
          <w:rFonts w:ascii="Times New Roman" w:cs="Times New Roman" w:eastAsia="Times New Roman" w:hAnsi="Times New Roman"/>
          <w:sz w:val="18"/>
          <w:szCs w:val="18"/>
          <w:color w:val="auto"/>
        </w:rPr>
        <w:t>. With respect to any Incremental Term Loans, the funding of such Term Loan shall have been approved by each applicable Lender in its sole and absolute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Requisite Power and Authority; Qualification</w:t>
      </w:r>
      <w:r>
        <w:rPr>
          <w:rFonts w:ascii="Times New Roman" w:cs="Times New Roman" w:eastAsia="Times New Roman" w:hAnsi="Times New Roman"/>
          <w:sz w:val="18"/>
          <w:szCs w:val="18"/>
          <w:color w:val="auto"/>
        </w:rPr>
        <w:t xml:space="preserve">. Each of Borrower and its Subsidiaries (a) is duly organized or incorporated, validly existing and in good standing under the laws of its jurisdiction of organization or incorporation as identified in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(b) has all requisite power and authority to own and operate its properties, to carry on its business as now conducted and as proposed to be conducted, to enter into the Loan Documents to which it is a party and to carry out the transactions contemplated thereby and, in the case of Borrower,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 Stock and Ownership</w:t>
      </w:r>
      <w:r>
        <w:rPr>
          <w:rFonts w:ascii="Times New Roman" w:cs="Times New Roman" w:eastAsia="Times New Roman" w:hAnsi="Times New Roman"/>
          <w:sz w:val="18"/>
          <w:szCs w:val="18"/>
          <w:color w:val="auto"/>
        </w:rPr>
        <w:t xml:space="preserve">. The Capital Stock of each of Borrower and its Subsidiaries has been duly authorized and validly issued and is fully paid and non-assessable. Except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as of the date hereof, there is no existing option, warrant, call, right, commitment or other agreement to which Borrower or any Subsidiary of Borrower is a party requiring, and there is no membership interest or other Capital Stock of such Subsidiary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correctly sets forth the ownership interest of Borrower and each of its Subsidiaries in their respective Subsidiaries as of the Closing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Loan Parties of the Loan Documents to which they are parties and the 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w:t>
      </w:r>
      <w:r>
        <w:rPr>
          <w:rFonts w:ascii="Times New Roman" w:cs="Times New Roman" w:eastAsia="Times New Roman" w:hAnsi="Times New Roman"/>
          <w:sz w:val="18"/>
          <w:szCs w:val="18"/>
          <w:u w:val="single" w:color="auto"/>
          <w:color w:val="auto"/>
        </w:rPr>
        <w:t>clauses (a)</w:t>
      </w:r>
    </w:p>
    <w:p>
      <w:pPr>
        <w:spacing w:after="0" w:line="3" w:lineRule="exact"/>
        <w:rPr>
          <w:sz w:val="20"/>
          <w:szCs w:val="20"/>
          <w:color w:val="auto"/>
        </w:rPr>
      </w:pPr>
    </w:p>
    <w:p>
      <w:pPr>
        <w:jc w:val="both"/>
        <w:ind w:firstLine="8"/>
        <w:spacing w:after="0" w:line="252" w:lineRule="auto"/>
        <w:tabs>
          <w:tab w:leader="none" w:pos="222" w:val="left"/>
        </w:tabs>
        <w:numPr>
          <w:ilvl w:val="0"/>
          <w:numId w:val="1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as would not reasonably be expected to result in a Material Adverse Effect;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except for such approvals or consents that will be obtained on or before the Closing Date and disclosed in writing to Lenders.</w:t>
      </w:r>
    </w:p>
    <w:p>
      <w:pPr>
        <w:spacing w:after="0" w:line="188" w:lineRule="exact"/>
        <w:rPr>
          <w:rFonts w:ascii="Times New Roman" w:cs="Times New Roman" w:eastAsia="Times New Roman" w:hAnsi="Times New Roman"/>
          <w:sz w:val="18"/>
          <w:szCs w:val="18"/>
          <w:u w:val="single" w:color="auto"/>
          <w:color w:val="auto"/>
        </w:rPr>
      </w:pPr>
    </w:p>
    <w:p>
      <w:pPr>
        <w:ind w:left="5540" w:hanging="111"/>
        <w:spacing w:after="0"/>
        <w:tabs>
          <w:tab w:leader="none" w:pos="5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filings and recordings with respect to the Collateral to be made, or otherwise delivered to Administrative Agent for filing or recordation, as of the Closing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condition (financial or otherwise) of the Borrower and any of its Subsidiaries taken as a whole.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The revenue forecast of Borrower and its Subsidiaries for the period of [***] through and including [***] (the “</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xml:space="preserve">”) is based on good faith estimates and assumptions made by the management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Forecast is not to be viewed as facts and that actual results during the period or periods covered by the Forecast may differ from such Forecast and that the differences may be material;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as of the Closing Date, management of Borrower believed that the Forecast was reasonable.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 no event, circumstance or change has occurred that has caused or evidences, either in any case or in the aggregate, a Material Adverse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Adverse Proceedings, Etc.</w:t>
      </w:r>
      <w:r>
        <w:rPr>
          <w:rFonts w:ascii="Times New Roman" w:cs="Times New Roman" w:eastAsia="Times New Roman" w:hAnsi="Times New Roman"/>
          <w:sz w:val="18"/>
          <w:szCs w:val="18"/>
          <w:color w:val="auto"/>
        </w:rPr>
        <w:t xml:space="preserve"> There are no Adverse Proceedings that (a) relate to any Loan Document or the transactions contemplated hereby or thereby or (b) individually or in the aggregate, would materially impair Administrative Agent’s security interest in the Collateral, Borrower’s and its Subsidiaries’ respective rights, powers or remedies with respect to applicable Products or could otherwise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could not reasonably be expected to result in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All U.S. federal income Tax returns and all other material Tax returns and reports required to have been filed by or with respect to Borrower or any of its Subsidiaries have been timely filed, and all U.S. federal income and all other material Taxes imposed on Borrower or any of its Subsidiaries (including in their capacity as a withholding agent), or with respect to their respective properties, assets, income, businesses and franchises, that have become due and payable have been paid when due and payable, except for Taxes that are being contested in good faith by appropriate proceedings diligently conducted and for which adequate reserves are being maintained in accordance with GAAP. Except as otherwise set forth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there is no ongoing or, to the knowledge of Borrower, proposed or threatened Tax assessment, deficiency, audit or other proceeding against Borrower or any of its Subsidiaries. Notwithstanding the foregoing, in the case of any Credit Date, matters occuring after the Closing Date that are permitted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not violate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with respect to such Credit Date.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Properties, Title</w:t>
      </w:r>
      <w:r>
        <w:rPr>
          <w:rFonts w:ascii="Times New Roman" w:cs="Times New Roman" w:eastAsia="Times New Roman" w:hAnsi="Times New Roman"/>
          <w:sz w:val="18"/>
          <w:szCs w:val="18"/>
          <w:color w:val="auto"/>
        </w:rPr>
        <w:t xml:space="preserve">. Each of Borrower and its Subsidiaries has (a) good, sufficient, marketable and legal title to (in the 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in the most recent financial statements delivered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each case except for (i) assets disposed of since the date of such financial statements in the ordinary course of business or as otherwise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(ii) defects in title or interests that would not, individually or in the aggregate, reasonably be expected to interfere with the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contains a true, accurate and complete list of all property owned or leased by Borrower and its Subsidiaries or where Collateral having an aggregate fair market value (reasonably determined in good faith by an Authorized Officer of Borrower) in excess of $[***] or books and records are located.</w:t>
      </w:r>
    </w:p>
    <w:p>
      <w:pPr>
        <w:spacing w:after="0" w:line="192"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as any such failure could not reasonably be expected to result in a Material Adverse Effect:</w:t>
      </w:r>
    </w:p>
    <w:p>
      <w:pPr>
        <w:spacing w:after="0" w:line="225" w:lineRule="exact"/>
        <w:rPr>
          <w:sz w:val="20"/>
          <w:szCs w:val="20"/>
          <w:color w:val="auto"/>
        </w:rPr>
      </w:pPr>
    </w:p>
    <w:p>
      <w:pPr>
        <w:ind w:firstLine="1304"/>
        <w:spacing w:after="0" w:line="282" w:lineRule="auto"/>
        <w:tabs>
          <w:tab w:leader="none" w:pos="171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Hazardous Materials and there are no Hazardous Materials present in violation of Environmental Law at any of the properties currently owned or operated by any Loan Party.</w:t>
      </w:r>
    </w:p>
    <w:p>
      <w:pPr>
        <w:spacing w:after="0" w:line="16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and each of the properties owned or operated by, each Loan Party are in compliance with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72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holds, and is in compliance with those Governmental Authorizations required under any Environmental Laws in connection with the operations carried on by it and the properties owned or operated by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Neither Borrower nor any of its Subsidiaries is in default in the performance, observance or fulfillment of any of the obligations, covenants or conditions contained in any of its Contractual Obligations, and no condition exists that, with the giving of notice or the lapse of time or both, could constitute such a default, except, in each case, where the consequences, direct or indirect, of such default or defaults, if any, could not reasonably be expected to have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contains a true, correct and complete list of all the Material Contracts in effect on the Closing Date, together with any updates provided pursuant to </w:t>
      </w:r>
      <w:r>
        <w:rPr>
          <w:rFonts w:ascii="Times New Roman" w:cs="Times New Roman" w:eastAsia="Times New Roman" w:hAnsi="Times New Roman"/>
          <w:sz w:val="18"/>
          <w:szCs w:val="18"/>
          <w:u w:val="single" w:color="auto"/>
          <w:color w:val="auto"/>
        </w:rPr>
        <w:t>Section 5.1(l)</w:t>
      </w:r>
      <w:r>
        <w:rPr>
          <w:rFonts w:ascii="Times New Roman" w:cs="Times New Roman" w:eastAsia="Times New Roman" w:hAnsi="Times New Roman"/>
          <w:sz w:val="18"/>
          <w:szCs w:val="18"/>
          <w:color w:val="auto"/>
        </w:rPr>
        <w:t xml:space="preserve">. All such Material Contracts are in full force and effect and no defaults currently exist thereunder (other than as described in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or in such updates). Each Material Contract is a legal, valid and binding obligation of Borrower or its Subsidiaries and, to the knowledge of Borrower,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is in material breach or default under the terms of any Material Contract, and no condition exists that, with the giving of notice or the lapse of time or both, would constitute a breach or default by Borrower or any of its Subsidiaries thereunder that could result in any material liability to Borrower or such Subsidiary or termination of such Material Contract.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Governmental Regulation</w:t>
      </w:r>
      <w:r>
        <w:rPr>
          <w:rFonts w:ascii="Times New Roman" w:cs="Times New Roman" w:eastAsia="Times New Roman" w:hAnsi="Times New Roman"/>
          <w:sz w:val="18"/>
          <w:szCs w:val="18"/>
          <w:color w:val="auto"/>
        </w:rPr>
        <w:t>. Neither Borrower nor any of its Subsidiaries is subject to regulation under the Public Utility Holding Company Act of 2005, the Federal Power Act or the Investment Company Act of 1940 or under any other federal or state statute or regulation that may limit its ability to incur Indebtedness or that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No ERISA Event has occurred or is reasonably expected to occur that has resulted or could reasonably be expected to result in a Material Adverse Effect or result in the imposition of a Lien.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disclosed to Administrative Agent prior to the Closing Date, no broker’s or finder’s fee or commission will be payable with respect hereto or any of the transactions contemplated hereby.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Borrower is individually, and the Loan Parties and their Subsidiaries on a consolidated basis are, and upon the occurrrence of the Credit Extension by the Borrower on the Closing Date and on each Credit Date will be, Solvent.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underlying assets of Borrower and its Subsidiaries do not constitute “plan assets” within the meaning of 29 CFR §2510.3-101 et seq., as modified by Section 3(42) of ERISA (the “Plan Assets Regulation” or any similar applicable law) of one or more Benefit Plans. Assuming for purposes of this Section 4.21 that the Lender is not, and will not be, using “plan assets” in connection with this Agreement, the execution, delivery and performance of this Agreement and the other Loan Documents do not and will not constitute a non-exempt prohibited transaction under Section 406 of ERISA or Section 4975 of the Internal Revenue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5" w:name="page166"/>
    <w:bookmarkEnd w:id="165"/>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u w:val="single" w:color="auto"/>
          <w:color w:val="auto"/>
        </w:rPr>
        <w:t>Compliance with Statutes, Etc.</w:t>
      </w:r>
    </w:p>
    <w:p>
      <w:pPr>
        <w:spacing w:after="0" w:line="225"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Each of Borrower and its Subsidiaries is in compliance with (i) its Organizational Documents and (ii) all applicable laws, statutes, regulations and orders of, and all applicable restrictions imposed by, all Governmental Authorities, in respect of the conduct of its business and the ownership of its property, except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that, individually or in the aggregate, could not reasonably be expected to result in a Material Adverse Effect.</w:t>
      </w:r>
    </w:p>
    <w:p>
      <w:pPr>
        <w:spacing w:after="0" w:line="17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1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each of the Borrower or its Subsidiaries own, or hold valid licenses in, all the Intellectual Property Rights that are necessary to the conduct of Borrower’s and its Subsidiaries’ business as currently conducted, including the research, discovery, development, manufacture, use, and Commercialization of the Products, except, in the case of any Product (Non-Core), where such infringement or misappropriation would not reasonably be expected to result in a Material Adverse Effect. Except as set forth in Schedule 4.23(a), and except as set forth in the License Agreements, to the knowledge of Borrower and its Subsidiaries, Borrower and its Subsidiaries have the exclusive right and license to manufacture, use and Commercialize the Products under the Product Intellectual Property Rights, the Registrations, and the regulatory documentation. The claims in US 11,807,689, US 11,814,439, and US 11,884,740 cover the Product (Core). US 11,807,689, US 11,814,439, and US 11,884,740 are jointly owned by Laboratoire Francais Du Fractionnement Et Des Biotechnologies, Les Ulis (FR) and the Borrower, and the subject matter disclosed and claimed in these patents are considered joint improvements under the BRIUMVI License Agreement. The Borrower has (i) an exclusive, fully paid-up, irrevocable right to use the joint improvements under BRIUMVI License Agreement, and (ii) the exclusive right to commercialize, use, have used, manufacture, have manufactured, supply, sell, offer to sell, and import the Products covered by the claims of US 11,807,689, US 11,814,439, and US 11,884,740. LFB has no outstanding rights in these patents.</w:t>
      </w:r>
    </w:p>
    <w:p>
      <w:pPr>
        <w:spacing w:after="0" w:line="18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7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4.23(b)</w:t>
      </w:r>
      <w:r>
        <w:rPr>
          <w:rFonts w:ascii="Times New Roman" w:cs="Times New Roman" w:eastAsia="Times New Roman" w:hAnsi="Times New Roman"/>
          <w:sz w:val="18"/>
          <w:szCs w:val="18"/>
          <w:color w:val="auto"/>
        </w:rPr>
        <w:t xml:space="preserve"> sets forth a true, correct and complete listing as of the date hereof, under separate headings, of all Contractual Obligations (i) under which Borrower or its Subsidiaries is granted a license or right to use any Product Intellectual Property Rights that any other Person owns, or owes any royalties or other payments to any Person for the use of any Product Intellectual Property Rights, (ii) under which Borrower or its Subsidiaries have granted any Person any right or interest in any Product Intellectual Property Rights (excluding rights granted to third parties acting for the benefit of Borrower, including contract research organizations or contract manufacturing organizations), or (iii) that are necessary or material for Borrower or its Subsidiaries’ use of or rights in the Product Intellectual Property Rights (including covenants not to sue), except, in the case of Contractual Obligations relating solely to any Product (Non-Core), where such Contractual Obligations are not material to the research, development, use, import or Commercialization of such Product (collectively, “</w:t>
      </w: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 xml:space="preserve">”). As of the date hereof, each License Agreement identified on </w:t>
      </w:r>
      <w:r>
        <w:rPr>
          <w:rFonts w:ascii="Times New Roman" w:cs="Times New Roman" w:eastAsia="Times New Roman" w:hAnsi="Times New Roman"/>
          <w:sz w:val="18"/>
          <w:szCs w:val="18"/>
          <w:u w:val="single" w:color="auto"/>
          <w:color w:val="auto"/>
        </w:rPr>
        <w:t>Schedule 4.23(b)</w:t>
      </w:r>
      <w:r>
        <w:rPr>
          <w:rFonts w:ascii="Times New Roman" w:cs="Times New Roman" w:eastAsia="Times New Roman" w:hAnsi="Times New Roman"/>
          <w:sz w:val="18"/>
          <w:szCs w:val="18"/>
          <w:color w:val="auto"/>
        </w:rPr>
        <w:t xml:space="preserve"> is a valid and binding obligation of Borrower or Subsidiary, as applicable, and to the knowledge of Borrower or the applicable Subsidiary that is party to such License Agreement, the counterpart(ies) thereto and is enforceable against each counterparty thereto in accordance with its terms, except as may be limited by applicable bankruptcy laws or by general principles of equity (whether considered in a proceeding in equity or at law). Neither Borrower nor any of its Subsidiaries has received any written notice in connection with any such License Agreement challenging the validity, enforceability or interpretation of any provision of such agreement. Neither Borrower nor any of its Subsidiaries has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Neither Borrower nor any of its Subsidiaries has consented to any assignment by the counterparty to any License Agreement of any of its rights or obligations under any such License Agreement, and, to the knowledge of Borrower or the applicable Subsidiary that is party to a License Agreement, the counterparty has not assigned any of its rights or obligations under any such License Agreement to any Person. Neither Borrower nor any of its Subsidiaries has notified in writing the respective counterparty to any License Agreement or any other Person of any claims for indemnification under any License Agreement nor has Borrower or any Subsidiary received any written claims for indemnification under any License Agreement. Neither Borrower nor any Subsidiary has received any written notice from, or given any written notice to, any counterparty to any License Agreement alleging any infringement of any of the Patents licensed thereunder.</w:t>
      </w:r>
    </w:p>
    <w:p>
      <w:pPr>
        <w:spacing w:after="0" w:line="20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6" w:name="page167"/>
    <w:bookmarkEnd w:id="166"/>
    <w:p>
      <w:pPr>
        <w:ind w:left="1680" w:hanging="376"/>
        <w:spacing w:after="0"/>
        <w:tabs>
          <w:tab w:leader="none" w:pos="1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sets forth:</w:t>
      </w:r>
    </w:p>
    <w:p>
      <w:pPr>
        <w:spacing w:after="0" w:line="225" w:lineRule="exact"/>
        <w:rPr>
          <w:rFonts w:ascii="Times New Roman" w:cs="Times New Roman" w:eastAsia="Times New Roman" w:hAnsi="Times New Roman"/>
          <w:sz w:val="18"/>
          <w:szCs w:val="18"/>
          <w:color w:val="auto"/>
        </w:rPr>
      </w:pPr>
    </w:p>
    <w:p>
      <w:pPr>
        <w:jc w:val="both"/>
        <w:ind w:firstLine="1628"/>
        <w:spacing w:after="0" w:line="256" w:lineRule="auto"/>
        <w:tabs>
          <w:tab w:leader="none" w:pos="206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related to the Product (Core) that are U.S. (federal or state) and foreign Patents, and identifies the owner of each such patent/application; provided, however, that such Patents in-licensed by Borrower or its Subsidiaries from a third party are listed as of the date such Borrower or Affiliate entered into the applicable in-license agreement. Except as identified in Schedule 4.23(c)(i), the owner listed on Schedule 4.23(c)(i) is the exclusive owner of such patent, registration or application. To the knowledge of Borrower and its Subsidiaries, in each issued Patent listed on Schedule 4.23(c)(i), there is at least one valid claim that would be infringed by the use, manufacture, or Commercialization of a Product (Core),</w:t>
      </w:r>
    </w:p>
    <w:p>
      <w:pPr>
        <w:spacing w:after="0" w:line="187" w:lineRule="exact"/>
        <w:rPr>
          <w:rFonts w:ascii="Times New Roman" w:cs="Times New Roman" w:eastAsia="Times New Roman" w:hAnsi="Times New Roman"/>
          <w:sz w:val="18"/>
          <w:szCs w:val="18"/>
          <w:color w:val="auto"/>
        </w:rPr>
      </w:pPr>
    </w:p>
    <w:p>
      <w:pPr>
        <w:jc w:val="both"/>
        <w:ind w:firstLine="1628"/>
        <w:spacing w:after="0" w:line="258" w:lineRule="auto"/>
        <w:tabs>
          <w:tab w:leader="none" w:pos="203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registration or application number, of all the Product Intellectual Property Rights related to the Product (Non-Core) that are U.S. (federal or state) and foreign Patents; provided, however, that such Patents controlled by Borrower or its Subsidiaries pursuant to an agreement with a third party are listed as of the date such Borrower or Affiliate entered into the applicable agreement. To the knowledge of Borrower and its Subsidiaries, as of the date such Borrower or Affiliate entered into the applicable in-license agreement, each Patent listed on Schedule 4.23(c)(ii) is owned or exclusively controlled by the third party that is party to the applicable license agreement,</w:t>
      </w:r>
    </w:p>
    <w:p>
      <w:pPr>
        <w:spacing w:after="0" w:line="183" w:lineRule="exact"/>
        <w:rPr>
          <w:rFonts w:ascii="Times New Roman" w:cs="Times New Roman" w:eastAsia="Times New Roman" w:hAnsi="Times New Roman"/>
          <w:sz w:val="18"/>
          <w:szCs w:val="18"/>
          <w:color w:val="auto"/>
        </w:rPr>
      </w:pPr>
    </w:p>
    <w:p>
      <w:pPr>
        <w:ind w:right="20" w:firstLine="1628"/>
        <w:spacing w:after="0" w:line="282" w:lineRule="auto"/>
        <w:tabs>
          <w:tab w:leader="none" w:pos="21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that are U.S. (federal or state) and foreign registered trademarks and trademark applications,</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213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that are U.S. (federal or state) and foreign registered copyrights and copyright applications,</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207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of all the Product Intellectual Property Rights that are U.S. (federal or state) and foreign domain names, and</w:t>
      </w:r>
    </w:p>
    <w:p>
      <w:pPr>
        <w:spacing w:after="0" w:line="161" w:lineRule="exact"/>
        <w:rPr>
          <w:rFonts w:ascii="Times New Roman" w:cs="Times New Roman" w:eastAsia="Times New Roman" w:hAnsi="Times New Roman"/>
          <w:sz w:val="18"/>
          <w:szCs w:val="18"/>
          <w:color w:val="auto"/>
        </w:rPr>
      </w:pPr>
    </w:p>
    <w:p>
      <w:pPr>
        <w:ind w:left="2060" w:hanging="432"/>
        <w:spacing w:after="0"/>
        <w:tabs>
          <w:tab w:leader="none" w:pos="20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registered Product Intellectual Property Rights.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Except as identified in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(i) to the knowledge of Borrower and its Subsidiaries, such Patents and registrations are valid, subsisting and enforceable; (ii) none of the patents, registrations or applications owned by Borrower nor, to the knowledge of Borrower, in-licensed patents, registrations or applications have lapsed or been abandoned, cancelled or expired, except for patents, registrations or applications abandoned in the ordinary course of business; (iii) Borrower has or, to the knowledge of Borrower, the owner of any in-licensed patents, registrations or applications has, taken all reasonable steps to maintain such patents, registrations or applications, including by timely paying fees and filing responses; and (iv) to the knowledge of Borrower and its Subsidiaries, each individual associated with the filing and prosecution of such patents, registrations or applications, including the named inventors in the case of the Product Patents, has complied in all material respects with all applicable duties of candor and good faith in dealing with any patent office, including the USPTO, in those jurisdictions where such duties exist. Borrower may update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to add additional patents, registrations or applications, so long as such amendment occurs by written notice to Administrative Agent, subject to Borrower’s obligations and restrictions under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left="-1120" w:firstLine="1304"/>
        <w:spacing w:after="0" w:line="254" w:lineRule="auto"/>
        <w:tabs>
          <w:tab w:leader="none" w:pos="59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or any of its Subsidiares (A) is a party to any pending opposition, reexamination, inter partes review, post-grant review, interference,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or (B) has received written notice of any threat of any Dispute, in each case ((A) and (B)), that challenges the legality, scope, validity, enforceability, infringement, ownership, inventorship or other rights with respect to any of the Product Intellectual Property Rights that are owned by Borrower or its Subsidiaries, and to the knowledge of Borrower and its Subsidiaries there are no facts that could provide a reasonable basis for such a claim. Borrower and its Subsidiaries have not received any written notice that there is any, and to their knowledge there is no, Person who is or claims to be an inventor under any of the Product Patents who is not a named inventor thereof.</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6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owner of any in-licensed Intellectual Property Rights is a party to any pending Dispute, or has received written notice of any threat of any Dispute, that challenges the legality, scope, valdity, enforceability, infringement, ownership, inventorship or other rights with respect to any of the Intellectual Property Rights. To the knowledge of Borrower and its Subsidiaries there are no facts that could provide a reasonable basis for such a claim.</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4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or any of its Subsidiaries is a party to any past or pending, and neither Borrower nor its Subsidiaries has received written notice of any threat of any action, suit, or proceeding, or any investigation or claim by any Person that claims or alleges that the manufacture, use, or Commercialization of any Product, once marketed, infringes on any issued Patent or other material intellectual property rights of any other Person or constitute misappropriation of any other Person’s material trade secrets or other intellectual property rights.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owner of any in-licensed Intellectual Property Rights is a party to any past or pending, and no owner of any in-licensed Intellectual Property Rights has received written notice of, or, to the knowledge of Borrower and its Subsidiaries, no event has occurred or circumstance exists that (with or without notice or lapse of time, or both) could reasonably be expected to give rise to or serve as a basis for any action, suit, or proceeding, or any investigation or claim by any Person that claims or alleges that the manufacture, use, or Commercialization of any Product, once marketed, infringes on any issued Patent or other intellectual property rights of any other Person or constitute misappropriation of any other Person’s trade secrets or other intellectual property rights. To the knowledge of Borrower and its Subsidiaries, the manufacture, use or Commercialization of the Product (Core) as currently conducted or proposed to be conducted, does not infringe or otherwise violate any issued Patent of any Person that the Borrower and its Subsidiaries do not have a right to use.</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there is no product the manufacture or Commercialization of which infringes or, once marketed, would infringe on any issued Patents included in the Product Intellectual Property Rights that are owned by Borrower or its Subsidiaries or to the knowledge of Borrower and its Subsidiaries, that are exclusively licensed by Borrower or its Subsidiaries.</w:t>
      </w:r>
    </w:p>
    <w:p>
      <w:pPr>
        <w:spacing w:after="0" w:line="17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8" w:name="page169"/>
    <w:bookmarkEnd w:id="168"/>
    <w:p>
      <w:pPr>
        <w:jc w:val="both"/>
        <w:ind w:firstLine="1304"/>
        <w:spacing w:after="0" w:line="261" w:lineRule="auto"/>
        <w:tabs>
          <w:tab w:leader="none" w:pos="167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third party is infringing or misappropriating the Intellectual Property Rights that are necessary to the conduct of Borrower’s and its Subsidiaries’ business as currently conducted, including the manufacture and Commercialization of the Products, except, in the case of any Product (Non-Core), where such infringement or misappropriation would not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its Subsidiaries have applied for patent term extension in at least one U.S. patent with a claim covering the Product (Core). The Product (Core) and the U.S. patent or patents for which the application for patent term extension has been filed are eligible for patent term extension. To the knowledge of Borrower and its Subsidiaries, the application for patent term extension satisfies the requirements set forth in 35 U.S.C. § 156 and 37 C.F.R. § 1.740 in all material respects.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required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sets forth a list of all insurance maintained by each Loan Party on the Closing Date.</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7"/>
          <w:szCs w:val="17"/>
          <w:u w:val="single" w:color="auto"/>
          <w:color w:val="auto"/>
        </w:rPr>
        <w:t>Permits, Etc.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that, if not obtained, could not reasonably be expected to have a Material Adverse Effect. No condition exists or event has occurred that,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could not reasonably be expected to have a Material Adverse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Bank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4.27</w:t>
      </w:r>
      <w:r>
        <w:rPr>
          <w:rFonts w:ascii="Times New Roman" w:cs="Times New Roman" w:eastAsia="Times New Roman" w:hAnsi="Times New Roman"/>
          <w:sz w:val="18"/>
          <w:szCs w:val="18"/>
          <w:color w:val="auto"/>
        </w:rPr>
        <w:t xml:space="preserve"> sets forth a complete and accurate list as of the Closing Date of all deposit, checking and other bank accounts, all securities and other accounts maintained with any broker dealer and all other similar accounts maintained by each Loan Party, together with a description thereof (i.e., the bank or broker dealer at which such deposit or other account is maintained and the account number and the purpose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(in each case, solely to the extent the making of such filings and taking of such action complies with Requirements of Law and subject to any Permitted Liens),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 and (c) the recordation of appropriate evidence of the security interest in the appropriate foreign registry with respect to all foreign Intellectual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PATRIOT ACT and FCPA</w:t>
      </w:r>
      <w:r>
        <w:rPr>
          <w:rFonts w:ascii="Times New Roman" w:cs="Times New Roman" w:eastAsia="Times New Roman" w:hAnsi="Times New Roman"/>
          <w:sz w:val="18"/>
          <w:szCs w:val="18"/>
          <w:color w:val="auto"/>
        </w:rPr>
        <w:t>. To the extent applicable, each Loan Party is in compliance with Anti-Terrorism Laws and Sanctions. Neither the Loan Parties nor any of their officers, directors, employees, agents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Anti-Corruption Laws.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 or Sanctions.</w:t>
      </w:r>
    </w:p>
    <w:p>
      <w:pPr>
        <w:spacing w:after="0" w:line="19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representation or warranty of any Loan Party contained in any Loan Document or in any other documents, 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 the circumstances in which the same were made. Any projections and pro forma financial information contained in such materials are based upon good faith estimates and assumptions believed by Borrower to be reasonable at the time made, it being recognized by Lenders that such projections as to future events are not to be viewed as facts and that actual results during the period or periods covered by any such projections may differ materially from the projected results. The information provided by the Loan Parties to Lenders in the Perfection Certificate (as supplemented in accordance with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is true and correct in all material respects as of the date such Perfection Certificate was delivered.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Term Loans shall be used in accordance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0" w:name="page171"/>
    <w:bookmarkEnd w:id="170"/>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4.33</w:t>
      </w:r>
      <w:r>
        <w:rPr>
          <w:sz w:val="20"/>
          <w:szCs w:val="20"/>
          <w:color w:val="auto"/>
        </w:rPr>
        <w:tab/>
      </w:r>
      <w:r>
        <w:rPr>
          <w:rFonts w:ascii="Times New Roman" w:cs="Times New Roman" w:eastAsia="Times New Roman" w:hAnsi="Times New Roman"/>
          <w:sz w:val="17"/>
          <w:szCs w:val="17"/>
          <w:u w:val="single" w:color="auto"/>
          <w:color w:val="auto"/>
        </w:rPr>
        <w:t>Regulatory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1" w:lineRule="auto"/>
        <w:tabs>
          <w:tab w:leader="none" w:pos="117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Borrower and its Subsidiaries have all Registrations from the FDA,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so exist would not reasonably be expected to, individually or in the aggregate, result in Material Regulatory Liabilities. To the knowledge of Borrower and its Subsidiaries, neither FDA nor any other applicable Governmental Authority is considering limiting, suspending, or revoking such Registrations or reducing the scope of the marketing authorization or materially changing the labeling of any Products under such Registrations. To the knowledge of Borrower and its Subsidiaries, there is no false or materially misleading information or material omission in any Product application or other notification, submission or report to the FDA or any other applicable Governmental Authority that was not corrected by subsequent submission, and all such applications, notifications, submissions and reports provided Borrower and its Subsidiaries were true, complete, and correct in all material respects as of the date of submission to FDA or any other applicable Governmental Authority, except as would not reasonably be expected to, individually or in the aggregate, result in Material Regulatory Liabilities. Borrower and its Subsidiaries have not failed to fulfill and perform their obligations that are due under each such Registration, and no event has occurred or condition or state of facts exists that would constitute a breach or default under any such Registration, in each case that would reasonably be expected to cause the revocation, termination or suspension or material limitation of any such Registration, including but not limited to any form of clinical hold order, except as would not reasonably be expected to, individually or in the aggregate, result in Material Regulatory Liabilities. To the knowledge of Borrower and its Subsidiaries, any third party that develops, researches, manufactures, commercializes, distributes, sells or markets Products pursuant to an agreement with Borrower or its Subsidiaries (a “</w:t>
      </w:r>
      <w:r>
        <w:rPr>
          <w:rFonts w:ascii="Times New Roman" w:cs="Times New Roman" w:eastAsia="Times New Roman" w:hAnsi="Times New Roman"/>
          <w:sz w:val="18"/>
          <w:szCs w:val="18"/>
          <w:u w:val="single" w:color="auto"/>
          <w:color w:val="auto"/>
        </w:rPr>
        <w:t>Loan Party Partner</w:t>
      </w:r>
      <w:r>
        <w:rPr>
          <w:rFonts w:ascii="Times New Roman" w:cs="Times New Roman" w:eastAsia="Times New Roman" w:hAnsi="Times New Roman"/>
          <w:sz w:val="18"/>
          <w:szCs w:val="18"/>
          <w:color w:val="auto"/>
        </w:rPr>
        <w:t>”) is in compliance with all Registrations from the FDA and any other applicable Governmental Authority insofar as they pertain to Products, and each such Loan Party Partner is, and since [***] has been, to the knowledge of Borrower and its Subsidiaries, in compliance with applicable Public Health Laws, except where the failure to so be in compliance would not reasonably be expected to, individually or in the aggregate, result in Material Regulatory Liabilities. The Borrower is not required to give notice to, make any filing with, or obtain any consent from any Governmental Authority at any time prior to the Closing Date in connection with the execution and delivery of this Agreement, or the consummation of the transactions contemplated by the Loan Documents.</w:t>
      </w:r>
    </w:p>
    <w:p>
      <w:pPr>
        <w:spacing w:after="0" w:line="20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Borrower and its Subsidiaries is in compliance, and since [***], has been in compliance, with all Public Health Laws, except to the extent that any such non-compliance, individually or in the aggregate, could not reasonably be expected to result in Material Regulatory Liabilities.</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all products designed, developed, investigated, manufactured, prepared, assembled, packaged, tested, labeled, distributed, sold, marketed or delivered by or on behalf of Borrower or any of its Subsidiaries, that are subject to the jurisdiction of the FDA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 the knowledge of Borrower and its Subsidiaries,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or other Liabilities. None of the Products has been the subject of any material products liability or material warranty action against Borrower or its Subsidiaries. None of the Products has been the subject of any non-legal claim for clinical trial compensation by trial participants, except as would not reasonably be expected to, individually or in the aggregate, result in Material Regulatory Liabilities.</w:t>
      </w:r>
    </w:p>
    <w:p>
      <w:pPr>
        <w:spacing w:after="0" w:line="19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71" w:name="page172"/>
    <w:bookmarkEnd w:id="171"/>
    <w:p>
      <w:pPr>
        <w:jc w:val="both"/>
        <w:ind w:firstLine="1304"/>
        <w:spacing w:after="0" w:line="256" w:lineRule="auto"/>
        <w:tabs>
          <w:tab w:leader="none" w:pos="17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is currently subject to any material obligation arising pursuant to a Regulatory Action and, to the knowledge of Borrower and its Subsidiaries, no such material obligation or Regulatory Action with respect to the Product has been threatened by a Governmental Authority in writing, except as would not reasonably be expected to, individually or in the aggregate, result in Material Regulatory Liabilities. In addition, and without limitation on the foregoing, neither Borrower nor any of its Subsidiaries has since [***], received any written notice or communication from the FDA, comparable foreign counterparts or any other Governmental Authority alleging non-compliance with any Public Health Law or comparable foreign laws, except as would not reasonably be expected to, individually or in the aggregate, result in Material Regulatory Liabilities.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result in Material Regulatory Liabilities, (i) neither Borrower nor any of its Subsidiaries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and (ii) to the knowledge of Borrower and its Subsidiaries, no Loan Party Partner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or other Governmental Authority relating to such Loan Party Partner’s work for Borrower or such Subsidiary. Except as would not reasonably be expected to, individually or in the aggregate, result in Material Regulatory Liabilities, there have been no material recalls, field notifications, field corrections, market withdrawals or replacements, detentions, warnings, “dear doctor” letters, investigator notices, safety alerts or other notice of action relating to an actual or potential lack of safety, efficacy, or regulatory compliance of any Products (“</w:t>
      </w:r>
      <w:r>
        <w:rPr>
          <w:rFonts w:ascii="Times New Roman" w:cs="Times New Roman" w:eastAsia="Times New Roman" w:hAnsi="Times New Roman"/>
          <w:sz w:val="18"/>
          <w:szCs w:val="18"/>
          <w:u w:val="single" w:color="auto"/>
          <w:color w:val="auto"/>
        </w:rPr>
        <w:t>Safety Notices</w:t>
      </w:r>
      <w:r>
        <w:rPr>
          <w:rFonts w:ascii="Times New Roman" w:cs="Times New Roman" w:eastAsia="Times New Roman" w:hAnsi="Times New Roman"/>
          <w:sz w:val="18"/>
          <w:szCs w:val="18"/>
          <w:color w:val="auto"/>
        </w:rPr>
        <w:t>”) or clinical hold orders issued by the FDA with respect to an ongoing or anticipated clinical trial of any Product, and to the knowledge of Borrower and its Subsidiaries, there are no facts or circumstances that are reasonably likely to result in (x) a Safety Notice, (y) a change in the labeling of any Product, or (z) a termination or suspension of research, testing, manufacturing, distribution, or commercialization of any Product.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4.34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4.34</w:t>
      </w:r>
      <w:r>
        <w:rPr>
          <w:rFonts w:ascii="Times New Roman" w:cs="Times New Roman" w:eastAsia="Times New Roman" w:hAnsi="Times New Roman"/>
          <w:sz w:val="18"/>
          <w:szCs w:val="18"/>
          <w:color w:val="auto"/>
        </w:rPr>
        <w:t xml:space="preserve"> as of the Closing Date hereof, neither Borrower nor any 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4.35</w:t>
      </w:r>
      <w:r>
        <w:rPr>
          <w:sz w:val="20"/>
          <w:szCs w:val="20"/>
          <w:color w:val="auto"/>
        </w:rPr>
        <w:tab/>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5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Borrower and its Subsidiaries is operating, and since [***], has been operating in material compliance with applicable Health Care Laws. Notwithstanding the generality of the foregoing, since January 1, 2021, all of the billing and reimbursement practices of, and the claims submitted by, either directly or indirectly, each of Borrower and its Subsidiaries have been in material compliance with all applicable Health Care Laws and all written reimbursement policies of all U.S. third-party payor programs, including Federal Health Care Programs (such as the HIPAA transaction and code set standards).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to their knowledge, any officer, director or managing employee (as those terms are defined in 42 C.F.R. § 1001.2) thereof is a party to, or bound by, any Regulatory Action, including without limitation, any written order, individual integrity agreement, corporate integrity agreement, deferred or non-prosecution agreement or other written agreement with any Governmental Authority concerning their compliance with Health Care Laws.</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jc w:val="both"/>
        <w:ind w:firstLine="1304"/>
        <w:spacing w:after="0" w:line="253" w:lineRule="auto"/>
        <w:tabs>
          <w:tab w:leader="none" w:pos="17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to their knowledge, any officer, director or managing employee (as those terms are defined in 42 C.F.R. § 1001.2) thereof (i) has been, since [***], charged with or convicted of any criminal offense relating to the delivery of an item or service under any Federal Health Care Program; (ii) has had, since [***], a civil monetary penalty assessed against it, him or her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or investigation relating to any of the foregoing or any Federal Health Care Program-related offense, or that would result in the imposition of material penalties or the debarment, suspension or exclusion from participation in any Federal Health Care Program. Since [***], none of Borrower and its Subsidiaries, any officer, director, managing employee or agent (as those terms are defined in 42 C.F.R. § 1001.2) thereof or, to the knowledge of Borrower and its Subsidiaries, any employee or contractor thereof, nor any Loan Party Partner, has been or is currently debarred, excluded, disqualified or suspended from participation in any Federal Health Care Program or under any FDA Laws (including 21 U.S.C. § 335a).</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any officer, director or managing employee (as those terms are defined in 42 C.F.R. § 1001.2) thereof has, since [***], violated or engaged in any activity that is in material violation of any Health Care Laws or cause for false claims liability, civil penalties or mandatory or permissive exclusion from any Federal Health Care Program.</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 to the knowledge of Borrower and its Subsidiaries, no person has filed or has threatened to file against Borrower or any of its Subsidiaries, an action relating to any FDA Law, Public Health Law or Health Care Law, including, without limitation, the False Claims Act of 1863 (31 U.S.C. § 3729 et seq.) with respect to the activities of Borrower and its Subsidiaries relating to the Product.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Borrower and its Subsidiaries do not receive any reimbursement directly from any U.S. third-party payor program, including Federal Health Care Programs, for any Product.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4.36 </w:t>
      </w: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Each of Borrower and its Subsidiaries is, and since [***], has been, in material compliance with all: (i) applicable Data Protection Laws; (ii) applicable industry standards with which Borrower or any Subsidiary has agreed to comply; (iii) contractual obligations to which each Loan Party is bound; and (iv) all of Borrower and each of its Subsidiaries’ Privacy Policies, in each case, relating to privacy, data protection, security, consumer protection, consent, or the collection, retention, protection, use or other processing of Personal Information or other Data collected, used or maintained by Borrower or by third parties having access to the records or Data of Borrower and each of its Subsidiaries. To ensure compliance with Data Protection Laws, Borrower and its Subsidiaries have in place and materially comply with appropriate policies and procedures relating to security and protection (including appropriate organizational, technical, and physical measures) of Personal Information or other Data. Each of Borrower and its Subsidiaries has adopted, published and comply with privacy notices and policies that accurately describe the privacy practices of Borrower or any Subsidiary (as applicable), to any website, mobile application or other electronic platform and complied with those notices and policies (collectively, with each of Borrower and each of its Subsidiaries’ internal privacy policies, the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The execution, delivery and performance of this Agreement complies with all Data Protection Laws and with Borrower’s and each Subsidiary’s Privacy Policies in each case in all material respects. Neither Borrower nor any Subsidiary, nor to the knowledge of Borrower and its Subsidiaries, any third party processing Personal Information or other Data on behalf of Borrower or any Subsidiary, has experienced any incidents in which Personal Information or other Data in the possession, custody or control of Borrower or any of its Subsidiaries or any third party processing Personal Information or other Data on behalf of Borrower or any Subsidiary was or may have been stolen, lost or otherwise been subject to any unauthorized, unlawful, or accidental access, acquisition, use or disclosure. Neither Borrower nor any Subsidiary, nor, to the knowledge of Borrower and its Subsidiaries, any third party acting on behalf of Borrower or any Subsidiary, has received any: (i) written inquiry or complaint alleging noncompliance with Data Protection Laws; (ii) written claim for compensation for loss or unauthorized collection, processing or disclosure of Personal Information or other Data; or (iii) written request for the rectification, erasure or destruction of Personal Information or other Data that is still outstanding in violation of applicable Data Protection Laws, contractual obligations, or Privacy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4.37</w:t>
      </w:r>
      <w:r>
        <w:rPr>
          <w:sz w:val="20"/>
          <w:szCs w:val="20"/>
          <w:color w:val="auto"/>
        </w:rPr>
        <w:tab/>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 xml:space="preserv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Unless otherwise provided below, Borrower will deliver to Administrative Agent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1304"/>
        <w:spacing w:after="0" w:line="261" w:lineRule="auto"/>
        <w:tabs>
          <w:tab w:leader="none" w:pos="172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Reports</w:t>
      </w:r>
      <w:r>
        <w:rPr>
          <w:rFonts w:ascii="Times New Roman" w:cs="Times New Roman" w:eastAsia="Times New Roman" w:hAnsi="Times New Roman"/>
          <w:sz w:val="18"/>
          <w:szCs w:val="18"/>
          <w:color w:val="auto"/>
        </w:rPr>
        <w:t>. Within [***] (x) after the end of each fiscal month during a Restricted Period and (y) after the end of each fiscal month of Borrower in which the ending Cash and Cash Equivalent balances of the Loan Parties is less than $[***], a report of the current Cash and Cash Equivalent balances of the Borrower and its Subsidiaries, which report shall identify Qualified Cash and other unrestricted and restricted Cash and Cash Equivalents.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9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45 days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with respect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90 days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with respect thereto; and (ii) with respect to such consolidated financial statements a report thereon of KPMG LLP or other independent certified public accountants of recognized national standing selected by Borrower or that is otherwise reasonably satisfactory to Administrative Agent (which report shall be unqualified as to going concern and scope of audit (other than with respect to or resulting from an upcoming maturity of Indebtedness under this Agreement),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jc w:val="both"/>
        <w:ind w:left="-8" w:firstLine="1304"/>
        <w:spacing w:after="0" w:line="266" w:lineRule="auto"/>
        <w:tabs>
          <w:tab w:leader="none" w:pos="173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Together with each delivery of financial statements of Borrower and its Subsidiaries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a duly executed and completed Compliance Certificate attaching a report of the current Cash and Cash Equivalent balances of the Borrower and its Subsidiaries, which report shall identify Qualified Cash and other unrestricted and restricted Cash and Cash Equivalents;</w:t>
      </w:r>
    </w:p>
    <w:p>
      <w:pPr>
        <w:spacing w:after="0" w:line="175" w:lineRule="exact"/>
        <w:rPr>
          <w:rFonts w:ascii="Times New Roman" w:cs="Times New Roman" w:eastAsia="Times New Roman" w:hAnsi="Times New Roman"/>
          <w:sz w:val="18"/>
          <w:szCs w:val="18"/>
          <w:color w:val="auto"/>
        </w:rPr>
      </w:pPr>
    </w:p>
    <w:p>
      <w:pPr>
        <w:ind w:left="1712" w:hanging="416"/>
        <w:spacing w:after="0"/>
        <w:tabs>
          <w:tab w:leader="none" w:pos="171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Reports; Notice of Disputes</w:t>
      </w:r>
      <w:r>
        <w:rPr>
          <w:rFonts w:ascii="Times New Roman" w:cs="Times New Roman" w:eastAsia="Times New Roman" w:hAnsi="Times New Roman"/>
          <w:sz w:val="18"/>
          <w:szCs w:val="18"/>
          <w:color w:val="auto"/>
        </w:rPr>
        <w:t>. Promptly (but in any event within [***]) after receipt by Borrower or any of its Subsidiaries,</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royalty reports or similar reports outlining fees to be paid or payable with respect the Commercialization of any Product (Core) in any Material Jurisdiction from any third party Licensee or (ii) any notices of any material third party disputes with respect to a Product (Core) or any Product (Core) Intellectual Property Rights, in each case, in any Material Jurisdiction or any Specified Jurisdiction.</w:t>
      </w:r>
    </w:p>
    <w:p>
      <w:pPr>
        <w:spacing w:after="0" w:line="185" w:lineRule="exact"/>
        <w:rPr>
          <w:rFonts w:ascii="Times New Roman" w:cs="Times New Roman" w:eastAsia="Times New Roman" w:hAnsi="Times New Roman"/>
          <w:sz w:val="18"/>
          <w:szCs w:val="18"/>
          <w:color w:val="auto"/>
        </w:rPr>
      </w:pPr>
    </w:p>
    <w:p>
      <w:pPr>
        <w:ind w:left="1652" w:hanging="356"/>
        <w:spacing w:after="0"/>
        <w:tabs>
          <w:tab w:leader="none" w:pos="165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69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Promptly (but in any event within [***]) upon any officer of Borrower obtaining knowledge (i) of any condition or event that constitutes a Default or an Event of Default; (ii) that any Person has given any notice to Borrower or any of its Subsidiaries or taken any other action with respect to any event or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Borrower has taken, is taking and proposes to take with respect thereto;</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79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xml:space="preserve">. Promptly (but in any event within [***]) upon any officer of Borrower obtaining knowledge of (i) the institution of any Adverse Proceeding or (ii) any material development in any Adverse Proceeding that, in the case of either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relates to the Products, the Product Intellectual Property or the Material Contracts, that seeks to enjoin or otherwise prevent the consummation of, or to recover any damages or obtain relief as a result of, the transactions contemplated hereby or that would reasonably be expected to result in Material Regulatory Liabilities or a Material Adverse Effect, written notice thereof together with such other information as may be reasonably available to Borrower to enable Lenders and their counsel to evaluate such matters;</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70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(but in any event within [***]) upon becoming aware of the occurrence of or forthcoming occurrence of any ERISA Event that would reasonably be expected to result in a material Liability to a Loan Party or the imposition of a Lien,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79" w:lineRule="exact"/>
        <w:rPr>
          <w:rFonts w:ascii="Times New Roman" w:cs="Times New Roman" w:eastAsia="Times New Roman" w:hAnsi="Times New Roman"/>
          <w:sz w:val="18"/>
          <w:szCs w:val="18"/>
          <w:color w:val="auto"/>
        </w:rPr>
      </w:pPr>
    </w:p>
    <w:p>
      <w:pPr>
        <w:ind w:left="1652" w:hanging="356"/>
        <w:spacing w:after="0"/>
        <w:tabs>
          <w:tab w:leader="none" w:pos="165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174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and Product Notices</w:t>
      </w:r>
      <w:r>
        <w:rPr>
          <w:rFonts w:ascii="Times New Roman" w:cs="Times New Roman" w:eastAsia="Times New Roman" w:hAnsi="Times New Roman"/>
          <w:sz w:val="18"/>
          <w:szCs w:val="18"/>
          <w:color w:val="auto"/>
        </w:rPr>
        <w:t>. Each Loan Party shall promptly (but in any event within [***]) after the receipt or occurrence thereof notify Administrative Agent of:</w:t>
      </w:r>
    </w:p>
    <w:p>
      <w:pPr>
        <w:spacing w:after="0" w:line="161" w:lineRule="exact"/>
        <w:rPr>
          <w:rFonts w:ascii="Times New Roman" w:cs="Times New Roman" w:eastAsia="Times New Roman" w:hAnsi="Times New Roman"/>
          <w:sz w:val="18"/>
          <w:szCs w:val="18"/>
          <w:color w:val="auto"/>
        </w:rPr>
      </w:pPr>
    </w:p>
    <w:p>
      <w:pPr>
        <w:ind w:left="-8" w:firstLine="1628"/>
        <w:spacing w:after="0" w:line="282" w:lineRule="auto"/>
        <w:tabs>
          <w:tab w:leader="none" w:pos="1984"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alleging potential or actual material violations of any Public Health Law or Health Care Law, in each case, in any Material Jurisdiction or any Specified Jurisdiction by Borrower or its Subsidiaries,</w:t>
      </w:r>
    </w:p>
    <w:p>
      <w:pPr>
        <w:spacing w:after="0" w:line="16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75" w:name="page176"/>
    <w:bookmarkEnd w:id="175"/>
    <w:p>
      <w:pPr>
        <w:jc w:val="both"/>
        <w:ind w:firstLine="1628"/>
        <w:spacing w:after="0" w:line="266" w:lineRule="auto"/>
        <w:tabs>
          <w:tab w:leader="none" w:pos="20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the FDA (or international equivalent) or other Governmental Authority in any Material Jurisdiction or any Specified Jurisdiction is limiting, suspending or revoking any Registration (including, but not limited to, by the issuance of a clinical hold),</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17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Borrower or its Subsidiaries has become subject to any Regulatory Action (other than any routine inspection or investigation in the ordinary course of business) in any Material Jurisdiction or any Specified Jurisdiction,</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or debarment from any Federal Health Care Program or debarment or disqualification by FDA (or international equivalent) of Borrower or its Subsidiaries or its or any officer, director, managing employee or agent (as those terms are defined in 42 C.F.R. § 1001.2) thereof or any employee or contractor thereof,</w:t>
      </w:r>
    </w:p>
    <w:p>
      <w:pPr>
        <w:spacing w:after="0" w:line="175" w:lineRule="exact"/>
        <w:rPr>
          <w:rFonts w:ascii="Times New Roman" w:cs="Times New Roman" w:eastAsia="Times New Roman" w:hAnsi="Times New Roman"/>
          <w:sz w:val="18"/>
          <w:szCs w:val="18"/>
          <w:color w:val="auto"/>
        </w:rPr>
      </w:pPr>
    </w:p>
    <w:p>
      <w:pPr>
        <w:jc w:val="both"/>
        <w:ind w:firstLine="1628"/>
        <w:spacing w:after="0" w:line="261" w:lineRule="auto"/>
        <w:tabs>
          <w:tab w:leader="none" w:pos="20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a Borrower or any Subsidiary, or any of their licensees or sublicensees (including licensees or sublicensees under the Product Agreements related to Product Intellectual Property Rights or Material Contracts), is being investigated or is the subject of any allegation of potential or actual violations of any Public Health Law or Health Care Laws, in each case, in any Material Jurisdiction or any Specified Jurisdiction,</w:t>
      </w:r>
    </w:p>
    <w:p>
      <w:pPr>
        <w:spacing w:after="0" w:line="179" w:lineRule="exact"/>
        <w:rPr>
          <w:rFonts w:ascii="Times New Roman" w:cs="Times New Roman" w:eastAsia="Times New Roman" w:hAnsi="Times New Roman"/>
          <w:sz w:val="18"/>
          <w:szCs w:val="18"/>
          <w:color w:val="auto"/>
        </w:rPr>
      </w:pPr>
    </w:p>
    <w:p>
      <w:pPr>
        <w:jc w:val="both"/>
        <w:ind w:firstLine="1628"/>
        <w:spacing w:after="0" w:line="261" w:lineRule="auto"/>
        <w:tabs>
          <w:tab w:leader="none" w:pos="21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any product of Borrower or its Subsidiaries has been seized, withdrawn, recalled, detained, or subject to a suspension of manufacturing, or the commencement of any proceedings in any Material Jurisdiction or Specified Jurisdiction seeking the withdrawal, recall, suspension, import detention, or seizure of any Product are pending or threatened in writing against Borrower or its Subsidiaries, or</w:t>
      </w:r>
    </w:p>
    <w:p>
      <w:pPr>
        <w:spacing w:after="0" w:line="179" w:lineRule="exact"/>
        <w:rPr>
          <w:rFonts w:ascii="Times New Roman" w:cs="Times New Roman" w:eastAsia="Times New Roman" w:hAnsi="Times New Roman"/>
          <w:sz w:val="18"/>
          <w:szCs w:val="18"/>
          <w:color w:val="auto"/>
        </w:rPr>
      </w:pPr>
    </w:p>
    <w:p>
      <w:pPr>
        <w:ind w:firstLine="1628"/>
        <w:spacing w:after="0" w:line="282" w:lineRule="auto"/>
        <w:tabs>
          <w:tab w:leader="none" w:pos="213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narrowing of the scope of marketing authorization or the labeling of the products of Borrower and its Subsidiaries under any Registration, in each case, in any Material Jurisdiction or any Specified Jurisdiction,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in each case of (i) through (iii) and (v) through (vii) above, where such action would not reasonably be expected to have, either individually or in the aggregate, any Material Regulatory Liabilities; provided, however, that with respect to any occurrence in clauses (i) through (vii) above that would, with notice or the passage of time, or both, lead to a Default or an Event of Default under Section 8.1(o) of this Agreement, each Loan Party shall promptly (but in any event within [***] of Administrative Agent’s request) provide to Administrative Agent copies of all communications with FDA and all other documentation and information in such Loan Party’s possession, custody or control reasonably requested by Administrative Agent relating to such notice or change and the events that led up to it (subject to suitable confidentiality restrictions);</w:t>
      </w:r>
    </w:p>
    <w:p>
      <w:pPr>
        <w:spacing w:after="0" w:line="187" w:lineRule="exact"/>
        <w:rPr>
          <w:sz w:val="20"/>
          <w:szCs w:val="20"/>
          <w:color w:val="auto"/>
        </w:rPr>
      </w:pPr>
    </w:p>
    <w:p>
      <w:pPr>
        <w:jc w:val="both"/>
        <w:ind w:firstLine="1304"/>
        <w:spacing w:after="0" w:line="253" w:lineRule="auto"/>
        <w:tabs>
          <w:tab w:leader="none" w:pos="17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Regarding Material Contracts</w:t>
      </w:r>
      <w:r>
        <w:rPr>
          <w:rFonts w:ascii="Times New Roman" w:cs="Times New Roman" w:eastAsia="Times New Roman" w:hAnsi="Times New Roman"/>
          <w:sz w:val="18"/>
          <w:szCs w:val="18"/>
          <w:color w:val="auto"/>
        </w:rPr>
        <w:t>. Promptly (but in any event within [***]) (A) after a Loan Party or a Subsidiary of a Loan Party receives any written notice of default or event of default under any Material Contract, or (B) after Loan Party or a Subsidiary of a Loan Party receives or otherwise becomes aware of any dispute, litigation, purchase price adjustment (other than in accordance with the terms of such Material Contract), indemnity claim, exercise of rights of set-off or deduction (including any of the foregoing threatened in writing) under or with respect any Material Contract in each case, reasonably expected to be in excess of $[***], furnish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its terms, delivered to Administrative Agent, and an explanation of any actions being taken with respect thereto. Borrower shall promptly provide Administrative Agent with written notice upon becoming aware of a counterparty’s material breach of its obligations under any Material Contract. Concurrently with the delivery of a Compliance Certificate in accordance with Section 5.1(d), and promptly following Administrative Agent’s reasonable request from time to time, Borrower shall promptly provide to Administrative Agent copies of any and all new Material Contracts not yet provided to the Administrative Agent;</w:t>
      </w:r>
    </w:p>
    <w:p>
      <w:pPr>
        <w:spacing w:after="0" w:line="1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jc w:val="both"/>
        <w:ind w:left="-1120" w:firstLine="1304"/>
        <w:spacing w:after="0" w:line="256" w:lineRule="auto"/>
        <w:tabs>
          <w:tab w:leader="none" w:pos="6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Borrower will furnish to Administrative Agent prior written notice of any change (a) in any Loan Party’s legal name, (b) in any Loan Party’s jurisdiction of organization or (c) in any Loan Party’s U.S. federal or other taxpayer identification number (if any). Borrower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Borrower also agrees promptly to notify Administrative Agent if any material portion of the Collateral is damaged or destroyed;</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7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Collateral Verification</w:t>
      </w:r>
      <w:r>
        <w:rPr>
          <w:rFonts w:ascii="Times New Roman" w:cs="Times New Roman" w:eastAsia="Times New Roman" w:hAnsi="Times New Roman"/>
          <w:sz w:val="18"/>
          <w:szCs w:val="18"/>
          <w:color w:val="auto"/>
        </w:rPr>
        <w:t xml:space="preserve">. 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Borrower shall deliver to Administrative Agent an updated Perfection Certificate (or confirming that there has been no change in such information since the previous Perfection Certificate);</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60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Promptly, but in any event within [***]after the receipt by Borrower or any of its Subsidiaries or occurrence thereof, as applicable, notify Administrative Agent of:</w:t>
      </w:r>
    </w:p>
    <w:p>
      <w:pPr>
        <w:spacing w:after="0" w:line="16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any licenses or sublicenses under any Permitted Product Agreement;</w:t>
      </w:r>
    </w:p>
    <w:p>
      <w:pPr>
        <w:spacing w:after="0" w:line="225" w:lineRule="exact"/>
        <w:rPr>
          <w:rFonts w:ascii="Times New Roman" w:cs="Times New Roman" w:eastAsia="Times New Roman" w:hAnsi="Times New Roman"/>
          <w:sz w:val="18"/>
          <w:szCs w:val="18"/>
          <w:color w:val="auto"/>
        </w:rPr>
      </w:pPr>
    </w:p>
    <w:p>
      <w:pPr>
        <w:ind w:left="1060" w:hanging="390"/>
        <w:spacing w:after="0"/>
        <w:tabs>
          <w:tab w:leader="none" w:pos="10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 existing, or entering into any new Permitted Product Agreement;</w:t>
      </w:r>
    </w:p>
    <w:p>
      <w:pPr>
        <w:spacing w:after="0" w:line="225" w:lineRule="exact"/>
        <w:rPr>
          <w:rFonts w:ascii="Times New Roman" w:cs="Times New Roman" w:eastAsia="Times New Roman" w:hAnsi="Times New Roman"/>
          <w:sz w:val="18"/>
          <w:szCs w:val="18"/>
          <w:color w:val="auto"/>
        </w:rPr>
      </w:pPr>
    </w:p>
    <w:p>
      <w:pPr>
        <w:ind w:left="-460" w:right="20" w:firstLine="1130"/>
        <w:spacing w:after="0" w:line="282" w:lineRule="auto"/>
        <w:tabs>
          <w:tab w:leader="none" w:pos="114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written communications received from the FDA (or international equivalent) or other Governmental Authority in any Material Jurisdiction or any Specified Jurisdiction that would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jc w:val="both"/>
        <w:ind w:left="-460" w:firstLine="1130"/>
        <w:spacing w:after="0" w:line="266" w:lineRule="auto"/>
        <w:tabs>
          <w:tab w:leader="none" w:pos="119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royalty reports relating to any Product (x) provided to a third party by Borrower or its Subsidiaries, or (y) received by Borrower or its Subsidiaries from a third party, in the case of (x) and (y), to the extent not prohibited by obligations of confidentiality owed to third parties;</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59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relating to Intellectual Property</w:t>
      </w:r>
      <w:r>
        <w:rPr>
          <w:rFonts w:ascii="Times New Roman" w:cs="Times New Roman" w:eastAsia="Times New Roman" w:hAnsi="Times New Roman"/>
          <w:sz w:val="18"/>
          <w:szCs w:val="18"/>
          <w:color w:val="auto"/>
        </w:rPr>
        <w:t>. Promptly (but in any event within [***]), deliver written notice of material infringements of any material Intellectual Property Rights owned or licensed by such Loan Party or any of its Subsidiaries that are known to Borrower;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60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To the extent permitted and within the control of Borrower under each Product Agreement, Borrower shall be responsible for, and shall maintain, with respect to each Product, all submissions to Governmental Authorities in all Material Jurisdiction and Specified Jurisdictions relating to the Products, including clinical studies, tests and biostudies, including all Product non-disclosure agreements, and the drug master files, as well as all correspondence with Governmental Authorities in all Material Jurisdictions and Specified Jurisdictions with respect thereto (including Registrations and licenses and regulatory drug lists, and any amendments or supplements thereto). Concurrently with the delivery of a Compliance Certificate following the end of each Fiscal Quarter in accordance with Section 5.1(d) and promptly following Administrative Agent’s reasonable request from time to time, Borrower shall promptly provide to Administrative Agent copies of any and all material regulatory filings submitted to any such Governmental Authorities with respect to the Products to the extent such disclosure is not prohibited by obligations of confidentiality owed to third parties;</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7" w:name="page178"/>
    <w:bookmarkEnd w:id="177"/>
    <w:p>
      <w:pPr>
        <w:jc w:val="both"/>
        <w:ind w:left="-1120" w:firstLine="1304"/>
        <w:spacing w:after="0" w:line="254" w:lineRule="auto"/>
        <w:tabs>
          <w:tab w:leader="none" w:pos="5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Maintenance, Defense and Enforcement of Product Patents</w:t>
      </w:r>
      <w:r>
        <w:rPr>
          <w:rFonts w:ascii="Times New Roman" w:cs="Times New Roman" w:eastAsia="Times New Roman" w:hAnsi="Times New Roman"/>
          <w:sz w:val="18"/>
          <w:szCs w:val="18"/>
          <w:color w:val="auto"/>
        </w:rPr>
        <w:t>. To the extent permitted and within the control of Borrower under each Product Agreement, Borrower shall take all commercially reasonable steps to prosecute, maintain, defend and enforce the Product Patents, including by timely paying fees and filing responses with the United States Patent and Trademark Office or any applicable foreign counterpart. To the extent permitted under any obligations of confidentiality owed to third parties, Borrower shall provide prompt written notice to Administrative Agent of any material occurrences with respect to any Product Patents of which Borrower gains knowledge, including claims of invalidity or unenforceability made by a third party, or infringement of Product Patents by a third party. To the extent permitted under any obligations of confidentiality owed to third parties, upon Administrative Agent’s request from time to time, Borrower shall promptly provide Administrative Agent with complete and correct copies of (i) a list of Purple Book Patents or listing of Product Patents provided to a biosimilar applicant, and (ii) any pleadings, briefs, declarations, correspondence and other documents relating to any Dispute involving any such Purple Book Patents that are controlled or received by Borrower or any of its Subsidiaries;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Third Party Patents</w:t>
      </w:r>
      <w:r>
        <w:rPr>
          <w:rFonts w:ascii="Times New Roman" w:cs="Times New Roman" w:eastAsia="Times New Roman" w:hAnsi="Times New Roman"/>
          <w:sz w:val="18"/>
          <w:szCs w:val="18"/>
          <w:color w:val="auto"/>
        </w:rPr>
        <w:t>. Borrower shall provide prompt written notice to Administrative Agent of any claim, notice, or allegation received by Borrower that Commercialization of the Product (Core) infringes a third party patent. To the extent permitted under any obligations of confidentiality owed to third parties, upon Administrative Agent’s request from time to time, Borrower shall promptly provide Administrative Agent with complete and correct copies of (i) the third party patent and (ii) any pleadings, briefs, declarations, correspondence and other documents relating to any Dispute involving any such third party patents that are controlled or received by Borrower;</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3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Term Extension</w:t>
      </w:r>
      <w:r>
        <w:rPr>
          <w:rFonts w:ascii="Times New Roman" w:cs="Times New Roman" w:eastAsia="Times New Roman" w:hAnsi="Times New Roman"/>
          <w:sz w:val="18"/>
          <w:szCs w:val="18"/>
          <w:color w:val="auto"/>
        </w:rPr>
        <w:t>. Borrow shall take all steps to obtain patent term extension on a Product Patent in the United States, including timely responding to requests from the United States Patent and Trademark Office and timely electing the patent to which patent term extension will be applied;</w:t>
      </w:r>
    </w:p>
    <w:p>
      <w:pPr>
        <w:spacing w:after="0" w:line="17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9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Within [***] of approval by Borrower’s Board of Directors, and in any event within [***] after the end of each fiscal year, any financial, business and any other projections of Borrower and its Subsidiaries (and upon the reasonable request of Administrative Agent, budgets, operating plans and other financial information) that, in each case, have been approved by Borrower’s Board of Directors; and</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6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(i) Promptly upon their becoming available and in any event within [***] of Borrower’s receipt thereof, copies of all amendments, waivers, consents, notices of defaults and reservations of rights with respect to and received by Borrower or its Subsidiaries from any holder of its Indebtedness having a principal amount greater $[***], (ii) promptly after submission to any Governmental Authority in any Material Jurisdiction or any Specified Jurisdiction, all material documents and information furnished to such Governmental Authority in connection with any investigation of any Loan Party (other than a routine inquiry), and (iii) such other information and data with respect to Borrower or any of its Subsidiaries as from time to time may be reasonably requested by Administrative Agent.</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8" w:name="page179"/>
    <w:bookmarkEnd w:id="1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(b) and (c)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satisfied with respect to financial information of Borrower and its Subsidiaries by furnishing Borrower’s Form 10-K or 10-Q, as applicable, filed with the SEC. Further, notwithstanding anything to the contrary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neither the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counsel to Borrower.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each Loan Party will, and will cause each of Borrower’s 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Loan Party or any of Borrower’s Subsidiaries shall be required to preserve any such existence, right or Governmental Authorizations, qualifications,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Payment of Taxes and Claims</w:t>
      </w:r>
      <w:r>
        <w:rPr>
          <w:rFonts w:ascii="Times New Roman" w:cs="Times New Roman" w:eastAsia="Times New Roman" w:hAnsi="Times New Roman"/>
          <w:sz w:val="18"/>
          <w:szCs w:val="18"/>
          <w:color w:val="auto"/>
        </w:rPr>
        <w:t xml:space="preserve">. Each Loan Party will, and will cause each of Borrower’s Subsidiaries to, file all income and other material Tax returns required to be filed by or with respect to Borrower or any of its Subsidiaries and timely pay all income or other material Taxes imposed upon or with respect to it (including in its capacity as a withholding agent)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that has or may become a Lien against any of the Collateral, such contest proceedings conclusively operate to stay imposition of any penalty, fine or Lien resulting from the non-payment thereof. No Loan Party will, nor will it permit any of the Borrower’s Subsidiaries to, file or consent to the filing of any consolidated income tax return with any Person (other than the Borrower or its Subsidiaries).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Each Loan Party will, and will cause each of Borrower’s Subsidiaries to (a) 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could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could not reasonably be expected to have a Material Adverse Effect.</w:t>
      </w:r>
    </w:p>
    <w:p>
      <w:pPr>
        <w:spacing w:after="0" w:line="18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72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Borrower’s expense and without any responsibility on Administrative Agent’s part for obtaining the insurance, the solvency of the insurance companies, the adequacy of the coverage, or the collection of claims. Upon the occurrence and during the continuance of an Event of Default, following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jc w:val="both"/>
        <w:ind w:firstLine="1304"/>
        <w:spacing w:after="0" w:line="258" w:lineRule="auto"/>
        <w:tabs>
          <w:tab w:leader="none" w:pos="176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insurance policies required to be maintained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provide for at least thirty (30) days’ prior written notice to Administrative Agent of the cancellation or substantial modification thereof. Receipt of such notice shall entitle Administrative Agent (but Administrative Agent shall not be obligated), upon 10 days prior written notice to Loan Parties, to renew any such policies, cause the coverages and amounts thereof to be maintained at levels required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otherwise to obtain similar insurance (including with respect to coverage types, limits and premiums) in place of such policies, in each case at the expense of the Loan Parties.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Books and Records; Inspections</w:t>
      </w:r>
      <w:r>
        <w:rPr>
          <w:rFonts w:ascii="Times New Roman" w:cs="Times New Roman" w:eastAsia="Times New Roman" w:hAnsi="Times New Roman"/>
          <w:sz w:val="18"/>
          <w:szCs w:val="18"/>
          <w:color w:val="auto"/>
        </w:rPr>
        <w:t>. Each Loan Party will, and will cause each of Borrower’s Subsidiaries to, (a) 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w:t>
      </w:r>
    </w:p>
    <w:p>
      <w:pPr>
        <w:spacing w:after="0" w:line="1" w:lineRule="exact"/>
        <w:rPr>
          <w:sz w:val="20"/>
          <w:szCs w:val="20"/>
          <w:color w:val="auto"/>
        </w:rPr>
      </w:pPr>
    </w:p>
    <w:p>
      <w:pPr>
        <w:jc w:val="both"/>
        <w:ind w:firstLine="8"/>
        <w:spacing w:after="0" w:line="252" w:lineRule="auto"/>
        <w:tabs>
          <w:tab w:leader="none" w:pos="24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absent the occurrence and continuance of an Event of Default, Administrative Agent and Lenders shall not exercise such rights more often than [***] during any Fiscal Year. The Loan Parties agree to pay the reasonable and documented out-of-pocket costs and expenses incurred by the examiner in connection therewith.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Lenders Calls</w:t>
      </w:r>
      <w:r>
        <w:rPr>
          <w:rFonts w:ascii="Times New Roman" w:cs="Times New Roman" w:eastAsia="Times New Roman" w:hAnsi="Times New Roman"/>
          <w:sz w:val="18"/>
          <w:szCs w:val="18"/>
          <w:color w:val="auto"/>
        </w:rPr>
        <w:t xml:space="preserve">. Borrower shall, upon the request by Administrative Agent, cause its chief financial officer or other Authorized Officers reasonably requested by Administrative Agent to participate in a conference call with Administrative Agent and all Lenders who choose to participate in such conference call, during which conference call the chief financial officer or such Authorized Officer (as applicable) shall review the financial condition of Borrower and its Subsidiaries and such other matters as Administrative Agent or any Lender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calls shall not occur more than [***] per calendar quarter.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67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all Environmental Laws, Data Protection Laws, Public Health Laws and Health Care Laws), non-compliance with which would reasonably be expected to have, individually or in the aggregate,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Loan Party shall, and shall cause each of Borrower’s Subsidiaries to, comply with all FDA Laws and Public Health Laws, and with all Data Protection Laws and applicable Health Care Laws, except where the failure to comply would not reasonably be expected to result, either individually or in the aggregate, in Material Regulatory 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good tissue practices, labeling, advertising, record-keeping, and adverse event reporting, except where the failure to comply would not reasonably be expected to result, either individually or in the aggregate, in Material Regulatory Liabilities.</w:t>
      </w:r>
    </w:p>
    <w:p>
      <w:pPr>
        <w:spacing w:after="0" w:line="19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71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(i) keep its real property free of any Environmental Liens; (ii) maintain and comply in all material respects with all Governmental Authorizations required under applicable Environmental Laws, except as any such failure could not reasonably be expected to result in a Material Adverse Effect; (iii) take all steps to prevent any Release of Hazardous Materials from any property owned or operated by any Loan Party, except as any such failure could not reasonably be expected to result in a Material Adverse Effect; and (iv) ensure that there are no Hazardous Materials on, at or migrating from any property owned or operated by any Loan Party, except as any such failure could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promptly (but in any event within [***]) (i) notify Administrative Agent in writing (A) of any material Environmental Claims asserted in writing against or material Environmental Liabilities and Costs of any Loan Party, and (B) of any written notice of Environmental Lien filed against its real property, and (ii) provide such other documents and information as reasonably requested by Administrative Agent in relation to any matter pursuant to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In the event that (x) any Subsidiary of a Loan Party ceases to be an Excluded Subsidiary or (y) any Person becomes a Subsidiary of a Loan Party and such Person is not an Excluded Subsidiary, Borrower, in each case, shall (a) within [***] (or such longer period as Administrative Agent may agree in writing) of such Person becoming a Subsidiary or ceasing to be an Excluded Subsidiary cause such Subsidiary to become a Guarantor hereunder and a Grantor under the Pledge and Security Agreement by executing and delivering to Administrative Agent a Counterpart Agreement, and (b) 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18"/>
          <w:szCs w:val="18"/>
          <w:u w:val="single" w:color="auto"/>
          <w:color w:val="auto"/>
        </w:rPr>
        <w:t>Sections 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3.1(i)</w:t>
      </w:r>
      <w:r>
        <w:rPr>
          <w:rFonts w:ascii="Times New Roman" w:cs="Times New Roman" w:eastAsia="Times New Roman" w:hAnsi="Times New Roman"/>
          <w:sz w:val="18"/>
          <w:szCs w:val="18"/>
          <w:color w:val="auto"/>
        </w:rPr>
        <w:t xml:space="preserve">. With respect to each such Subsidiary, Borrower shall promptly send to Administrative Agent written notice setting forth with respect to such Person (i) the date on which such Person became a Subsidiary of Borrower or ceased to be an Excluded Subsidiary, which such notice, in the case of any Subsidiary that has ceased to be an Excluded Subsidiary, shall be provided within [***] of delivery of the financial statements for the Fiscal Quarter in which such Subsidiary ceased to be an Excluded Subsidiary, and (ii) all of the data required to be set forth in </w:t>
      </w:r>
      <w:r>
        <w:rPr>
          <w:rFonts w:ascii="Times New Roman" w:cs="Times New Roman" w:eastAsia="Times New Roman" w:hAnsi="Times New Roman"/>
          <w:sz w:val="18"/>
          <w:szCs w:val="18"/>
          <w:u w:val="single" w:color="auto"/>
          <w:color w:val="auto"/>
        </w:rPr>
        <w:t>Schedules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with respect to all Subsidiaries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written notice shall be deemed to supplement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for all purposes hereof. In addition, at the election of Borrower, any Excluded Subsidiary of Borrower may become a Guarantor hereunder, at which time such Subsidiary shall cease to be an Excluded Subsidiary.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Real Estate Assets</w:t>
      </w:r>
      <w:r>
        <w:rPr>
          <w:rFonts w:ascii="Times New Roman" w:cs="Times New Roman" w:eastAsia="Times New Roman" w:hAnsi="Times New Roman"/>
          <w:sz w:val="18"/>
          <w:szCs w:val="18"/>
          <w:color w:val="auto"/>
        </w:rPr>
        <w:t>. In the event that any Loan Party acquires fee title to Material Real Property during the term of this Loan, Borrower shall send to Administrative Agent a written notice of the occurrence of any such event promptly upon the occurrence of same. Within [***] days after the acquisition of any such Material Real Property (or such later time as agreed to by Administrative Agent in its sole discretion), such Loan Party shall deliver to Administrative Agent: (a) a fully executed and notarized Mortgage, in proper form for creating a valid and enforceable lien on the Real Property described therein once recorded in the appropriate real estate records and in proper form for recording in such real estate records; (b) an opinion of counsel in the jurisdiction in which such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from a title company reasonably satisfactory to Administrative Agent (the “</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in an amount not less than the fair market value of such Real Estate Asset, together with a title report issued by the Title Company with respect thereto, dated not more than [***] prior to the date such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Real Property in the appropriate real estate records; (d) to the extent required by law, evidence of flood insurance with respect to such Real Property in compliance with any applicable regulations of the Board of Governors of the Federal Reserve System, and in form and substance reasonably satisfactory to Administrative Agent; and (e) an ALTA/NSPS survey of such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Real Property was acquired, or (2) accompanied by a survey or “no change” affidavit executed by the owner of such Real Property and acceptable to the Title Company to issue the Title Policy in the form required by Administrative Agent, as applicable. In addition to the foregoing, Borrower shall, at the request of Required Lenders, deliver to Administrative Agent an appraisal of such Material Real Property to verify the amount of the Mortgage or Title Policy, but only if required by applicable law or regulation.</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any time or from time to time upon the reasonable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In furtherance and not in limitation of the foregoing, each Loan Party shall take such actions as Administrative Agent may reasonably request from time to time to ensure that the Obligations are guarantied by the Guarantors and are secured by the Collateral.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Each of Borrower and each Guarantor shall hold all of its cash and Cash Equivalents in a Deposit Account or Securities Account (other than Excluded Accounts) subject to a Control Agreement within [***] days after the Closing Date (or such later date as agreed by the Administrative Agent in its sole discretion) or the opening or acquisition thereof, as applicable. All such Control Agreements governed under the laws of a state or territory of the United States shall provide for “springing” cash dominion with respect to each such account, including each disbursement account. With respect to each Control Agreement, the Administrative Agent will not deliver to the relevant depository institution a notice or other instruction that provides for exclusive control over such account by the Administrative Agent unless an Event of Default has occurred and is continuing.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Borrower shall, and shall cause each of the Loan Parties to, satisfy the requirements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on or before the post-closing date specified for such requirement or such later date to be determined by Administrative Agent in its sole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such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shall, nor shall it permit any of its Subsidiaries to, directly or indirectly, create, incur, assume or guaranty, or otherwise become or remain directly or indirectly liable with respect to any Indebtedness, except Permitted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except Permitted Liens.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Borrower and its Subsidiaries shall not breach any Material Contract, or otherwise default under any Material Contract, in each case, in such a manner as could reasonably be expected to give rise to a termination right of any other party to such Material Contract. Borrower and its Subsidiaries shall not amend or permit the amendment of any provision of any Material Contract the result of which would be materially adverse to the interests of the Administrative Agent and the Lenders (in their respective capacities as such) or which would adversely affect in any material respect any of Borrower’s or its Subsidiary’s rights with respect to any Product (Core). For the avoidance of doubt, [***].</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xml:space="preserve">. Except with respect to (a) specific property encumbered to secure payment of particular Indebtedness or to be sold pursuant to an executed agreement with respect to an Asset Sale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(b) [reserved], (c) restrictions by reason of customary provisions restricting assignments, subletting or other transfers contained in leases, licenses and similar agreements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are limited to the property or assets secured by such Liens or the property or assets subject to such leases, licenses or similar agreements, as the case may be), (d) [reserved], (e)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(f) restrictions on cash or other deposits or net worth imposed by customers under commercial contracts entered into in the ordinary course of business, (g) encumbrances or restrictions in connection with any Permitted Product Transaction that, in the good faith determination of the Borrower, are reasonably necessary or advisable in connection with such Permitted Product Transaction, (h) customary provisions in joint venture agreements or arrangements and other similar agreements or arrangements relating solely to the applicable joint venture, (i) any encumbrance or restriction contained in secured Indebtedness otherwise permitted to be incurred hereunder to the extent limiting the right of the debtor to dispose of the assets securing such Indebtedness and (j) any encumbrances or restrictions of the type referred to in the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imposed by any amendments, modifications, restatements, renewals, increases, supplements, refundings, replacements or refinancings of the contracts, instruments or obligations referred to such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Restricted Junior Payments</w:t>
      </w:r>
      <w:r>
        <w:rPr>
          <w:rFonts w:ascii="Times New Roman" w:cs="Times New Roman" w:eastAsia="Times New Roman" w:hAnsi="Times New Roman"/>
          <w:sz w:val="18"/>
          <w:szCs w:val="18"/>
          <w:color w:val="auto"/>
        </w:rPr>
        <w:t>. No Loan Party shall, nor shall it permit any of its Subsidiaries through any manner or means or through any other Person to, directly or indirectly, declare, order, pay or make any sum for any Restricted Junior Payment, in each case, except for:</w:t>
      </w:r>
    </w:p>
    <w:p>
      <w:pPr>
        <w:spacing w:after="0" w:line="162" w:lineRule="exact"/>
        <w:rPr>
          <w:sz w:val="20"/>
          <w:szCs w:val="20"/>
          <w:color w:val="auto"/>
        </w:rPr>
      </w:pPr>
    </w:p>
    <w:p>
      <w:pPr>
        <w:ind w:left="1680" w:hanging="376"/>
        <w:spacing w:after="0"/>
        <w:tabs>
          <w:tab w:leader="none" w:pos="1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to Borrower’s equityholders in the form of Common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issuance of Capital Stock of Borrower upon the exercise of any warrants, options or rights to acquire such Capital Stock, including upon conversion of any Indebtedness that is convertible into or exchangeable for Capital Stock of Borrower, and (y) cash payments in lieu of issuing fractional shares in connection with the exercise of warrants, options or other securities convertible or exchangeable into Capital Stock of Borrower;</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or other Restricted Junior Payments by a Subsidiary of Borrower to Borrower or such Subsidiary’s direct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company;</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retirement or other acquisition or retirement for value of Borrower’s Capital Stock held by any future, present or former employee, director, manager, officer or consultant (or any Affiliates, spouses, former spouses, other immediate family members, successors, executors, administrators, heirs, legatees or distributees of any of the foregoing) of Borrower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amounts of all such payments made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exceed $[***] in any fiscal year; and</w:t>
      </w:r>
    </w:p>
    <w:p>
      <w:pPr>
        <w:spacing w:after="0" w:line="188"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ind w:left="1660" w:hanging="356"/>
        <w:spacing w:after="0"/>
        <w:tabs>
          <w:tab w:leader="none" w:pos="1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on subordinated Indebtedness in accordance with the subordination agreement governing such Indebtedness;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may purchase, redeem, retire or otherwise acquire for value Capital Stock (and any related stock appreciation rights, plans, equity incentive or achievement plans or any similar plans) of a Person being acquired in any Permitted Acquisition or other Investment permitted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such Permitted Acquisition or other Investment; provided that such purchase, redemption, retirement or acquisition shall be a part of the consideration or purchase price paid for such Permitted Acquisition (i.e. subject to any applicable caps with respect to the purchase price of such Permitted Acquisition).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at no time during a Restricted Period shall any Restricted Junior Payment otherwise permitted under the foregoing clauses (d), (e), (f) or (h) be made.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Restrictions on Subsidiary Distributions</w:t>
      </w:r>
      <w:r>
        <w:rPr>
          <w:rFonts w:ascii="Times New Roman" w:cs="Times New Roman" w:eastAsia="Times New Roman" w:hAnsi="Times New Roman"/>
          <w:sz w:val="18"/>
          <w:szCs w:val="18"/>
          <w:color w:val="auto"/>
        </w:rPr>
        <w:t xml:space="preserve">. Except as provided herein, no Loan Party shall, nor shall it permit any of its Subsidiaries to, create or otherwise cause or suffer to exist or become effective any consensual encumbrance or restriction of any kind on the ability of any Subsidiary of Borrower to (a) pay dividends or make any other distributions on any of such Subsidiary’s Capital Stock owned by Borrower or any other Subsidiary of Borrower, (b) repay or prepay any Indebtedness owed by such Subsidiary to Borrower or any other Subsidiary of Borrower, (c) make loans or advances to Borrower or any other Subsidiary of Borrower, or (d) transfer any of its property or assets to Borrower or any other Subsidiary of Borrower other than restrictions (i) in agreements evidencing purchase money Indebtedness permitted by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the definition of Permitted Indebtedness that impose restrictions on the property so acquired, (ii) by reason of customary provisions restricting assignments, subletting or other transfers contained in leases, licenses, joint venture agreements and similar agreements entered into in the ordinary course of business,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that would prohibit a Subsidiary of Borrower from being a Loan Party (other than Subsidiaries that are Excluded Subsidiaries, other than by virtue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thereof).</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No Loan Party shall, nor shall it permit any of its Subsidiaries to, directly or indirectly, make or own any Investment in any Person, including without limitation, any Joint Venture, except Permitted Investments. Notwithstanding the foregoing, in no event shall any Loan Party make any Investment that results in the making of any Restricted Junior Payment not otherwise permitted under the terms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The Loan Parties shall not permit Qualified Cash at any time to be less than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at any time during a Restricted Period, to be less than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u w:val="single" w:color="auto"/>
          <w:color w:val="auto"/>
        </w:rPr>
        <w:t>Fundamental Changes; Disposition of Assets</w:t>
      </w:r>
    </w:p>
    <w:p>
      <w:pPr>
        <w:spacing w:after="0" w:line="225" w:lineRule="exact"/>
        <w:rPr>
          <w:sz w:val="20"/>
          <w:szCs w:val="20"/>
          <w:color w:val="auto"/>
        </w:rPr>
      </w:pPr>
    </w:p>
    <w:p>
      <w:pPr>
        <w:ind w:left="740" w:hanging="84"/>
        <w:spacing w:after="0"/>
        <w:tabs>
          <w:tab w:leader="none" w:pos="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nor shall it permit any of its Subsidiaries to:</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1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jc w:val="both"/>
        <w:ind w:firstLine="1952"/>
        <w:spacing w:after="0" w:line="254" w:lineRule="auto"/>
        <w:tabs>
          <w:tab w:leader="none" w:pos="255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any Subsidiary of Borrower that is a Loan Party may be merged with or into Borrower or any Guarantor Subsidiary, or be liquidated, wound up or dissolved, or all or any part of its business, property or assets may be conveyed, sold, leased, transferred or otherwise disposed of, in one transaction or a series of transactions, to Borrower or any Guarantor Subsidiary; and (y) any Subsidiary of Borrower that is an Excluded Subsidiary may be merged with or into Borrower or any other Subsidiary, or be liquidated, wound up or dissolved, or all or any part of its business, property or assets may be conveyed, sold, leased, transferred or otherwise disposed of, in one transaction or a series of transactions,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 the case of such merger involving Borrower, Borrower shall be the continuing or surviving Person and in the case of such merger not involving Borrower but involving a Guarantor Subsidiary, a Guarantor Subsidiary shall be the continuing or surviving person; or</w:t>
      </w:r>
    </w:p>
    <w:p>
      <w:pPr>
        <w:spacing w:after="0" w:line="19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Permitted Acquisitions and other Permitted Investments;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consumate any Asset Sale, in one transaction or a series of transactions, of all or any part of its business, assets or property of any kind whatsoever (including, without limitation, any Product (including, without limitation, any Intellectual Property rights related thereto), any Product Agreement (including, without limitation, any of Borrower’s rights thereunder), and any Registration), whether real, personal or mixed and whether tangible or intangible, whether now owned or hereafter acquired, or, except, in each case, pursuant to arms’ length transactions on market terms and for fair market value:</w:t>
      </w:r>
    </w:p>
    <w:p>
      <w:pPr>
        <w:spacing w:after="0" w:line="183"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Product Transactions;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and other Permitted Investments;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7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unwinding or other termination of any Hedging Agreement or any Permitted Equity Derivative or the entry into any Permitted Equity Derivatives;</w:t>
      </w:r>
    </w:p>
    <w:p>
      <w:pPr>
        <w:spacing w:after="0" w:line="161"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inventory in the ordinary course of business;</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obsolete or worn out, retired or surplus property, whether now owned or hereafter acquired,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6"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or waiver of contractual rights and settlement or waiver of contractual or litigation claims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to a Loan Party;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by any Subsidiary that is an Excluded Subsidiary;</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consisting of Permitted Liens and permitted Restricted Junior Payments;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69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accounts receivable in connection with the collection or compromise thereof and Asset Sales of Cash Equivalents for cash or other Cash Equivalents;</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both"/>
        <w:ind w:firstLine="1952"/>
        <w:spacing w:after="0" w:line="253" w:lineRule="auto"/>
        <w:tabs>
          <w:tab w:leader="none" w:pos="28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Asset Sales (other than any disposition of Material Contracts, Product (Core), Product (Core) Intellectual Property Rights, Registration with respect to any Product (Core), accounts receivables or inventory in respect of any Product (Core) or any other assets necessary or material to the research, development, use or Commercialization of any Product (Core)) so long as at least 75.0% of the consideration paid in connection therewith shall be cash or Cash Equivalents paid substantially concurrently with consummation of the transaction and shall be in an amount not less than the fair market value of the property disposed 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the following shall be deemed to be cash (x) any securities received by the Loan Parties or any Subsidiary from such transferee that are converted by such Person into cash or Cash Equivalents upon the closing of the applicable disposition, (y) any purchase price adjustment, milestone payment, royalty, earnout, contingent payment, back-end or other deferred payment of a similar nature, and (z)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that is at that time outstanding, not to exceed $[***];</w:t>
      </w:r>
    </w:p>
    <w:p>
      <w:pPr>
        <w:spacing w:after="0" w:line="194"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Capital Stock in any Joint Venture to the other holders of Capital Stock in such Joint Venture for fair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and</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 Sales in an aggregate amount not to exceed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 no assignment, transfer, contribution, license, sublicense or other disposition of any Product (Core), Product (Core) Intellectual Property Rights or Registration with respect to any Product (Core) is permitted hereunder except as specifically permitted under this Agreement and (ii) during a Restricted Period, no Asset Sale otherwise permitted by the forgoing clauses (i), (iii), (x), (xi), (xii), (xiii) or (xiv) shall be permitted.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Disposal of Subsidiary Interests</w:t>
      </w:r>
      <w:r>
        <w:rPr>
          <w:rFonts w:ascii="Times New Roman" w:cs="Times New Roman" w:eastAsia="Times New Roman" w:hAnsi="Times New Roman"/>
          <w:sz w:val="18"/>
          <w:szCs w:val="18"/>
          <w:color w:val="auto"/>
        </w:rPr>
        <w:t xml:space="preserve">. Except for any sale of its interests in the Capital Stock of any of its Subsidiaries in compliance with the provisions of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no Loan Party shall, nor shall it permit any of its Subsidiaries to, in each case solely with respect to the interests of or in Loan Party,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Sales and Lease Backs</w:t>
      </w:r>
      <w:r>
        <w:rPr>
          <w:rFonts w:ascii="Times New Roman" w:cs="Times New Roman" w:eastAsia="Times New Roman" w:hAnsi="Times New Roman"/>
          <w:sz w:val="18"/>
          <w:szCs w:val="18"/>
          <w:color w:val="auto"/>
        </w:rPr>
        <w:t>. No Loan Party shall, nor shall it permit any of its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that has been or is to be sold or transferred by such Loan Party to any Person (other than Borrower or any of its Subsidiaries) in connection with such lease.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Transactions with Shareholders and Affiliates</w:t>
      </w:r>
      <w:r>
        <w:rPr>
          <w:rFonts w:ascii="Times New Roman" w:cs="Times New Roman" w:eastAsia="Times New Roman" w:hAnsi="Times New Roman"/>
          <w:sz w:val="18"/>
          <w:szCs w:val="18"/>
          <w:color w:val="auto"/>
        </w:rPr>
        <w:t xml:space="preserve">. No Loan Party shall, nor shall it permit any of its Subsidiaries to, directly or indirectly, enter into or permit to exist any transaction (including the purchase, sale, lease or exchange of any property or the rendering of any service), or series of related transactions, with any Affiliate of Borrower or of any such holder with a value in excess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and their Subsidiaries may enter into or permit to exist any such transaction if Administrative Agent has consented thereto in writing prior to the consummation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restrictions shall not apply to any of the following:</w:t>
      </w:r>
    </w:p>
    <w:p>
      <w:pPr>
        <w:spacing w:after="0" w:line="183" w:lineRule="exact"/>
        <w:rPr>
          <w:sz w:val="20"/>
          <w:szCs w:val="20"/>
          <w:color w:val="auto"/>
        </w:rPr>
      </w:pPr>
    </w:p>
    <w:p>
      <w:pPr>
        <w:ind w:left="1680" w:hanging="376"/>
        <w:spacing w:after="0"/>
        <w:tabs>
          <w:tab w:leader="none" w:pos="16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among the Borrower and its Subsidiaries expressly permitted hereunder;</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ind w:right="20" w:firstLine="1304"/>
        <w:spacing w:after="0" w:line="282" w:lineRule="auto"/>
        <w:tabs>
          <w:tab w:leader="none" w:pos="181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fees paid to current or former members of the Board of Directors (or similar governing body) of Borrower and its Subsidiaries;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arrangements for current and former officers and other employees of Borrower and its Subsidiaries entered into in the ordinary course of business;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series of related transactions) that have a value not in excess of $[***] in the aggregate during the term of this Agreement and that are, in the case of each such transaction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From and after the Closing Date, no Loan Party shall, nor shall it permit any of its Subsidiaries to, engage in any material line of business other than the businesses engaged in by such Loan Party or its Subsidiaries on the Closing Date or any business reasonably related, complementary, incidental, ancillary thereto or any reasonable extensions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Changes to Certain Agreements and Organizational Documents</w:t>
      </w:r>
      <w:r>
        <w:rPr>
          <w:rFonts w:ascii="Times New Roman" w:cs="Times New Roman" w:eastAsia="Times New Roman" w:hAnsi="Times New Roman"/>
          <w:sz w:val="18"/>
          <w:szCs w:val="18"/>
          <w:color w:val="auto"/>
        </w:rPr>
        <w:t>. No Loan Party shall amend or permit any 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The Loan Parties will not and will not permit any of their Subsidiaries to modify or change its fiscal year or its method of accounting (other than as may be required to conform to GAAP).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No Loan Party shall establish or maintain a Deposit Account or a Securities Account that is not subject to a Control Agreement except for Excluded Accounts or as otherwise permitted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Prepayments of Certain Indebtedness</w:t>
      </w:r>
      <w:r>
        <w:rPr>
          <w:rFonts w:ascii="Times New Roman" w:cs="Times New Roman" w:eastAsia="Times New Roman" w:hAnsi="Times New Roman"/>
          <w:sz w:val="18"/>
          <w:szCs w:val="18"/>
          <w:color w:val="auto"/>
        </w:rPr>
        <w:t xml:space="preserve">. No Loan Party shall, directly or indirectly, voluntarily purchase, redeem, defease or prepay any principal of, premium, if any, interest or other amount payable in respect of any Indebtedness for borrowed money with an aggregate principal amount outstanding of $[***] prior to its scheduled due date, other than (a) the Obligations, (b) [reserved], (c) Indebtedness secured by a Permitted Lien if the asset securing such Indebtedness has been sold or otherwise disposed of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(d) converting (or exchanging) any Indebtedness to (or for) Qualified Capital Stock of Borrower, (e) issuance of Capital Stock (and cash in lieu of fractional shares in connection with such issuance) of the Borrower in connection with any conversion, exercise, repurchase, exchange, redemption, settlement or early termination or cancellation of Permitted Convertible Indebtedness, (f) the issuance of Permitted Convertible Indebtedness that constitutes Permitted Refinancing Indebtedness in exchange for other Permitted Convertible Indebtedness, (g) the redemption, purchase, exchange, early termination or cancellation of Permitted Convertible Indebtedness in an aggregate principal amount not to exceed the Net Proceeds received by the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(h) as permitted under the applicable subordination agreement governing any subordinated Indebtedness.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7"/>
          <w:szCs w:val="17"/>
          <w:u w:val="single" w:color="auto"/>
          <w:color w:val="auto"/>
        </w:rPr>
        <w:t>Anti-Terrorism Laws</w:t>
      </w:r>
      <w:r>
        <w:rPr>
          <w:rFonts w:ascii="Times New Roman" w:cs="Times New Roman" w:eastAsia="Times New Roman" w:hAnsi="Times New Roman"/>
          <w:sz w:val="17"/>
          <w:szCs w:val="17"/>
          <w:color w:val="auto"/>
        </w:rPr>
        <w:t>. None of the Loan Parties, nor any of their Subsidiaries or agents shall:</w:t>
      </w:r>
    </w:p>
    <w:p>
      <w:pPr>
        <w:spacing w:after="0" w:line="225" w:lineRule="exact"/>
        <w:rPr>
          <w:sz w:val="20"/>
          <w:szCs w:val="20"/>
          <w:color w:val="auto"/>
        </w:rPr>
      </w:pPr>
    </w:p>
    <w:p>
      <w:pPr>
        <w:ind w:firstLine="1304"/>
        <w:spacing w:after="0" w:line="282" w:lineRule="auto"/>
        <w:tabs>
          <w:tab w:leader="none" w:pos="176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business or engage in any transaction or dealing with any Blocked Person, including the making or receiving any contribution of funds, goods or services to or for the benefit of any Blocked Person,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6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or otherwise engage in any transaction relating to, any property or interests in property blocked pursuant to the OFAC Sanctions Programs or other Sanctions, or</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7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conspire to engage in any transaction that evades or avoids, or has the purpose of evading or avoiding, or attempts to violate, any of the prohibitions set forth in the OFAC Sanctions Programs, Sanctions, the USA PATRIOT Act or any other Anti-Terrorism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the Lenders certifications as reasonably requested from time to time by any Lender confirming Borrower’s compliance with this Section 6.18.</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Anti-Corruption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Loan Parties will not and will not permit any of their Subsidiaries to use the proceeds of any 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w:t>
      </w:r>
    </w:p>
    <w:p>
      <w:pPr>
        <w:spacing w:after="0" w:line="18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6.21</w:t>
      </w:r>
      <w:r>
        <w:rPr>
          <w:sz w:val="20"/>
          <w:szCs w:val="20"/>
          <w:color w:val="auto"/>
        </w:rPr>
        <w:tab/>
      </w:r>
      <w:r>
        <w:rPr>
          <w:rFonts w:ascii="Times New Roman" w:cs="Times New Roman" w:eastAsia="Times New Roman" w:hAnsi="Times New Roman"/>
          <w:sz w:val="17"/>
          <w:szCs w:val="17"/>
          <w:u w:val="single" w:color="auto"/>
          <w:color w:val="auto"/>
        </w:rPr>
        <w:t>Products and Patent Rights.</w:t>
      </w:r>
    </w:p>
    <w:p>
      <w:pPr>
        <w:spacing w:after="0" w:line="225" w:lineRule="exact"/>
        <w:rPr>
          <w:sz w:val="20"/>
          <w:szCs w:val="20"/>
          <w:color w:val="auto"/>
        </w:rPr>
      </w:pPr>
    </w:p>
    <w:p>
      <w:pPr>
        <w:jc w:val="both"/>
        <w:ind w:firstLine="1304"/>
        <w:spacing w:after="0" w:line="258" w:lineRule="auto"/>
        <w:tabs>
          <w:tab w:leader="none" w:pos="177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Borrower and its Subsidiaries shall not, without the prior written consent of the Required Lenders, which consent may be granted or withheld in the Required Lenders’ sole discretion, other than any Permitted Product Transaction, sell, assign, out-license, partner or otherwise dispose of economic rights or intellectual property related to any Product in the United States to any Person, or enter into any agreement to do any of the foregoing to the extent the consummation thereof would not result in the repayment in full of the Loans and all other Obligations (other than inchoate indemnity obligations for which no claim has been made) and the termination of the Term Loan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Guaranty of the Obligations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Contribution by Guarantors</w:t>
      </w:r>
      <w:r>
        <w:rPr>
          <w:rFonts w:ascii="Times New Roman" w:cs="Times New Roman" w:eastAsia="Times New Roman" w:hAnsi="Times New Roman"/>
          <w:sz w:val="18"/>
          <w:szCs w:val="18"/>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Guaranteed Obligations.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solely for purposes of calculating the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xml:space="preserve">” with respect to any Guarantor for purposes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18"/>
          <w:szCs w:val="18"/>
          <w:u w:val="single" w:color="auto"/>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p>
    <w:p>
      <w:pPr>
        <w:spacing w:after="0" w:line="12" w:lineRule="exact"/>
        <w:rPr>
          <w:sz w:val="20"/>
          <w:szCs w:val="20"/>
          <w:color w:val="auto"/>
        </w:rPr>
      </w:pPr>
    </w:p>
    <w:p>
      <w:pPr>
        <w:jc w:val="both"/>
        <w:ind w:firstLine="8"/>
        <w:spacing w:after="0" w:line="253" w:lineRule="auto"/>
        <w:tabs>
          <w:tab w:leader="none" w:pos="2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payments received on or before such date by such Guarantor from the other Guarantors as contributions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be construed in any way to limit the liability of any Guarantor hereunder. Each Guarantor is a third party beneficiary to the contribution agreement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Payment by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hereby jointly and severally agree, in furtherance of the foregoing and not in limitation of any other right that any Beneficiary may have at law or in equity against any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that, but for Borrower’s becoming the subject of a case under the Bankruptcy Code, would have accrued on such Guaranteed Obligations, whether or not a claim is allowed against Borrower for such interest in the related bankruptcy case) and all other Guaranteed Obligations then owed to Beneficiaries as aforesaid.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 unconditional and shall not be affected by any circumstance that constitutes a legal or equitable discharge of a guarantor or surety other than payment in full of the Guaranteed Obligations. In furtherance of the foregoing and without limiting the generality thereof, each Guarantor agrees as follows:</w:t>
      </w:r>
    </w:p>
    <w:p>
      <w:pPr>
        <w:spacing w:after="0" w:line="176" w:lineRule="exact"/>
        <w:rPr>
          <w:sz w:val="20"/>
          <w:szCs w:val="20"/>
          <w:color w:val="auto"/>
        </w:rPr>
      </w:pPr>
    </w:p>
    <w:p>
      <w:pPr>
        <w:ind w:firstLine="1304"/>
        <w:spacing w:after="0" w:line="282" w:lineRule="auto"/>
        <w:tabs>
          <w:tab w:leader="none" w:pos="169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 This Guaranty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ind w:left="-1120" w:firstLine="1304"/>
        <w:spacing w:after="0" w:line="282" w:lineRule="auto"/>
        <w:tabs>
          <w:tab w:leader="none" w:pos="5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6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Borrower and the obligations of any other guarantor (including any other Guarantor) of the obligations of Borrower, and a separate action or actions may be brought and prosecuted against such Guarantor whether or not any action is brought against Borrower or any of such other guarantors and whether or not Borrower is joined in any such action or actions;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60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that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71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 (vi) exercise any other rights available to it under the Loan Documents; and</w:t>
      </w:r>
    </w:p>
    <w:p>
      <w:pPr>
        <w:spacing w:after="0" w:line="19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91" w:name="page192"/>
    <w:bookmarkEnd w:id="191"/>
    <w:p>
      <w:pPr>
        <w:jc w:val="both"/>
        <w:ind w:firstLine="1304"/>
        <w:spacing w:after="0" w:line="252" w:lineRule="auto"/>
        <w:tabs>
          <w:tab w:leader="none" w:pos="168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that secures any of the Guaranteed Obligations; (vii) any defenses (other than a defense of payment or performance), set offs or counterclaims that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that may or might in any manner or to any extent vary the risk of any Guarantor as an obligor in respect of the Guaranteed Obligations.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Each Guarantor hereby waives, for the benefit of Beneficiaries: (a) any right to require any 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w:t>
      </w:r>
    </w:p>
    <w:p>
      <w:pPr>
        <w:spacing w:after="0" w:line="1" w:lineRule="exact"/>
        <w:rPr>
          <w:sz w:val="20"/>
          <w:szCs w:val="20"/>
          <w:color w:val="auto"/>
        </w:rPr>
      </w:pPr>
    </w:p>
    <w:p>
      <w:pPr>
        <w:jc w:val="both"/>
        <w:ind w:firstLine="8"/>
        <w:spacing w:after="0" w:line="250" w:lineRule="auto"/>
        <w:tabs>
          <w:tab w:leader="none" w:pos="33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against or have resort to any balance of any Deposit Account or credit on the books of any Beneficiary in favor of Borrower or any other Person, or (iv) pursue any other remedy in the power of any Beneficiary whatsoever; (b) any defense arising by reason of the incapacity, lack of authority or any disability or other defense of Borrower or any other Guarantor including any defense based on or arising out of the lack of validity or the unenforceability of the Guaranteed Obligations or any agreement or instrument relating thereto or by reason of the cessation of the liability of Borrower or any other Guarantor from any cause other than payment in full in cash of the Guaranteed Obligations; (c) any defense based upon any statute or rule of law that provides that the obligation of a surety must be neither larger in amount nor in other respects more burdensome than that of the principal; (d) any defense based upon any Beneficiary’s errors or omissions in the administration of the Guaranteed Obligations, except behavior that amounts to bad faith;</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principles or provisions of law, statutory or otherwise that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that limit the liability of or exonerate guarantors or sureties or that may conflict with the terms hereof.</w:t>
      </w:r>
    </w:p>
    <w:p>
      <w:pPr>
        <w:spacing w:after="0" w:line="193"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xml:space="preserve"> Until the Guaranteed Obligations shall have been indefeasibly paid in cash in full,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indefeasibly paid in full,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to any rights any Beneficiary may have against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Borrower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the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 shall have been indefeasibly paid in full.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Authority of Guarantors or Borrower</w:t>
      </w:r>
      <w:r>
        <w:rPr>
          <w:rFonts w:ascii="Times New Roman" w:cs="Times New Roman" w:eastAsia="Times New Roman" w:hAnsi="Times New Roman"/>
          <w:sz w:val="18"/>
          <w:szCs w:val="18"/>
          <w:color w:val="auto"/>
        </w:rPr>
        <w:t>. It is not necessary for any Beneficiary to inquire into the capacity or powers of any Guarantor or Borrower or the officers, directors or agents acting or purporting to act on behalf of any of them.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Borrower or continued from time to time without notice to or authorization from any Guarantor regardless of the financial or other condition of Borrower at the time of any such grant or continuation is entered into, as the case may be.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Loan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 xml:space="preserve"> 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Borrower or any other Guarantor or by any defense that Borrower or any other Guarantor may have by reason of the order, decree or decision of any court or administrative body resulting from any such proceeding.</w:t>
      </w:r>
    </w:p>
    <w:p>
      <w:pPr>
        <w:spacing w:after="0" w:line="189" w:lineRule="exact"/>
        <w:rPr>
          <w:sz w:val="20"/>
          <w:szCs w:val="20"/>
          <w:color w:val="auto"/>
        </w:rPr>
      </w:pPr>
    </w:p>
    <w:p>
      <w:pPr>
        <w:jc w:val="both"/>
        <w:ind w:firstLine="1304"/>
        <w:spacing w:after="0" w:line="254" w:lineRule="auto"/>
        <w:tabs>
          <w:tab w:leader="none" w:pos="177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Guaranteed Obligations that accrues after the commencement of any case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that are guaranteed by Guarantors pursuant hereto should be determined without regard to any rule of law or order that may relieve Borrower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that are so rescinded or recovered shall constitute Guaranteed Obligations for all purposes 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Guaranty Upon Sale of Guarantor</w:t>
      </w:r>
      <w:r>
        <w:rPr>
          <w:rFonts w:ascii="Times New Roman" w:cs="Times New Roman" w:eastAsia="Times New Roman" w:hAnsi="Times New Roman"/>
          <w:sz w:val="18"/>
          <w:szCs w:val="18"/>
          <w:color w:val="auto"/>
        </w:rPr>
        <w:t>. If all of the Capital Stock of any Guarantor or any of its successors in interest hereunder shall be sold or otherwise disposed of (including by merger or consolidation) or if such Guarantor ceases to be a Subsidiary of the Borrower, in each case,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one or more of the following conditions or events shall occur:</w:t>
      </w:r>
    </w:p>
    <w:p>
      <w:pPr>
        <w:spacing w:after="0" w:line="225" w:lineRule="exact"/>
        <w:rPr>
          <w:sz w:val="20"/>
          <w:szCs w:val="20"/>
          <w:color w:val="auto"/>
        </w:rPr>
      </w:pPr>
    </w:p>
    <w:p>
      <w:pPr>
        <w:jc w:val="both"/>
        <w:ind w:firstLine="1304"/>
        <w:spacing w:after="0" w:line="266" w:lineRule="auto"/>
        <w:tabs>
          <w:tab w:leader="none" w:pos="16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Failure by Borrower to pay (i) the principal of and premium, if any, on any Term Loan when due whether at stated maturity, by acceleration or otherwise; or (ii) within [***] when due any interest on any Term Loan or any fee or any other amount due hereunder;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of any Loan Party or any Loan Party’s Subsidiaries to pay when due any principal of or interest on or any other amount payable in respect of one or more items of Indebtedness (other than [***]) in an individual principal amount, put price or other accelerated amount of $[***] or more or with an aggregate principal amount, put price or other accelerated amount of $[***] or more, in each case beyond the grace period, if any, provided therefor, or (ii) breach or default by any Loan Party with respect to any other material term of (A) one or more items of Indebtedness in the individual or aggregate principal amounts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(x) secured Indebtedness that becomes due as a result of the sale or transfer or other Asset Sale (including any casualty proceeds) of the property or assets securing such Indebtedness permitted hereunder and under the documents providing for such Indebtedness and such Indebtedness is repaid when required under the documents providing for such Indebtedness or (y) Indebtedness for which such failure, breach or default has been cured or waived in accordance with the terms of the applicable Indebtedness; or</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to perform or comply with any term or condition contained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warranty, certification or other statement made or deemed made by any Loan Party in any Loan Document or in any statement or certificate at any time given by any Loan Party or any of their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such default shall not have been remedied or waived within [***] after the earlier of (i) an officer of such Loan Party becoming aware of such default, or (ii) receipt by Borrower of notice from Administrative Agent or any Lender of such default; or</w:t>
      </w:r>
    </w:p>
    <w:p>
      <w:pPr>
        <w:spacing w:after="0" w:line="179"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jc w:val="both"/>
        <w:ind w:left="-1120" w:firstLine="1304"/>
        <w:spacing w:after="0" w:line="253" w:lineRule="auto"/>
        <w:tabs>
          <w:tab w:leader="none" w:pos="56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xml:space="preserve"> (i) A court of competent jurisdiction shall enter a decree or order for relief in respect of Borrower or any of its Subsidiaries ([***])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 or over all or a substantial part of its property, shall have been entered; or there shall have occurred the involuntary appointment of an interim receiver, administrator, trustee or other custodian of Borrowers or any of its Subsidiaries ([***]) for all or a substantial part of its property; or a warrant of attachment, execution or similar process shall have been issued against any substantial part of the property of Borrower or any of its Subsidiaries (other than any Immaterial Subsidiary), and any such event described in the foregoing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continue for [***] without having been dismissed, bonded or discharged; or</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6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xml:space="preserve"> (i) Borrower or any of its Subsidiaries ([***])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 shall make any assignment for the benefit of creditors; or (ii) Borrower or any of its Subsidiaries ([***]) shall be unable, or shall fail generally, or shall admit in writing its inability, to pay its debts as such debts become due; or the Board of Directors (or similar governing body) of Borrower or any of its Subsidiaries ([***]) shall adopt any resolution or otherwise authorize any action to approve any of the actions referred to herein or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7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Any money judgment, writ or warrant of attachment or similar process involving (a) in any individual case an amount in excess of $[***] or (b) in the aggregate at any time an amount in excess of $[***] (in any case to the extent not adequately covered by insurance as to which a solvent and unaffiliated insurance company has not denied coverage) shall be entered or filed against Borrower or any of its Subsidiaries (other than [***]) or any of their respective assets and shall remain undischarged, unvacated, unbonded or unstayed for a period of [***]; or</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4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Any order, judgment or decree shall be entered against the Borrower or any of its Subsidiaries (other than any Immaterial Subsidiary) decreeing the dissolution or split up of such Loan Party or any of its Subsidiaries ([***]) and such order shall remain undischarged or unstayed for a period in excess of [***]; or</w:t>
      </w:r>
    </w:p>
    <w:p>
      <w:pPr>
        <w:spacing w:after="0" w:line="175" w:lineRule="exact"/>
        <w:rPr>
          <w:rFonts w:ascii="Times New Roman" w:cs="Times New Roman" w:eastAsia="Times New Roman" w:hAnsi="Times New Roman"/>
          <w:sz w:val="18"/>
          <w:szCs w:val="18"/>
          <w:color w:val="auto"/>
        </w:rPr>
      </w:pPr>
    </w:p>
    <w:p>
      <w:pPr>
        <w:ind w:left="540" w:hanging="356"/>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 or</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5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88"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96" w:name="page197"/>
    <w:bookmarkEnd w:id="196"/>
    <w:p>
      <w:pPr>
        <w:jc w:val="both"/>
        <w:ind w:firstLine="1304"/>
        <w:spacing w:after="0" w:line="261" w:lineRule="auto"/>
        <w:tabs>
          <w:tab w:leader="none" w:pos="17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indictment of Borrower or any of its Subsidiaries (other than any Immaterial Subsidiary) under any criminal statute, or commencement of criminal or civil proceedings against Borrower or any of its Subsidiaries (other than any Immaterial Subsidiary) pursuant to which statute or proceedings the penalties or remedies sought or available include forfeiture to any Governmental Authority of any material portion of the property of such Person; or</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occurrence of any ERISA Event that, individually or in the aggregate, has resulted or would reasonably be expected to result in a Material Adverse Effect or in the imposition of a Lien; or</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Event</w:t>
      </w:r>
      <w:r>
        <w:rPr>
          <w:rFonts w:ascii="Times New Roman" w:cs="Times New Roman" w:eastAsia="Times New Roman" w:hAnsi="Times New Roman"/>
          <w:sz w:val="18"/>
          <w:szCs w:val="18"/>
          <w:color w:val="auto"/>
        </w:rPr>
        <w:t>. The occurrence of a Withdrawal Event;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The occurrence of a default, event of default or termination event under the BRIUMVI License Agreement or any agreement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and during the continuance of any Event of Default, Administrative Agent may, and shall at the request of the Required Lenders:</w:t>
      </w:r>
    </w:p>
    <w:p>
      <w:pPr>
        <w:spacing w:after="0" w:line="162" w:lineRule="exact"/>
        <w:rPr>
          <w:sz w:val="20"/>
          <w:szCs w:val="20"/>
          <w:color w:val="auto"/>
        </w:rPr>
      </w:pPr>
    </w:p>
    <w:p>
      <w:pPr>
        <w:jc w:val="both"/>
        <w:ind w:firstLine="1304"/>
        <w:spacing w:after="0" w:line="266" w:lineRule="auto"/>
        <w:tabs>
          <w:tab w:leader="none" w:pos="171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0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event specified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Appointment of Administrative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77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Owl is hereby appointed Administrative Agent hereunder and under the other Loan Documents and each Lender hereby authorizes Blue Owl,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19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8"/>
          <w:szCs w:val="18"/>
          <w:u w:val="single" w:color="auto"/>
          <w:color w:val="auto"/>
        </w:rPr>
        <w:t>General Immunity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Certain Matters</w:t>
      </w:r>
      <w:r>
        <w:rPr>
          <w:rFonts w:ascii="Times New Roman" w:cs="Times New Roman" w:eastAsia="Times New Roman" w:hAnsi="Times New Roman"/>
          <w:sz w:val="18"/>
          <w:szCs w:val="18"/>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8" w:name="page199"/>
    <w:bookmarkEnd w:id="198"/>
    <w:p>
      <w:pPr>
        <w:jc w:val="both"/>
        <w:ind w:firstLine="1304"/>
        <w:spacing w:after="0" w:line="252" w:lineRule="auto"/>
        <w:tabs>
          <w:tab w:leader="none" w:pos="16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Administrative Agent Entitled to Act as Lender</w:t>
      </w:r>
      <w:r>
        <w:rPr>
          <w:rFonts w:ascii="Times New Roman" w:cs="Times New Roman" w:eastAsia="Times New Roman" w:hAnsi="Times New Roman"/>
          <w:sz w:val="18"/>
          <w:szCs w:val="18"/>
          <w:color w:val="auto"/>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Borrower for services in connection herewith and otherwise without having to account for the same to Lenders.</w:t>
      </w:r>
    </w:p>
    <w:p>
      <w:pPr>
        <w:spacing w:after="0" w:line="19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u w:val="single" w:color="auto"/>
          <w:color w:val="auto"/>
        </w:rPr>
        <w:t>Lenders’ Representations, Warranties and Acknowledgment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74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8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jc w:val="both"/>
        <w:ind w:firstLine="1304"/>
        <w:spacing w:after="0" w:line="266" w:lineRule="auto"/>
        <w:tabs>
          <w:tab w:leader="none" w:pos="169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Right to Indemnity</w:t>
      </w:r>
      <w:r>
        <w:rPr>
          <w:rFonts w:ascii="Times New Roman" w:cs="Times New Roman" w:eastAsia="Times New Roman" w:hAnsi="Times New Roman"/>
          <w:sz w:val="18"/>
          <w:szCs w:val="18"/>
          <w:color w:val="auto"/>
        </w:rPr>
        <w:t>. EACH LENDER, IN PROPORTION TO ITS PRO RATA SHARE, SEVERALLY AGREES TO INDEMNIFY ADMINISTRATIVE AGENT, ITS AFFILIATES AND ITS RESPECTIVE OFFICERS, PARTNERS, DIRECTORS, TRUSTEES, EMPLOYEES AND AGENTS OF ADMINISTRATIVE AGENT (EACH, AN “</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THAT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w:t>
      </w:r>
      <w:r>
        <w:rPr>
          <w:rFonts w:ascii="Times New Roman" w:cs="Times New Roman" w:eastAsia="Times New Roman" w:hAnsi="Times New Roman"/>
          <w:sz w:val="18"/>
          <w:szCs w:val="18"/>
          <w:b w:val="1"/>
          <w:bCs w:val="1"/>
          <w:color w:val="auto"/>
        </w:rPr>
        <w:t>IN ALL CASES,</w:t>
      </w:r>
    </w:p>
    <w:p>
      <w:pPr>
        <w:spacing w:after="0" w:line="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WHETHER OR NOT CAUSED BY OR ARISING, IN WHOLE OR IN PART, OUT OF THE COMPARATIVE, CONTRIBUTORY, OR SOLE NEGLIGENCE OF SUCH INDEMNITEE AGENT PARTY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NO LENDER SHALL BE LIABLE FOR ANY PORTION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ind w:left="652"/>
        <w:spacing w:after="0"/>
        <w:tabs>
          <w:tab w:leader="none" w:pos="1612" w:val="left"/>
        </w:tabs>
        <w:rPr>
          <w:sz w:val="20"/>
          <w:szCs w:val="20"/>
          <w:color w:val="auto"/>
        </w:rPr>
      </w:pPr>
      <w:r>
        <w:rPr>
          <w:rFonts w:ascii="Times New Roman" w:cs="Times New Roman" w:eastAsia="Times New Roman" w:hAnsi="Times New Roman"/>
          <w:sz w:val="18"/>
          <w:szCs w:val="18"/>
          <w:color w:val="auto"/>
        </w:rPr>
        <w:t>Section 9.7</w:t>
      </w:r>
      <w:r>
        <w:rPr>
          <w:sz w:val="20"/>
          <w:szCs w:val="20"/>
          <w:color w:val="auto"/>
        </w:rPr>
        <w:tab/>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53" w:lineRule="auto"/>
        <w:tabs>
          <w:tab w:leader="none" w:pos="174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resign at any time by giving [***] days’ (or such shorter period as shall be agreed by the Required Lenders) prior written notice thereof to Lenders and Borrower. Upon any such notice of resignation, Required Lenders shall have the right, upon [***] Business Days’ notice to Borrower, to appoint a successor Administrative Agent. If no successor shall have been so appointed by the Required Lenders and shall have accepted such appointment within [***]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w:t>
      </w:r>
    </w:p>
    <w:p>
      <w:pPr>
        <w:spacing w:after="0" w:line="2"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inure to its benefit as to any actions taken or omitted to be taken by it while it was Administrative Agent hereunder.</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69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Administrative Agent may assign its rights and duties as Administrative Agent, as applicable, hereunder to an Affiliate of Blue Owl without the prior written consent of, or prior written notice to,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and the Lenders may deem and treat such assigning Administrative Agent as Administrative Agent for all purposes hereof, unless and until such assigning Administrative Agent provides written notice to Borrower and the Lenders of such assignment. Upon such assignment such Affiliate shall succeed to and become vested with all rights, powers, privileges and duties as Administrative Agent hereunder and under the other Loan Documents.</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699"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of the Affiliates of Administrative Agent. All of the rights, benefits and privileges (including the exculpatory and indemnification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permitted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97" w:lineRule="exact"/>
        <w:rPr>
          <w:rFonts w:ascii="Times New Roman" w:cs="Times New Roman" w:eastAsia="Times New Roman" w:hAnsi="Times New Roman"/>
          <w:sz w:val="18"/>
          <w:szCs w:val="18"/>
          <w:color w:val="auto"/>
        </w:rPr>
      </w:pPr>
    </w:p>
    <w:p>
      <w:pPr>
        <w:ind w:left="5472" w:hanging="96"/>
        <w:spacing w:after="0"/>
        <w:tabs>
          <w:tab w:leader="none" w:pos="547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01" w:name="page202"/>
    <w:bookmarkEnd w:id="201"/>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9.8</w:t>
      </w:r>
      <w:r>
        <w:rPr>
          <w:sz w:val="20"/>
          <w:szCs w:val="20"/>
          <w:color w:val="auto"/>
        </w:rPr>
        <w:tab/>
      </w:r>
      <w:r>
        <w:rPr>
          <w:rFonts w:ascii="Times New Roman" w:cs="Times New Roman" w:eastAsia="Times New Roman" w:hAnsi="Times New Roman"/>
          <w:sz w:val="17"/>
          <w:szCs w:val="17"/>
          <w:u w:val="single" w:color="auto"/>
          <w:color w:val="auto"/>
        </w:rPr>
        <w:t>Collateral Documents and Guaranty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1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under Collateral Documents and Guaranty</w:t>
      </w:r>
      <w:r>
        <w:rPr>
          <w:rFonts w:ascii="Times New Roman" w:cs="Times New Roman" w:eastAsia="Times New Roman" w:hAnsi="Times New Roman"/>
          <w:sz w:val="18"/>
          <w:szCs w:val="18"/>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without further written consent or authorization from Lenders, Administrative Agent (i) may execute any documents or instruments necessary to (A) release any Lien encumbering any item of Collateral that is the subject of an Asset Sale or other sale or disposition of assets permitted hereby or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have otherwise consented, or (B) release any Guarantor from the Guaranty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with respect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have otherwise consented and (ii) shall, if requested by Borrower, enter into customary intercreditor or non-disturbance agreements, in form and substance reasonably satisfactory to the Administrative Agent, in connection with the entry by Borrower or any Subsidiary into any exclusive out-license that constitutes a Permitted Product Agreement; provided, that prior to or concurrently with making any request pursuant to this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Borrower shall have used commercially reasonable efforts to negotiate the Permitted Product Agreement without an intercreditor agreement (and shall provide Administrative Agent reasonable documentation of the same).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4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Realize on Collateral and Enforce Guaranty</w:t>
      </w:r>
      <w:r>
        <w:rPr>
          <w:rFonts w:ascii="Times New Roman" w:cs="Times New Roman" w:eastAsia="Times New Roman" w:hAnsi="Times New Roman"/>
          <w:sz w:val="18"/>
          <w:szCs w:val="18"/>
          <w:color w:val="auto"/>
        </w:rPr>
        <w:t>. Anything contained in any of the Loan Documents to the contrary notwithstanding, Borrower,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Administrative Agent and each Lender hereby appoints each other Lender as agent and bailee for the purpose of perfection the security interests in and liens upon the Collateral in assets that,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8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7"/>
          <w:szCs w:val="17"/>
          <w:u w:val="single" w:color="auto"/>
          <w:color w:val="auto"/>
        </w:rPr>
        <w:t>Reports and Other Information; Confidentiality; Disclaimers</w:t>
      </w:r>
      <w:r>
        <w:rPr>
          <w:rFonts w:ascii="Times New Roman" w:cs="Times New Roman" w:eastAsia="Times New Roman" w:hAnsi="Times New Roman"/>
          <w:sz w:val="17"/>
          <w:szCs w:val="17"/>
          <w:color w:val="auto"/>
        </w:rPr>
        <w:t>. By becoming a party to this Agreement, each Lender:</w:t>
      </w:r>
    </w:p>
    <w:p>
      <w:pPr>
        <w:spacing w:after="0" w:line="225" w:lineRule="exact"/>
        <w:rPr>
          <w:sz w:val="20"/>
          <w:szCs w:val="20"/>
          <w:color w:val="auto"/>
        </w:rPr>
      </w:pPr>
    </w:p>
    <w:p>
      <w:pPr>
        <w:jc w:val="both"/>
        <w:ind w:firstLine="1304"/>
        <w:spacing w:after="0" w:line="266" w:lineRule="auto"/>
        <w:tabs>
          <w:tab w:leader="none" w:pos="174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have requested that Administrative Agent furnish such Lender or Administrative Agent, promptly after it becomes available, a copy of each field audit or examination report with respect to Borrower or its Subsidiaries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prepared by or at the request of Administrative Agent, and Administrative Agent shall so furnish each Lender with such Reports,</w:t>
      </w:r>
    </w:p>
    <w:p>
      <w:pPr>
        <w:spacing w:after="0" w:line="175"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2" w:name="page203"/>
    <w:bookmarkEnd w:id="202"/>
    <w:p>
      <w:pPr>
        <w:ind w:firstLine="1304"/>
        <w:spacing w:after="0" w:line="282" w:lineRule="auto"/>
        <w:tabs>
          <w:tab w:leader="none" w:pos="17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Administrative Agent does not (i) make any representation or warranty as to the accuracy of any Report, and (ii) shall not be liable for any information contained in any Report,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1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 or the indemnifying Lender’s participation in, or the indemnifying Lender’s purchase of, a loan or loans of Borrower, and (ii) to pay and protect, and indemnify, defend and hold Administrative Agent, and any such other Lender preparing a Report harmless from and against, the claims, actions, proceedings, damages, costs, expenses, and other amounts (including attorneys’ fees and costs pursuant to </w:t>
      </w:r>
      <w:r>
        <w:rPr>
          <w:rFonts w:ascii="Times New Roman" w:cs="Times New Roman" w:eastAsia="Times New Roman" w:hAnsi="Times New Roman"/>
          <w:sz w:val="18"/>
          <w:szCs w:val="18"/>
          <w:u w:val="single" w:color="auto"/>
          <w:color w:val="auto"/>
        </w:rPr>
        <w:t>Sections 10.2 or 10.3</w:t>
      </w:r>
      <w:r>
        <w:rPr>
          <w:rFonts w:ascii="Times New Roman" w:cs="Times New Roman" w:eastAsia="Times New Roman" w:hAnsi="Times New Roman"/>
          <w:sz w:val="18"/>
          <w:szCs w:val="18"/>
          <w:color w:val="auto"/>
        </w:rPr>
        <w:t>)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Borrower the additional reports or information reasonably specified by such Lender, and, upon receipt thereof from Borrower or such Subsidiary, Administrative Agent promptly shall provide a copy of same to such Lender, and (z) any time that Administrative Agent renders to Borrower a statement regarding the Loan Account, Administrative Agent shall send a copy of such statement to each Lender.</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Subject to the limitations set forth below, upon the occurrence and during the continuance of an Event of Default, Administrative Agent is authorized by Borrower and the Lenders, from time to time in Administrative Agent’s sole discretion (but Administrative Agent shall have absolutely no obligation to), to make disbursements or advances to Borrower,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Borrower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Protective Advances may be made even if the conditions precedent set forth in Article III have not been satisfied. The interest rate on all Protective Advances shall be at the Base Rate plus the Applicable Margin. Each Protective Advance shall be secured by the Liens in favor of the Administrative Agent in and to the Collateral and shall constitute Obligations hereunder. The Protective Advances shall constitute Obligations hereunder that may be charged to the Loan Account in accordance with </w:t>
      </w:r>
      <w:r>
        <w:rPr>
          <w:rFonts w:ascii="Times New Roman" w:cs="Times New Roman" w:eastAsia="Times New Roman" w:hAnsi="Times New Roman"/>
          <w:sz w:val="18"/>
          <w:szCs w:val="18"/>
          <w:u w:val="single" w:color="auto"/>
          <w:color w:val="auto"/>
        </w:rPr>
        <w:t>Section 2.12(i)</w:t>
      </w:r>
      <w:r>
        <w:rPr>
          <w:rFonts w:ascii="Times New Roman" w:cs="Times New Roman" w:eastAsia="Times New Roman" w:hAnsi="Times New Roman"/>
          <w:sz w:val="18"/>
          <w:szCs w:val="18"/>
          <w:color w:val="auto"/>
        </w:rPr>
        <w:t xml:space="preserve">. Borrower shall pay the unpaid principal amount and all unpaid and accrued interest of each Protective Advance on the earlier of the Term Loan Maturity Date and the date on which demand for payment is made by Administrative Agent. Administrative Agent shall notify each Lender and Borrower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Effective Rate for three (3) Business Days and thereafter at the Base 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0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Administrative Agent has determined in its sole discretion (whether or not after receipt of any notice under immediately succeeding clause (b)) that any funds (as set forth in such notice from Administrative Agent)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Administrative Agent pending its return or repayment as contemplated below in this Section‎ 9.12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Administrative Agent to any Payment Recipient under this clause (a) shall be conclusive, absent manifest error.</w:t>
      </w:r>
    </w:p>
    <w:p>
      <w:pPr>
        <w:spacing w:after="0" w:line="194" w:lineRule="exact"/>
        <w:rPr>
          <w:rFonts w:ascii="Times New Roman" w:cs="Times New Roman" w:eastAsia="Times New Roman" w:hAnsi="Times New Roman"/>
          <w:sz w:val="18"/>
          <w:szCs w:val="18"/>
          <w:color w:val="auto"/>
        </w:rPr>
      </w:pPr>
    </w:p>
    <w:p>
      <w:pPr>
        <w:jc w:val="both"/>
        <w:ind w:left="-660" w:firstLine="1304"/>
        <w:spacing w:after="0" w:line="255" w:lineRule="auto"/>
        <w:tabs>
          <w:tab w:leader="none" w:pos="10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auto"/>
        </w:rPr>
      </w:pPr>
    </w:p>
    <w:p>
      <w:pPr>
        <w:ind w:left="4840" w:hanging="112"/>
        <w:spacing w:after="0"/>
        <w:tabs>
          <w:tab w:leader="none" w:pos="48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-2476500</wp:posOffset>
            </wp:positionV>
            <wp:extent cx="5708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04" w:name="page205"/>
    <w:bookmarkEnd w:id="204"/>
    <w:p>
      <w:pPr>
        <w:jc w:val="both"/>
        <w:ind w:firstLine="1628"/>
        <w:spacing w:after="0" w:line="266" w:lineRule="auto"/>
        <w:tabs>
          <w:tab w:leader="none" w:pos="205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firstLine="1628"/>
        <w:spacing w:after="0" w:line="261" w:lineRule="auto"/>
        <w:tabs>
          <w:tab w:leader="none" w:pos="214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use commercially reasonable efforts to cause any other recipient that receives funds on its respective behalf to) promptly (and, in all events, within one (1) Business Day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Administrative Agent pursuant to this Section‎ 9.12(b) shall not have any effect on a Payment Recipient’s obligations pursuant to Section‎ 9.12(a)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-185420</wp:posOffset>
            </wp:positionV>
            <wp:extent cx="7042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-48260</wp:posOffset>
            </wp:positionV>
            <wp:extent cx="6978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61" w:lineRule="auto"/>
        <w:tabs>
          <w:tab w:leader="none" w:pos="16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Administrative Agent to set off, net and apply any and all amounts at any time owing to such Lender under any Loan Document, or otherwise payable or distributable by Administrative Agent to such Lender under any Loan Document with respect to any payment of principal, interest, fees or other amounts, against any amount that Administrative Agent has demanded to be returned under immediately preceding clause (a).</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provided that this Section‎ 9.12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immediately preceding clauses (x) and (y) shall not apply to the extent any such Erroneous Payment is, and solely with respect to the amount of such Erroneous Payment that is, comprised of funds received by Administrative Agent from, or on behalf of (including through the exercise of remedies under any Loan Document), the Borrower for the purpose of a payment on the Obligations.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-1653540</wp:posOffset>
            </wp:positionV>
            <wp:extent cx="5708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p>
      <w:pPr>
        <w:jc w:val="both"/>
        <w:ind w:firstLine="1304"/>
        <w:spacing w:after="0" w:line="266" w:lineRule="auto"/>
        <w:tabs>
          <w:tab w:leader="none" w:pos="1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survive the resignation or replacement of Administrative Agent, any transfer of rights or obligations by, or the replacement of, a Lender, or the repayment, satisfaction or discharge of all Obligations (or any portion thereof) under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67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Unless otherwise specifically provided herein, any notice or other communication herein required or permitted to be given to a Loan Party or Administrative Agent, shall be sent to such Person’s address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in the other relevant Loan Document, and in the case of any Lender, the address as indicated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notice to Administrative Agent shall be effective until received by Administrative Agent.</w:t>
      </w:r>
    </w:p>
    <w:p>
      <w:pPr>
        <w:spacing w:after="0" w:line="18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19" w:lineRule="exact"/>
        <w:tabs>
          <w:tab w:leader="none" w:pos="198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and Internet or intranet websites) pursuant to procedures approved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Administrative Agent that it is incapable of receiving notices under such Article by electronic communication.</w:t>
      </w:r>
    </w:p>
    <w:p>
      <w:pPr>
        <w:spacing w:after="0" w:line="202" w:lineRule="exact"/>
        <w:rPr>
          <w:rFonts w:ascii="Times New Roman" w:cs="Times New Roman" w:eastAsia="Times New Roman" w:hAnsi="Times New Roman"/>
          <w:sz w:val="18"/>
          <w:szCs w:val="18"/>
          <w:color w:val="auto"/>
        </w:rPr>
      </w:pPr>
    </w:p>
    <w:p>
      <w:pPr>
        <w:jc w:val="both"/>
        <w:ind w:firstLine="1628"/>
        <w:spacing w:after="0" w:line="255" w:lineRule="auto"/>
        <w:tabs>
          <w:tab w:leader="none" w:pos="208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8"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Whether or not the transactions contemplated hereby shall be consummated, Borrower agrees to pay promptly (or, in the case of costs, fees, expenses and disbursements incurred after the Closing Date, within [***] days of receipt of an invoice) (a) all of Administrative Agent’s actual, reasonable and documented out-of-pocket costs and expenses of preparation, negotiation, execution and administration of the Loan Documents and any consents, amendments, waivers or other modifications thereto; (b) all the actual, reasonable and documented out-of-pocket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Borrower; (c) all the actual, reasonable and documented out-of-pocket costs and expenses of creating and perfecting Liens in favor of Administrative Agent, for the benefit of Secured Parties, including filing and recording fees, expenses and taxes, stamp or documentary taxes, search fees, title insurance premiums and reasonable and documented out-of-pocket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Agent’s actual, reasonable and documented out-of-pocket fees, expenses for, and disbursements of any of Administrative Agent’s auditors, accountants, consultants or appraisers, and all reasonable attorneys’ fees incurred by Administrative Agent; (e) all the actual, reasonable and documented out-of-pocket costs and expenses (including the reasonable and documented out-of-pocket fees, expenses and disbursements of any appraisers, consultants, advisors and agents employed or retained by Administrative Agent and its counsel (in each case, external only)) in connection with the custody or preservation of any of the Collateral; (f) all the actual, reasonable and documented out-of-pocket costs and expenses of Administrative Agent and Lenders in connection with the attendance at any meetings in connection with this Agreement and the other Loan Documents (including the meetings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(g) all other actual, reasonable and documented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and documented out-of-pocket attorneys’ fees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 In each case, in the case of counsel, Borrower will only be required to reimburse expenses of one firm of counsel (in the absence of an actual or perceived conflict), one additional local counsel in each relevant jurisdiction, one intellectual property counsel and such other special counsel subject in the case of such other special counsel to Borrower’s consent (such consent not to be unreasonably withheld, conditioned or delayed).</w:t>
      </w:r>
    </w:p>
    <w:p>
      <w:pPr>
        <w:spacing w:after="0" w:line="20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9" w:lineRule="auto"/>
        <w:tabs>
          <w:tab w:leader="none" w:pos="1933"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PAYMENT OF EXPENSES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FROM AND AGAINST ANY AND ALL INDEMNIFIED LIABILITIES, </w:t>
      </w:r>
      <w:r>
        <w:rPr>
          <w:rFonts w:ascii="Times New Roman" w:cs="Times New Roman" w:eastAsia="Times New Roman" w:hAnsi="Times New Roman"/>
          <w:sz w:val="17"/>
          <w:szCs w:val="17"/>
          <w:b w:val="1"/>
          <w:bCs w:val="1"/>
          <w:color w:val="auto"/>
        </w:rPr>
        <w:t>IN ALL</w:t>
      </w:r>
    </w:p>
    <w:p>
      <w:pPr>
        <w:spacing w:after="0" w:line="2"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CASES, 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LOAN PARTY SHALL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 THIS SECTION 10.3 SHALL NOT APPLY WITH RESPECT TO TAXES OTHER THAN ANY TAXES THAT REPRESENT LOSSES, CLAIMS, DAMAGES, ETC. ARISING FROM ANY NON-TAX CLAIM.</w:t>
      </w:r>
    </w:p>
    <w:p>
      <w:pPr>
        <w:spacing w:after="0" w:line="192" w:lineRule="exact"/>
        <w:rPr>
          <w:rFonts w:ascii="Times New Roman" w:cs="Times New Roman" w:eastAsia="Times New Roman" w:hAnsi="Times New Roman"/>
          <w:sz w:val="17"/>
          <w:szCs w:val="17"/>
          <w:color w:val="auto"/>
        </w:rPr>
      </w:pPr>
    </w:p>
    <w:p>
      <w:pPr>
        <w:ind w:left="5500" w:hanging="112"/>
        <w:spacing w:after="0"/>
        <w:tabs>
          <w:tab w:leader="none" w:pos="55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p>
      <w:pPr>
        <w:jc w:val="both"/>
        <w:ind w:firstLine="1304"/>
        <w:spacing w:after="0" w:line="253" w:lineRule="auto"/>
        <w:tabs>
          <w:tab w:leader="none" w:pos="178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Borrower hereby waives, releases and agrees not to sue upon any such claim or any such damages, whether or not accrued and whether or not known or suspected to exist in its favor. Notwithstanding any provision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the contrary, no Loan Party shall have any liability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for any special, indirect, consequential or punitive damages (as opposed to direct or actual damages), except that, nothing in this sentence shall limit the Loan Party’s obligation to indemnify and hold harmless the Indemnitee for any third party claims for which the Indemnitees are entitled to be held harmless and indemnified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now or hereafter granted under applicable law and not by way of limitation of any 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and liabilities, or any of them, may be contingent or unmatured or</w:t>
      </w:r>
    </w:p>
    <w:p>
      <w:pPr>
        <w:spacing w:after="0" w:line="5" w:lineRule="exact"/>
        <w:rPr>
          <w:sz w:val="20"/>
          <w:szCs w:val="20"/>
          <w:color w:val="auto"/>
        </w:rPr>
      </w:pPr>
    </w:p>
    <w:p>
      <w:pPr>
        <w:ind w:firstLine="8"/>
        <w:spacing w:after="0" w:line="260" w:lineRule="auto"/>
        <w:tabs>
          <w:tab w:leader="none" w:pos="2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or liability is owed to a branch or office of such Lender different from the branch or office holding such deposit or obligation or such Indebtedness.</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68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Lenders’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no amendment, modification, termination or waiver of any provision of the Loan Documents, or consent to any departure by any Loan Party therefrom, shall in any event be effective without the written consent of Administrative Agent and the Required Lenders.</w:t>
      </w:r>
    </w:p>
    <w:p>
      <w:pPr>
        <w:spacing w:after="0" w:line="175"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ind w:left="-660" w:right="20" w:firstLine="1304"/>
        <w:spacing w:after="0" w:line="282" w:lineRule="auto"/>
        <w:tabs>
          <w:tab w:leader="none" w:pos="105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Lenders’ Consent</w:t>
      </w:r>
      <w:r>
        <w:rPr>
          <w:rFonts w:ascii="Times New Roman" w:cs="Times New Roman" w:eastAsia="Times New Roman" w:hAnsi="Times New Roman"/>
          <w:sz w:val="18"/>
          <w:szCs w:val="18"/>
          <w:color w:val="auto"/>
        </w:rPr>
        <w:t>. Without the written consent of each Lender (other than a Defaulting Lender) directly affected thereby, no amendment, modification, termination, or consent shall be effective if the effect thereof would:</w:t>
      </w:r>
    </w:p>
    <w:p>
      <w:pPr>
        <w:spacing w:after="0" w:line="161" w:lineRule="exact"/>
        <w:rPr>
          <w:rFonts w:ascii="Times New Roman" w:cs="Times New Roman" w:eastAsia="Times New Roman" w:hAnsi="Times New Roman"/>
          <w:sz w:val="18"/>
          <w:szCs w:val="18"/>
          <w:color w:val="auto"/>
        </w:rPr>
      </w:pPr>
    </w:p>
    <w:p>
      <w:pPr>
        <w:ind w:left="1320" w:hanging="352"/>
        <w:spacing w:after="0"/>
        <w:tabs>
          <w:tab w:leader="none" w:pos="13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scheduled final maturity of any Loan or Note;</w:t>
      </w:r>
    </w:p>
    <w:p>
      <w:pPr>
        <w:spacing w:after="0" w:line="225" w:lineRule="exact"/>
        <w:rPr>
          <w:rFonts w:ascii="Times New Roman" w:cs="Times New Roman" w:eastAsia="Times New Roman" w:hAnsi="Times New Roman"/>
          <w:sz w:val="18"/>
          <w:szCs w:val="18"/>
          <w:color w:val="auto"/>
        </w:rPr>
      </w:pPr>
    </w:p>
    <w:p>
      <w:pPr>
        <w:ind w:left="1360" w:hanging="392"/>
        <w:spacing w:after="0"/>
        <w:tabs>
          <w:tab w:leader="none" w:pos="1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scheduled repayment (but not prepayment);</w:t>
      </w:r>
    </w:p>
    <w:p>
      <w:pPr>
        <w:spacing w:after="0" w:line="225" w:lineRule="exact"/>
        <w:rPr>
          <w:rFonts w:ascii="Times New Roman" w:cs="Times New Roman" w:eastAsia="Times New Roman" w:hAnsi="Times New Roman"/>
          <w:sz w:val="18"/>
          <w:szCs w:val="18"/>
          <w:color w:val="auto"/>
        </w:rPr>
      </w:pPr>
    </w:p>
    <w:p>
      <w:pPr>
        <w:ind w:left="-660" w:firstLine="1628"/>
        <w:spacing w:after="0" w:line="282" w:lineRule="auto"/>
        <w:tabs>
          <w:tab w:leader="none" w:pos="149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or any fee payable hereunder;</w:t>
      </w:r>
    </w:p>
    <w:p>
      <w:pPr>
        <w:spacing w:after="0" w:line="161" w:lineRule="exact"/>
        <w:rPr>
          <w:rFonts w:ascii="Times New Roman" w:cs="Times New Roman" w:eastAsia="Times New Roman" w:hAnsi="Times New Roman"/>
          <w:sz w:val="18"/>
          <w:szCs w:val="18"/>
          <w:color w:val="auto"/>
        </w:rPr>
      </w:pPr>
    </w:p>
    <w:p>
      <w:pPr>
        <w:ind w:left="1400" w:hanging="432"/>
        <w:spacing w:after="0"/>
        <w:tabs>
          <w:tab w:leader="none" w:pos="1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any such interest or fees;</w:t>
      </w:r>
    </w:p>
    <w:p>
      <w:pPr>
        <w:spacing w:after="0" w:line="225" w:lineRule="exact"/>
        <w:rPr>
          <w:rFonts w:ascii="Times New Roman" w:cs="Times New Roman" w:eastAsia="Times New Roman" w:hAnsi="Times New Roman"/>
          <w:sz w:val="18"/>
          <w:szCs w:val="18"/>
          <w:color w:val="auto"/>
        </w:rPr>
      </w:pPr>
    </w:p>
    <w:p>
      <w:pPr>
        <w:ind w:left="1360" w:hanging="392"/>
        <w:spacing w:after="0"/>
        <w:tabs>
          <w:tab w:leader="none" w:pos="1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Loan;</w:t>
      </w:r>
    </w:p>
    <w:p>
      <w:pPr>
        <w:spacing w:after="0" w:line="225" w:lineRule="exact"/>
        <w:rPr>
          <w:rFonts w:ascii="Times New Roman" w:cs="Times New Roman" w:eastAsia="Times New Roman" w:hAnsi="Times New Roman"/>
          <w:sz w:val="18"/>
          <w:szCs w:val="18"/>
          <w:color w:val="auto"/>
        </w:rPr>
      </w:pPr>
    </w:p>
    <w:p>
      <w:pPr>
        <w:ind w:left="1400" w:hanging="432"/>
        <w:spacing w:after="0"/>
        <w:tabs>
          <w:tab w:leader="none" w:pos="14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hanging="492"/>
        <w:spacing w:after="0"/>
        <w:tabs>
          <w:tab w:leader="none" w:pos="14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“Required Lenders” or “Pro Rata Share”;</w:t>
      </w:r>
    </w:p>
    <w:p>
      <w:pPr>
        <w:spacing w:after="0" w:line="225" w:lineRule="exact"/>
        <w:rPr>
          <w:rFonts w:ascii="Times New Roman" w:cs="Times New Roman" w:eastAsia="Times New Roman" w:hAnsi="Times New Roman"/>
          <w:sz w:val="18"/>
          <w:szCs w:val="18"/>
          <w:color w:val="auto"/>
        </w:rPr>
      </w:pPr>
    </w:p>
    <w:p>
      <w:pPr>
        <w:ind w:left="-660" w:right="20" w:firstLine="1628"/>
        <w:spacing w:after="0" w:line="282" w:lineRule="auto"/>
        <w:tabs>
          <w:tab w:leader="none" w:pos="159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or all or substantially all of the Guarantors from the Guaranty except as expressly provided in the Loan Documents;</w:t>
      </w:r>
    </w:p>
    <w:p>
      <w:pPr>
        <w:spacing w:after="0" w:line="161" w:lineRule="exact"/>
        <w:rPr>
          <w:rFonts w:ascii="Times New Roman" w:cs="Times New Roman" w:eastAsia="Times New Roman" w:hAnsi="Times New Roman"/>
          <w:sz w:val="18"/>
          <w:szCs w:val="18"/>
          <w:color w:val="auto"/>
        </w:rPr>
      </w:pPr>
    </w:p>
    <w:p>
      <w:pPr>
        <w:jc w:val="both"/>
        <w:ind w:left="-660" w:firstLine="1628"/>
        <w:spacing w:after="0" w:line="266" w:lineRule="auto"/>
        <w:tabs>
          <w:tab w:leader="none" w:pos="142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subordinate any of the Obligations or (y) any Lien created by this Agreement or any other Loan Document, except, in the case of this clause (y), Permitted Product Transaction or other transaction expressly permitted hereunder that is contemplated to have priority over the Liens securing the Obligations; or</w:t>
      </w:r>
    </w:p>
    <w:p>
      <w:pPr>
        <w:spacing w:after="0" w:line="175" w:lineRule="exact"/>
        <w:rPr>
          <w:rFonts w:ascii="Times New Roman" w:cs="Times New Roman" w:eastAsia="Times New Roman" w:hAnsi="Times New Roman"/>
          <w:sz w:val="18"/>
          <w:szCs w:val="18"/>
          <w:color w:val="auto"/>
        </w:rPr>
      </w:pPr>
    </w:p>
    <w:p>
      <w:pPr>
        <w:ind w:left="1360" w:hanging="392"/>
        <w:spacing w:after="0"/>
        <w:tabs>
          <w:tab w:leader="none" w:pos="1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Loan Party of any of its rights and obligations under any Loan Document.</w:t>
      </w:r>
    </w:p>
    <w:p>
      <w:pPr>
        <w:spacing w:after="0" w:line="225"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06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0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Amendments, Etc.</w:t>
      </w:r>
      <w:r>
        <w:rPr>
          <w:rFonts w:ascii="Times New Roman" w:cs="Times New Roman" w:eastAsia="Times New Roman" w:hAnsi="Times New Roman"/>
          <w:sz w:val="18"/>
          <w:szCs w:val="18"/>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binding upon each Lender at the time outstanding, each future Lender and, if signed by a Loan Party, on such Loan Party.</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6" w:lineRule="auto"/>
        <w:tabs>
          <w:tab w:leader="none" w:pos="10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Indemnitees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87" w:lineRule="exact"/>
        <w:rPr>
          <w:rFonts w:ascii="Times New Roman" w:cs="Times New Roman" w:eastAsia="Times New Roman" w:hAnsi="Times New Roman"/>
          <w:sz w:val="18"/>
          <w:szCs w:val="18"/>
          <w:color w:val="auto"/>
        </w:rPr>
      </w:pPr>
    </w:p>
    <w:p>
      <w:pPr>
        <w:ind w:left="4840" w:hanging="112"/>
        <w:spacing w:after="0"/>
        <w:tabs>
          <w:tab w:leader="none" w:pos="48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09" w:name="page210"/>
    <w:bookmarkEnd w:id="209"/>
    <w:p>
      <w:pPr>
        <w:jc w:val="both"/>
        <w:ind w:left="-1120" w:firstLine="1304"/>
        <w:spacing w:after="0" w:line="256" w:lineRule="auto"/>
        <w:tabs>
          <w:tab w:leader="none" w:pos="64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the Register</w:t>
      </w:r>
      <w:r>
        <w:rPr>
          <w:rFonts w:ascii="Times New Roman" w:cs="Times New Roman" w:eastAsia="Times New Roman" w:hAnsi="Times New Roman"/>
          <w:sz w:val="18"/>
          <w:szCs w:val="18"/>
          <w:color w:val="auto"/>
        </w:rPr>
        <w:t xml:space="preserve">. Borrower, Administrative Agent and Lenders shall, in accordance with the Register provisions of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18"/>
          <w:szCs w:val="18"/>
          <w:u w:val="single" w:color="auto"/>
          <w:color w:val="auto"/>
        </w:rPr>
        <w:t>Section 10.6(e)</w:t>
      </w:r>
      <w:r>
        <w:rPr>
          <w:rFonts w:ascii="Times New Roman" w:cs="Times New Roman" w:eastAsia="Times New Roman" w:hAnsi="Times New Roman"/>
          <w:sz w:val="18"/>
          <w:szCs w:val="18"/>
          <w:color w:val="auto"/>
        </w:rPr>
        <w:t>. Prior to such recordation, all amounts owed with respect to the applicable Term Loan Commitment or Loan shall be owed to the Lender listed in the Register as the owner thereof.</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8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Assign</w:t>
      </w:r>
      <w:r>
        <w:rPr>
          <w:rFonts w:ascii="Times New Roman" w:cs="Times New Roman" w:eastAsia="Times New Roman" w:hAnsi="Times New Roman"/>
          <w:sz w:val="18"/>
          <w:szCs w:val="18"/>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such assignment shall be of a uniform, and not varying, percentage of all rights and obligations under and in respect of any Loan and any related Commitments):</w:t>
      </w:r>
    </w:p>
    <w:p>
      <w:pPr>
        <w:spacing w:after="0" w:line="179" w:lineRule="exact"/>
        <w:rPr>
          <w:rFonts w:ascii="Times New Roman" w:cs="Times New Roman" w:eastAsia="Times New Roman" w:hAnsi="Times New Roman"/>
          <w:sz w:val="18"/>
          <w:szCs w:val="18"/>
          <w:color w:val="auto"/>
        </w:rPr>
      </w:pPr>
    </w:p>
    <w:p>
      <w:pPr>
        <w:ind w:left="-1120" w:firstLine="1628"/>
        <w:spacing w:after="0" w:line="282" w:lineRule="auto"/>
        <w:tabs>
          <w:tab w:leader="none" w:pos="887"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(other than a Disqualified Institution) meeting the criteria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the term of “Eligible Assignee” upon the giving of notice to Borrower and Administrative Agent;</w:t>
      </w:r>
    </w:p>
    <w:p>
      <w:pPr>
        <w:spacing w:after="0" w:line="161" w:lineRule="exact"/>
        <w:rPr>
          <w:rFonts w:ascii="Times New Roman" w:cs="Times New Roman" w:eastAsia="Times New Roman" w:hAnsi="Times New Roman"/>
          <w:sz w:val="18"/>
          <w:szCs w:val="18"/>
          <w:color w:val="auto"/>
        </w:rPr>
      </w:pPr>
    </w:p>
    <w:p>
      <w:pPr>
        <w:ind w:left="-1120" w:firstLine="1628"/>
        <w:spacing w:after="0" w:line="282" w:lineRule="auto"/>
        <w:tabs>
          <w:tab w:leader="none" w:pos="101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constituting an Eligible Assignee (other than a Disqualified Institution) with the consent of Borrower and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 and</w:t>
      </w:r>
    </w:p>
    <w:p>
      <w:pPr>
        <w:spacing w:after="0" w:line="161" w:lineRule="exact"/>
        <w:rPr>
          <w:rFonts w:ascii="Times New Roman" w:cs="Times New Roman" w:eastAsia="Times New Roman" w:hAnsi="Times New Roman"/>
          <w:sz w:val="18"/>
          <w:szCs w:val="18"/>
          <w:color w:val="auto"/>
        </w:rPr>
      </w:pPr>
    </w:p>
    <w:p>
      <w:pPr>
        <w:ind w:left="960" w:hanging="452"/>
        <w:spacing w:after="0"/>
        <w:tabs>
          <w:tab w:leader="none" w:pos="9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 Event of Default, to any Person (including any Disqualified Institution).</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7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2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Assignment</w:t>
      </w:r>
      <w:r>
        <w:rPr>
          <w:rFonts w:ascii="Times New Roman" w:cs="Times New Roman" w:eastAsia="Times New Roman" w:hAnsi="Times New Roman"/>
          <w:sz w:val="18"/>
          <w:szCs w:val="18"/>
          <w:color w:val="auto"/>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Borrower and shall maintain a copy of such Assignment Agreement.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4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Assignee</w:t>
      </w:r>
      <w:r>
        <w:rPr>
          <w:rFonts w:ascii="Times New Roman" w:cs="Times New Roman" w:eastAsia="Times New Roman" w:hAnsi="Times New Roman"/>
          <w:sz w:val="18"/>
          <w:szCs w:val="18"/>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and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w:t>
      </w:r>
    </w:p>
    <w:p>
      <w:pPr>
        <w:spacing w:after="0" w:line="187" w:lineRule="exact"/>
        <w:rPr>
          <w:rFonts w:ascii="Times New Roman" w:cs="Times New Roman" w:eastAsia="Times New Roman" w:hAnsi="Times New Roman"/>
          <w:sz w:val="18"/>
          <w:szCs w:val="18"/>
          <w:color w:val="auto"/>
        </w:rPr>
      </w:pPr>
    </w:p>
    <w:p>
      <w:pPr>
        <w:ind w:left="4380" w:hanging="112"/>
        <w:spacing w:after="0"/>
        <w:tabs>
          <w:tab w:leader="none" w:pos="438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0" w:name="page211"/>
    <w:bookmarkEnd w:id="210"/>
    <w:p>
      <w:pPr>
        <w:jc w:val="both"/>
        <w:ind w:left="-1120" w:firstLine="1304"/>
        <w:spacing w:after="0" w:line="252" w:lineRule="auto"/>
        <w:tabs>
          <w:tab w:leader="none" w:pos="56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Assignment</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that survive the termination hereof under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or assigning Lender, to such assignee or to such assigning Lender, with appropriate insertions, to reflect the new Commitments or outstanding Loans of the assignee or the assigning Lender.</w:t>
      </w:r>
    </w:p>
    <w:p>
      <w:pPr>
        <w:spacing w:after="0" w:line="197"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790"/>
        <w:spacing w:after="0" w:line="252" w:lineRule="auto"/>
        <w:tabs>
          <w:tab w:leader="none" w:pos="103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subject to the requirements and limitations of such Sections (it being understood that the documentation required under Section 2.15(d) shall be delivered solely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participant shall not be entitled to receive any greater payment under Section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though it were a Lender, provided such participant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w:t>
      </w:r>
    </w:p>
    <w:p>
      <w:pPr>
        <w:spacing w:after="0" w:line="191" w:lineRule="exact"/>
        <w:rPr>
          <w:rFonts w:ascii="Times New Roman" w:cs="Times New Roman" w:eastAsia="Times New Roman" w:hAnsi="Times New Roman"/>
          <w:sz w:val="18"/>
          <w:szCs w:val="18"/>
          <w:color w:val="auto"/>
        </w:rPr>
      </w:pPr>
    </w:p>
    <w:p>
      <w:pPr>
        <w:ind w:left="4380" w:hanging="112"/>
        <w:spacing w:after="0"/>
        <w:tabs>
          <w:tab w:leader="none" w:pos="4380"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1" w:name="page212"/>
    <w:bookmarkEnd w:id="211"/>
    <w:p>
      <w:pPr>
        <w:jc w:val="both"/>
        <w:ind w:firstLine="1628"/>
        <w:spacing w:after="0" w:line="252" w:lineRule="auto"/>
        <w:tabs>
          <w:tab w:leader="none" w:pos="204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sells participations in its Commitments, Loans or in any other Obligation hereunder, such Lender shall, acting solely for this purpose as a non-fiduciary agent of Borrower, maintain a register on which it enters the name and address of all participants in the Commitments, Loans or Obligations held by it and the principal amount (and stated interest thereon) of the portion of such Commitments, Loans or Obligations that are the subject of the participation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the Internal Revenue Code or Treasury Regulations, including without limitation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Borrower at any reasonable time and from time to time upon reasonable prior notice. For the avoidance of doubt, Administrative Agent (in its capacity as administrative agent) shall not have any responsibility for maintaining a Participant Register. The parties intend that any interest in or with respect to the Loans under this Agreement be treated as being issued and maintained in “registered form” within the meaning of Sections 163(f), 871(h)(2), and 881(c)(2) of the Internal Revenue Code and any regulations thereunder (and any successor provisions), including without limitation under United States Treasury Regulations Section 5f.103-1(c) and Proposed Regulations Section 1.163-5 (and any successor provisions).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Assignments</w:t>
      </w:r>
      <w:r>
        <w:rPr>
          <w:rFonts w:ascii="Times New Roman" w:cs="Times New Roman" w:eastAsia="Times New Roman" w:hAnsi="Times New Roman"/>
          <w:sz w:val="18"/>
          <w:szCs w:val="18"/>
          <w:color w:val="auto"/>
        </w:rPr>
        <w:t xml:space="preserve">. In addition to any other assignment permitted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any Lender or Administrative Agent may assign, pledge 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Lender or Administrative Agent, as between Borrower and such Lender or Administrative Agent, shall be relieved of any of its obligations hereunder as a result of any such assignment and pledge; provided further,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Survival of Representations, Warranties and Agreements</w:t>
      </w:r>
      <w:r>
        <w:rPr>
          <w:rFonts w:ascii="Times New Roman" w:cs="Times New Roman" w:eastAsia="Times New Roman" w:hAnsi="Times New Roman"/>
          <w:sz w:val="18"/>
          <w:szCs w:val="18"/>
          <w:color w:val="auto"/>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the agreements of Lenders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xml:space="preserve"> shall survive the payment of the Term Loans and the termination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xml:space="preserve">.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87"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10.13</w:t>
        <w:tab/>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xml:space="preserve">. For purposes of Sections 1272, 1273 and 1275 of the Internal Revenue Code, each Term Loan is being issued with original issue discount; please contact the Borrower as indicated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obtain information regarding the issue date, issue price, the amount of original issue discount and the yield to maturity.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10.17</w:t>
      </w:r>
      <w:r>
        <w:rPr>
          <w:sz w:val="20"/>
          <w:szCs w:val="20"/>
          <w:color w:val="auto"/>
        </w:rPr>
        <w:tab/>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8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JUDICIAL PROCEEDINGS BROUGHT AGAINST ANY PARTY HERETO ARISING OUT OF OR RELATING HERETO OR ANY OTHER LOAN DOCUMENT, OR ANY OF THE OBLIGATIONS, MAY BE BROUGHT IN ANY STATE OR FEDERAL COURT OF COMPETENT JURISDICTION IN THE STATE, COUNTY AND CITY OF NEW YORK. BY EXECUTING AND DELIVERING THIS AGREEMENT, EACH PARTY HERETO,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SUFFICIENT TO CONFER PERSONAL JURISDICTION OVER THE APPLICABLE LOAN PARTY IN ANY SUCH 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AGREES THAT PROCESS MAY BE SERVED ON IT BY CERTIFIED MAIL, RETURN RECEIPT REQUESTED, TO THE ADDRESSES PERTAINING TO IT AS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ANY AND ALL SERVICE OF PROCESS AND ANY OTHER NOTICE IN ANY SUCH ACTION, SUIT OR PROCEEDING SHALL BE EFFECTIVE AGAINST ANY LOAN PARTY IF GIVEN BY REGISTERED OR CERTIFIED MAIL, RETURN RECEIPT REQUESTED, OR BY ANY OTHER MEANS OR MAIL THAT REQUIRES A SIGNED RECEIPT, POSTAGE PREPAID, MAILED AS PROVIDED ABOVE.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4" w:name="page215"/>
    <w:bookmarkEnd w:id="21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Administrative Agent and Lender shall hold all non-public information regarding Borrower and its Subsidiaries and their businesses identified as such by Borrower and obtained by such Lender from Borrower or its Subsidiaries confidential, it being understood and agreed by Borrower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subject to such person entereing into a customary confidentiality agreement, (iii) disclosure to any rating agency when required by it, (iv) disclosure to any Lender’s financing sources,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financing source is subject to customary confidentiality obligations, (v) disclosures of such information to any actual or potential investors, members, and partners of Administrative Agent any Lender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unless specifically prohibited by applicable law or court order, Administrative Agent and Lender shall make reasonable efforts to notify Borrower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18"/>
          <w:szCs w:val="18"/>
          <w:u w:val="single" w:color="auto"/>
          <w:color w:val="auto"/>
        </w:rPr>
        <w:t>Trade Announcements</w:t>
      </w:r>
      <w:r>
        <w:rPr>
          <w:rFonts w:ascii="Times New Roman" w:cs="Times New Roman" w:eastAsia="Times New Roman" w:hAnsi="Times New Roman"/>
          <w:sz w:val="18"/>
          <w:szCs w:val="18"/>
          <w:color w:val="auto"/>
        </w:rPr>
        <w:t xml:space="preserve">”). No Loan Party shall (i) issue any Trade Announcement or (ii) disclose the name of any Administrative Agent or any Lender except in the case of clause (ii) (A) disclosures required by applicable law, regulation, legal process or the rules of the Securities and Exchange Commission, (B) on a confidential basis to the Borrower’s controlled Affiliates and Subsidiaries and the Borrower’s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(D) to a Tax authority, to the extent reasonably necessary in connection with the Tax affairs of the Borrower or any of its Affiliates or (E) with the prior approval of Administrative Agent and such Lender. The respective obligations of Administrative Agent and Lender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survive, to the extent applicable to such Person, for a period of two (2) years after the earliest of (x) the payment in full of the Obligations and the termination of this Agreement, (y) any assignment of its rights and obligations under this Agreement by such Person and (z) the resignation or removal of such Person as an Administrative Agent.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5" w:name="page216"/>
    <w:bookmarkEnd w:id="2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Usury Savings Clause</w:t>
      </w:r>
      <w:r>
        <w:rPr>
          <w:rFonts w:ascii="Times New Roman" w:cs="Times New Roman" w:eastAsia="Times New Roman" w:hAnsi="Times New Roman"/>
          <w:sz w:val="18"/>
          <w:szCs w:val="18"/>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that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that would have been due hereunder if the stated rates of interest set forth in this Agreement had at all times been in effect, then to the extent permitted by law, Borrower shall pay to Administrative Agent an amount equal to the difference between the amount of interest paid and the amount of interest that would have been paid if the Highest Lawful Rate had at all times been in effect. Notwithstanding the foregoing, it is the intention of Lenders and Borrower to conform strictly to any applicable usury laws. Accordingly, if any Lender contracts for, charges, or receives any consideration that constitutes interest in excess of the Highest Lawful Rate, then any such excess shall be cancelled automatically and, if previously paid, shall at such Lender’s option be applied to the outstanding amount of the Loans made hereunder or be refunded to Borrower.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upon the execution of a counterpart hereof by each of the parties hereto and receipt by Borrower and Administrative Agent of written notification of such execution and authorization of delivery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6" w:name="page217"/>
    <w:bookmarkEnd w:id="2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 Lender or Administrative Agent, as applicable, to identify the Loan Parties in connection with the PATRIOT 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xml:space="preserve">.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shall be to the fullest extent permitted under the Foreign Sovereign Immunities Act and are intended to be irrevocable for purposes of the Foreign Sovereign Immunities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Loan Party that is organized outside of the United States hereby appoints Borrower as its agent for the purpose of accepting service of any process in the United States with respect to any Loan Document and the transactions contemplated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-448310</wp:posOffset>
            </wp:positionV>
            <wp:extent cx="368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0" w:lineRule="exact"/>
        <w:rPr>
          <w:sz w:val="20"/>
          <w:szCs w:val="20"/>
          <w:color w:val="auto"/>
        </w:rPr>
      </w:pPr>
    </w:p>
    <w:p>
      <w:pPr>
        <w:ind w:firstLine="656"/>
        <w:spacing w:after="0" w:line="282" w:lineRule="auto"/>
        <w:tabs>
          <w:tab w:leader="none" w:pos="106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140" w:firstLine="2"/>
        <w:spacing w:after="0" w:line="261" w:lineRule="auto"/>
        <w:tabs>
          <w:tab w:leader="none" w:pos="156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140" w:firstLine="2"/>
        <w:spacing w:after="0" w:line="282" w:lineRule="auto"/>
        <w:tabs>
          <w:tab w:leader="none" w:pos="160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- 125 -</w:t>
      </w:r>
    </w:p>
    <w:p>
      <w:pPr>
        <w:sectPr>
          <w:pgSz w:w="11900" w:h="16838" w:orient="portrait"/>
          <w:cols w:equalWidth="0" w:num="1">
            <w:col w:w="11240"/>
          </w:cols>
          <w:pgMar w:left="320" w:top="580"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2024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2024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1)"/>
      <w:numFmt w:val="decimal"/>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lowerLetter"/>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amp;"/>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1)"/>
      <w:numFmt w:val="upperLetter"/>
      <w:start w:val="35"/>
    </w:lvl>
  </w:abstractNum>
  <w:abstractNum w:abstractNumId="43">
    <w:nsid w:val="3DD15094"/>
    <w:multiLevelType w:val="hybridMultilevel"/>
    <w:lvl w:ilvl="0">
      <w:lvlJc w:val="left"/>
      <w:lvlText w:val="(%1)"/>
      <w:numFmt w:val="lowerLetter"/>
      <w:start w:val="1"/>
    </w:lvl>
    <w:lvl w:ilvl="1">
      <w:lvlJc w:val="left"/>
      <w:lvlText w:val="(%2)"/>
      <w:numFmt w:val="lowerRoman"/>
      <w:start w:val="1"/>
    </w:lvl>
  </w:abstractNum>
  <w:abstractNum w:abstractNumId="44">
    <w:nsid w:val="3DB012B3"/>
    <w:multiLevelType w:val="hybridMultilevel"/>
    <w:lvl w:ilvl="0">
      <w:lvlJc w:val="left"/>
      <w:lvlText w:val="%1"/>
      <w:numFmt w:val="lowerRoman"/>
      <w:start w:val="1"/>
    </w:lvl>
    <w:lvl w:ilvl="1">
      <w:lvlJc w:val="left"/>
      <w:lvlText w:val="(%2)"/>
      <w:numFmt w:val="lowerRoman"/>
      <w:start w:val="4"/>
    </w:lvl>
  </w:abstractNum>
  <w:abstractNum w:abstractNumId="45">
    <w:nsid w:val="2708C9AF"/>
    <w:multiLevelType w:val="hybridMultilevel"/>
    <w:lvl w:ilvl="0">
      <w:lvlJc w:val="left"/>
      <w:lvlText w:val="(%1)"/>
      <w:numFmt w:val="lowerRoman"/>
      <w:start w:val="10"/>
    </w:lvl>
    <w:lvl w:ilvl="1">
      <w:lvlJc w:val="left"/>
      <w:lvlText w:val="(%2)"/>
      <w:numFmt w:val="lowerRoman"/>
      <w:start w:val="6"/>
    </w:lvl>
  </w:abstractNum>
  <w:abstractNum w:abstractNumId="46">
    <w:nsid w:val="5B25ACE2"/>
    <w:multiLevelType w:val="hybridMultilevel"/>
    <w:lvl w:ilvl="0">
      <w:lvlJc w:val="left"/>
      <w:lvlText w:val="(%1)"/>
      <w:numFmt w:val="lowerLetter"/>
      <w:start w:val="2"/>
    </w:lvl>
    <w:lvl w:ilvl="1">
      <w:lvlJc w:val="left"/>
      <w:lvlText w:val="(%2)"/>
      <w:numFmt w:val="lowerRoman"/>
      <w:start w:val="1"/>
    </w:lvl>
  </w:abstractNum>
  <w:abstractNum w:abstractNumId="47">
    <w:nsid w:val="175DFCF0"/>
    <w:multiLevelType w:val="hybridMultilevel"/>
    <w:lvl w:ilvl="0">
      <w:lvlJc w:val="left"/>
      <w:lvlText w:val="(%1)"/>
      <w:numFmt w:val="lowerRoman"/>
      <w:start w:val="1"/>
    </w:lvl>
    <w:lvl w:ilvl="1">
      <w:lvlJc w:val="left"/>
      <w:lvlText w:val="-"/>
      <w:numFmt w:val="bullet"/>
      <w:start w:val="1"/>
    </w:lvl>
  </w:abstractNum>
  <w:abstractNum w:abstractNumId="48">
    <w:nsid w:val="4F97E3E4"/>
    <w:multiLevelType w:val="hybridMultilevel"/>
    <w:lvl w:ilvl="0">
      <w:lvlJc w:val="left"/>
      <w:lvlText w:val="(%1)"/>
      <w:numFmt w:val="lowerRoman"/>
      <w:start w:val="4"/>
    </w:lvl>
  </w:abstractNum>
  <w:abstractNum w:abstractNumId="49">
    <w:nsid w:val="53B0A9E"/>
    <w:multiLevelType w:val="hybridMultilevel"/>
    <w:lvl w:ilvl="0">
      <w:lvlJc w:val="left"/>
      <w:lvlText w:val="(%1)"/>
      <w:numFmt w:val="lowerLetter"/>
      <w:start w:val="1"/>
    </w:lvl>
  </w:abstractNum>
  <w:abstractNum w:abstractNumId="50">
    <w:nsid w:val="34FD6B4F"/>
    <w:multiLevelType w:val="hybridMultilevel"/>
    <w:lvl w:ilvl="0">
      <w:lvlJc w:val="left"/>
      <w:lvlText w:val="(%1)"/>
      <w:numFmt w:val="lowerLetter"/>
      <w:start w:val="1"/>
    </w:lvl>
  </w:abstractNum>
  <w:abstractNum w:abstractNumId="51">
    <w:nsid w:val="5915FF32"/>
    <w:multiLevelType w:val="hybridMultilevel"/>
    <w:lvl w:ilvl="0">
      <w:lvlJc w:val="left"/>
      <w:lvlText w:val="(%1)"/>
      <w:numFmt w:val="lowerLetter"/>
      <w:start w:val="1"/>
    </w:lvl>
  </w:abstractNum>
  <w:abstractNum w:abstractNumId="52">
    <w:nsid w:val="56438D15"/>
    <w:multiLevelType w:val="hybridMultilevel"/>
    <w:lvl w:ilvl="0">
      <w:lvlJc w:val="left"/>
      <w:lvlText w:val="(%1)"/>
      <w:numFmt w:val="lowerLetter"/>
      <w:start w:val="1"/>
    </w:lvl>
    <w:lvl w:ilvl="1">
      <w:lvlJc w:val="left"/>
      <w:lvlText w:val="-"/>
      <w:numFmt w:val="bullet"/>
      <w:start w:val="1"/>
    </w:lvl>
  </w:abstractNum>
  <w:abstractNum w:abstractNumId="53">
    <w:nsid w:val="519E3149"/>
    <w:multiLevelType w:val="hybridMultilevel"/>
    <w:lvl w:ilvl="0">
      <w:lvlJc w:val="left"/>
      <w:lvlText w:val="(%1)"/>
      <w:numFmt w:val="lowerLetter"/>
      <w:start w:val="6"/>
    </w:lvl>
    <w:lvl w:ilvl="1">
      <w:lvlJc w:val="left"/>
      <w:lvlText w:val="-"/>
      <w:numFmt w:val="bullet"/>
      <w:start w:val="1"/>
    </w:lvl>
  </w:abstractNum>
  <w:abstractNum w:abstractNumId="54">
    <w:nsid w:val="2C6E4AFD"/>
    <w:multiLevelType w:val="hybridMultilevel"/>
    <w:lvl w:ilvl="0">
      <w:lvlJc w:val="left"/>
      <w:lvlText w:val="(%1)"/>
      <w:numFmt w:val="lowerRoman"/>
      <w:start w:val="1"/>
    </w:lvl>
  </w:abstractNum>
  <w:abstractNum w:abstractNumId="55">
    <w:nsid w:val="17A1B582"/>
    <w:multiLevelType w:val="hybridMultilevel"/>
    <w:lvl w:ilvl="0">
      <w:lvlJc w:val="left"/>
      <w:lvlText w:val="(%1)"/>
      <w:numFmt w:val="lowerLetter"/>
      <w:start w:val="1"/>
    </w:lvl>
  </w:abstractNum>
  <w:abstractNum w:abstractNumId="56">
    <w:nsid w:val="4DF72E4E"/>
    <w:multiLevelType w:val="hybridMultilevel"/>
    <w:lvl w:ilvl="0">
      <w:lvlJc w:val="left"/>
      <w:lvlText w:val="(%1)"/>
      <w:numFmt w:val="lowerLetter"/>
      <w:start w:val="2"/>
    </w:lvl>
  </w:abstractNum>
  <w:abstractNum w:abstractNumId="57">
    <w:nsid w:val="5046B5A9"/>
    <w:multiLevelType w:val="hybridMultilevel"/>
    <w:lvl w:ilvl="0">
      <w:lvlJc w:val="left"/>
      <w:lvlText w:val="(%1)"/>
      <w:numFmt w:val="lowerLetter"/>
      <w:start w:val="4"/>
    </w:lvl>
  </w:abstractNum>
  <w:abstractNum w:abstractNumId="58">
    <w:nsid w:val="5D888A08"/>
    <w:multiLevelType w:val="hybridMultilevel"/>
    <w:lvl w:ilvl="0">
      <w:lvlJc w:val="left"/>
      <w:lvlText w:val="(%1)"/>
      <w:numFmt w:val="lowerLetter"/>
      <w:start w:val="1"/>
    </w:lvl>
  </w:abstractNum>
  <w:abstractNum w:abstractNumId="59">
    <w:nsid w:val="2A082C70"/>
    <w:multiLevelType w:val="hybridMultilevel"/>
    <w:lvl w:ilvl="0">
      <w:lvlJc w:val="left"/>
      <w:lvlText w:val="(%1)"/>
      <w:numFmt w:val="lowerLetter"/>
      <w:start w:val="2"/>
    </w:lvl>
    <w:lvl w:ilvl="1">
      <w:lvlJc w:val="left"/>
      <w:lvlText w:val="-"/>
      <w:numFmt w:val="bullet"/>
      <w:start w:val="1"/>
    </w:lvl>
  </w:abstractNum>
  <w:abstractNum w:abstractNumId="60">
    <w:nsid w:val="5EC6AFD4"/>
    <w:multiLevelType w:val="hybridMultilevel"/>
    <w:lvl w:ilvl="0">
      <w:lvlJc w:val="left"/>
      <w:lvlText w:val="(%1)"/>
      <w:numFmt w:val="lowerLetter"/>
      <w:start w:val="7"/>
    </w:lvl>
  </w:abstractNum>
  <w:abstractNum w:abstractNumId="61">
    <w:nsid w:val="19E21BB2"/>
    <w:multiLevelType w:val="hybridMultilevel"/>
    <w:lvl w:ilvl="0">
      <w:lvlJc w:val="left"/>
      <w:lvlText w:val="(%1)"/>
      <w:numFmt w:val="lowerLetter"/>
      <w:start w:val="1"/>
    </w:lvl>
    <w:lvl w:ilvl="1">
      <w:lvlJc w:val="left"/>
      <w:lvlText w:val="-"/>
      <w:numFmt w:val="bullet"/>
      <w:start w:val="1"/>
    </w:lvl>
  </w:abstractNum>
  <w:abstractNum w:abstractNumId="62">
    <w:nsid w:val="75E0858A"/>
    <w:multiLevelType w:val="hybridMultilevel"/>
    <w:lvl w:ilvl="0">
      <w:lvlJc w:val="left"/>
      <w:lvlText w:val="(%1)"/>
      <w:numFmt w:val="lowerLetter"/>
      <w:start w:val="11"/>
    </w:lvl>
    <w:lvl w:ilvl="1">
      <w:lvlJc w:val="left"/>
      <w:lvlText w:val="-"/>
      <w:numFmt w:val="bullet"/>
      <w:start w:val="1"/>
    </w:lvl>
  </w:abstractNum>
  <w:abstractNum w:abstractNumId="63">
    <w:nsid w:val="57A61A29"/>
    <w:multiLevelType w:val="hybridMultilevel"/>
    <w:lvl w:ilvl="0">
      <w:lvlJc w:val="left"/>
      <w:lvlText w:val="(%1)"/>
      <w:numFmt w:val="lowerRoman"/>
      <w:start w:val="10"/>
    </w:lvl>
  </w:abstractNum>
  <w:abstractNum w:abstractNumId="64">
    <w:nsid w:val="5399C654"/>
    <w:multiLevelType w:val="hybridMultilevel"/>
    <w:lvl w:ilvl="0">
      <w:lvlJc w:val="left"/>
      <w:lvlText w:val="(%1)"/>
      <w:numFmt w:val="lowerLetter"/>
      <w:start w:val="1"/>
    </w:lvl>
    <w:lvl w:ilvl="1">
      <w:lvlJc w:val="left"/>
      <w:lvlText w:val="-"/>
      <w:numFmt w:val="bullet"/>
      <w:start w:val="1"/>
    </w:lvl>
  </w:abstractNum>
  <w:abstractNum w:abstractNumId="65">
    <w:nsid w:val="20EE1348"/>
    <w:multiLevelType w:val="hybridMultilevel"/>
    <w:lvl w:ilvl="0">
      <w:lvlJc w:val="left"/>
      <w:lvlText w:val="(%1)"/>
      <w:numFmt w:val="lowerLetter"/>
      <w:start w:val="10"/>
    </w:lvl>
  </w:abstractNum>
  <w:abstractNum w:abstractNumId="66">
    <w:nsid w:val="4427069A"/>
    <w:multiLevelType w:val="hybridMultilevel"/>
    <w:lvl w:ilvl="0">
      <w:lvlJc w:val="left"/>
      <w:lvlText w:val="(%1)"/>
      <w:numFmt w:val="lowerLetter"/>
      <w:start w:val="1"/>
    </w:lvl>
    <w:lvl w:ilvl="1">
      <w:lvlJc w:val="left"/>
      <w:lvlText w:val="-"/>
      <w:numFmt w:val="bullet"/>
      <w:start w:val="1"/>
    </w:lvl>
  </w:abstractNum>
  <w:abstractNum w:abstractNumId="67">
    <w:nsid w:val="B37E80A"/>
    <w:multiLevelType w:val="hybridMultilevel"/>
    <w:lvl w:ilvl="0">
      <w:lvlJc w:val="left"/>
      <w:lvlText w:val="(%1)"/>
      <w:numFmt w:val="lowerLetter"/>
      <w:start w:val="14"/>
    </w:lvl>
    <w:lvl w:ilvl="1">
      <w:lvlJc w:val="left"/>
      <w:lvlText w:val="-"/>
      <w:numFmt w:val="bullet"/>
      <w:start w:val="1"/>
    </w:lvl>
  </w:abstractNum>
  <w:abstractNum w:abstractNumId="68">
    <w:nsid w:val="2157F6BC"/>
    <w:multiLevelType w:val="hybridMultilevel"/>
    <w:lvl w:ilvl="0">
      <w:lvlJc w:val="left"/>
      <w:lvlText w:val="(%1)"/>
      <w:numFmt w:val="lowerLetter"/>
      <w:start w:val="27"/>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Letter"/>
      <w:start w:val="1"/>
    </w:lvl>
  </w:abstractNum>
  <w:abstractNum w:abstractNumId="71">
    <w:nsid w:val="BFFAE18"/>
    <w:multiLevelType w:val="hybridMultilevel"/>
    <w:lvl w:ilvl="0">
      <w:lvlJc w:val="left"/>
      <w:lvlText w:val="%1"/>
      <w:numFmt w:val="upperLetter"/>
      <w:start w:val="1"/>
    </w:lvl>
    <w:lvl w:ilvl="1">
      <w:lvlJc w:val="left"/>
      <w:lvlText w:val="(%2)"/>
      <w:numFmt w:val="lowerLetter"/>
      <w:start w:val="1"/>
    </w:lvl>
  </w:abstractNum>
  <w:abstractNum w:abstractNumId="72">
    <w:nsid w:val="E3E47A8"/>
    <w:multiLevelType w:val="hybridMultilevel"/>
    <w:lvl w:ilvl="0">
      <w:lvlJc w:val="left"/>
      <w:lvlText w:val="(%1)"/>
      <w:numFmt w:val="upperLetter"/>
      <w:start w:val="1"/>
    </w:lvl>
    <w:lvl w:ilvl="1">
      <w:lvlJc w:val="left"/>
      <w:lvlText w:val="(%2)"/>
      <w:numFmt w:val="lowerLetter"/>
      <w:start w:val="2"/>
    </w:lvl>
  </w:abstractNum>
  <w:abstractNum w:abstractNumId="73">
    <w:nsid w:val="2E48F044"/>
    <w:multiLevelType w:val="hybridMultilevel"/>
    <w:lvl w:ilvl="0">
      <w:lvlJc w:val="left"/>
      <w:lvlText w:val="(%1)"/>
      <w:numFmt w:val="lowerRoman"/>
      <w:start w:val="1"/>
    </w:lvl>
  </w:abstractNum>
  <w:abstractNum w:abstractNumId="74">
    <w:nsid w:val="49D0FEAC"/>
    <w:multiLevelType w:val="hybridMultilevel"/>
    <w:lvl w:ilvl="0">
      <w:lvlJc w:val="left"/>
      <w:lvlText w:val="(%1)"/>
      <w:numFmt w:val="lowerLetter"/>
      <w:start w:val="1"/>
    </w:lvl>
  </w:abstractNum>
  <w:abstractNum w:abstractNumId="75">
    <w:nsid w:val="4BEE5A5B"/>
    <w:multiLevelType w:val="hybridMultilevel"/>
    <w:lvl w:ilvl="0">
      <w:lvlJc w:val="left"/>
      <w:lvlText w:val="(%1)"/>
      <w:numFmt w:val="lowerLetter"/>
      <w:start w:val="1"/>
    </w:lvl>
  </w:abstractNum>
  <w:abstractNum w:abstractNumId="76">
    <w:nsid w:val="5551B9F3"/>
    <w:multiLevelType w:val="hybridMultilevel"/>
    <w:lvl w:ilvl="0">
      <w:lvlJc w:val="left"/>
      <w:lvlText w:val="(%1)"/>
      <w:numFmt w:val="lowerLetter"/>
      <w:start w:val="1"/>
    </w:lvl>
  </w:abstractNum>
  <w:abstractNum w:abstractNumId="77">
    <w:nsid w:val="24F6AB8E"/>
    <w:multiLevelType w:val="hybridMultilevel"/>
    <w:lvl w:ilvl="0">
      <w:lvlJc w:val="left"/>
      <w:lvlText w:val="(%1)"/>
      <w:numFmt w:val="lowerLetter"/>
      <w:start w:val="1"/>
    </w:lvl>
    <w:lvl w:ilvl="1">
      <w:lvlJc w:val="left"/>
      <w:lvlText w:val="-"/>
      <w:numFmt w:val="bullet"/>
      <w:start w:val="1"/>
    </w:lvl>
  </w:abstractNum>
  <w:abstractNum w:abstractNumId="78">
    <w:nsid w:val="634C574C"/>
    <w:multiLevelType w:val="hybridMultilevel"/>
    <w:lvl w:ilvl="0">
      <w:lvlJc w:val="left"/>
      <w:lvlText w:val="(%1)"/>
      <w:numFmt w:val="lowerLetter"/>
      <w:start w:val="2"/>
    </w:lvl>
  </w:abstractNum>
  <w:abstractNum w:abstractNumId="79">
    <w:nsid w:val="24E99DD7"/>
    <w:multiLevelType w:val="hybridMultilevel"/>
    <w:lvl w:ilvl="0">
      <w:lvlJc w:val="left"/>
      <w:lvlText w:val="(%1)"/>
      <w:numFmt w:val="lowerLetter"/>
      <w:start w:val="1"/>
    </w:lvl>
    <w:lvl w:ilvl="1">
      <w:lvlJc w:val="left"/>
      <w:lvlText w:val="(%2)"/>
      <w:numFmt w:val="lowerRoman"/>
      <w:start w:val="1"/>
    </w:lvl>
  </w:abstractNum>
  <w:abstractNum w:abstractNumId="80">
    <w:nsid w:val="2A31B62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1">
    <w:nsid w:val="1849C29B"/>
    <w:multiLevelType w:val="hybridMultilevel"/>
    <w:lvl w:ilvl="0">
      <w:lvlJc w:val="left"/>
      <w:lvlText w:val="(%1)"/>
      <w:numFmt w:val="lowerLetter"/>
      <w:start w:val="3"/>
    </w:lvl>
    <w:lvl w:ilvl="1">
      <w:lvlJc w:val="left"/>
      <w:lvlText w:val="(%2)"/>
      <w:numFmt w:val="lowerRoman"/>
      <w:start w:val="1"/>
    </w:lvl>
  </w:abstractNum>
  <w:abstractNum w:abstractNumId="82">
    <w:nsid w:val="7DFF9D09"/>
    <w:multiLevelType w:val="hybridMultilevel"/>
    <w:lvl w:ilvl="0">
      <w:lvlJc w:val="left"/>
      <w:lvlText w:val="(%1)"/>
      <w:numFmt w:val="lowerLetter"/>
      <w:start w:val="1"/>
    </w:lvl>
    <w:lvl w:ilvl="1">
      <w:lvlJc w:val="left"/>
      <w:lvlText w:val="-"/>
      <w:numFmt w:val="bullet"/>
      <w:start w:val="1"/>
    </w:lvl>
  </w:abstractNum>
  <w:abstractNum w:abstractNumId="83">
    <w:nsid w:val="754342"/>
    <w:multiLevelType w:val="hybridMultilevel"/>
    <w:lvl w:ilvl="0">
      <w:lvlJc w:val="left"/>
      <w:lvlText w:val="(%1)"/>
      <w:numFmt w:val="lowerLetter"/>
      <w:start w:val="2"/>
    </w:lvl>
  </w:abstractNum>
  <w:abstractNum w:abstractNumId="84">
    <w:nsid w:val="69E7F3E5"/>
    <w:multiLevelType w:val="hybridMultilevel"/>
    <w:lvl w:ilvl="0">
      <w:lvlJc w:val="left"/>
      <w:lvlText w:val="(%1)"/>
      <w:numFmt w:val="lowerLetter"/>
      <w:start w:val="1"/>
    </w:lvl>
    <w:lvl w:ilvl="1">
      <w:lvlJc w:val="left"/>
      <w:lvlText w:val="-"/>
      <w:numFmt w:val="bullet"/>
      <w:start w:val="1"/>
    </w:lvl>
  </w:abstractNum>
  <w:abstractNum w:abstractNumId="85">
    <w:nsid w:val="2A6DE806"/>
    <w:multiLevelType w:val="hybridMultilevel"/>
    <w:lvl w:ilvl="0">
      <w:lvlJc w:val="left"/>
      <w:lvlText w:val="(%1)"/>
      <w:numFmt w:val="lowerLetter"/>
      <w:start w:val="4"/>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1"/>
      <w:numFmt w:val="lowerLetter"/>
      <w:start w:val="1"/>
    </w:lvl>
    <w:lvl w:ilvl="1">
      <w:lvlJc w:val="left"/>
      <w:lvlText w:val="(%2)"/>
      <w:numFmt w:val="lowerRoman"/>
      <w:start w:val="1"/>
    </w:lvl>
  </w:abstractNum>
  <w:abstractNum w:abstractNumId="88">
    <w:nsid w:val="7AB49DAF"/>
    <w:multiLevelType w:val="hybridMultilevel"/>
    <w:lvl w:ilvl="0">
      <w:lvlJc w:val="left"/>
      <w:lvlText w:val="(%1)"/>
      <w:numFmt w:val="lowerLetter"/>
      <w:start w:val="2"/>
    </w:lvl>
    <w:lvl w:ilvl="1">
      <w:lvlJc w:val="left"/>
      <w:lvlText w:val="%2"/>
      <w:numFmt w:val="lowerRoman"/>
      <w:start w:val="1"/>
    </w:lvl>
  </w:abstractNum>
  <w:abstractNum w:abstractNumId="89">
    <w:nsid w:val="759F82CD"/>
    <w:multiLevelType w:val="hybridMultilevel"/>
    <w:lvl w:ilvl="0">
      <w:lvlJc w:val="left"/>
      <w:lvlText w:val="(%1)"/>
      <w:numFmt w:val="lowerLetter"/>
      <w:start w:val="1"/>
    </w:lvl>
  </w:abstractNum>
  <w:abstractNum w:abstractNumId="90">
    <w:nsid w:val="61E74EA3"/>
    <w:multiLevelType w:val="hybridMultilevel"/>
    <w:lvl w:ilvl="0">
      <w:lvlJc w:val="left"/>
      <w:lvlText w:val="(%1)"/>
      <w:numFmt w:val="lowerLetter"/>
      <w:start w:val="1"/>
    </w:lvl>
    <w:lvl w:ilvl="1">
      <w:lvlJc w:val="left"/>
      <w:lvlText w:val="-"/>
      <w:numFmt w:val="bullet"/>
      <w:start w:val="1"/>
    </w:lvl>
  </w:abstractNum>
  <w:abstractNum w:abstractNumId="91">
    <w:nsid w:val="597B4D8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2">
    <w:nsid w:val="F819E7F"/>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93">
    <w:nsid w:val="57C7D42D"/>
    <w:multiLevelType w:val="hybridMultilevel"/>
    <w:lvl w:ilvl="0">
      <w:lvlJc w:val="left"/>
      <w:lvlText w:val="(%1)"/>
      <w:numFmt w:val="lowerLetter"/>
      <w:start w:val="1"/>
    </w:lvl>
  </w:abstractNum>
  <w:abstractNum w:abstractNumId="94">
    <w:nsid w:val="312167AD"/>
    <w:multiLevelType w:val="hybridMultilevel"/>
    <w:lvl w:ilvl="0">
      <w:lvlJc w:val="left"/>
      <w:lvlText w:val="[***]"/>
      <w:numFmt w:val="bullet"/>
      <w:start w:val="1"/>
    </w:lvl>
    <w:lvl w:ilvl="1">
      <w:lvlJc w:val="left"/>
      <w:lvlText w:val="(%2)"/>
      <w:numFmt w:val="lowerLetter"/>
      <w:start w:val="2"/>
    </w:lvl>
  </w:abstractNum>
  <w:abstractNum w:abstractNumId="95">
    <w:nsid w:val="631B64D4"/>
    <w:multiLevelType w:val="hybridMultilevel"/>
    <w:lvl w:ilvl="0">
      <w:lvlJc w:val="left"/>
      <w:lvlText w:val="[***]"/>
      <w:numFmt w:val="bullet"/>
      <w:start w:val="1"/>
    </w:lvl>
    <w:lvl w:ilvl="1">
      <w:lvlJc w:val="left"/>
      <w:lvlText w:val="(%2)"/>
      <w:numFmt w:val="lowerLetter"/>
      <w:start w:val="3"/>
    </w:lvl>
  </w:abstractNum>
  <w:abstractNum w:abstractNumId="96">
    <w:nsid w:val="78B5E776"/>
    <w:multiLevelType w:val="hybridMultilevel"/>
    <w:lvl w:ilvl="0">
      <w:lvlJc w:val="left"/>
      <w:lvlText w:val="(%1)"/>
      <w:numFmt w:val="lowerLetter"/>
      <w:start w:val="1"/>
    </w:lvl>
    <w:lvl w:ilvl="1">
      <w:lvlJc w:val="left"/>
      <w:lvlText w:val="-"/>
      <w:numFmt w:val="bullet"/>
      <w:start w:val="1"/>
    </w:lvl>
  </w:abstractNum>
  <w:abstractNum w:abstractNumId="97">
    <w:nsid w:val="75486E47"/>
    <w:multiLevelType w:val="hybridMultilevel"/>
    <w:lvl w:ilvl="0">
      <w:lvlJc w:val="left"/>
      <w:lvlText w:val="(%1)"/>
      <w:numFmt w:val="lowerLetter"/>
      <w:start w:val="2"/>
    </w:lvl>
  </w:abstractNum>
  <w:abstractNum w:abstractNumId="98">
    <w:nsid w:val="6E534CDE"/>
    <w:multiLevelType w:val="hybridMultilevel"/>
    <w:lvl w:ilvl="0">
      <w:lvlJc w:val="left"/>
      <w:lvlText w:val="(%1)"/>
      <w:numFmt w:val="lowerLetter"/>
      <w:start w:val="7"/>
    </w:lvl>
    <w:lvl w:ilvl="1">
      <w:lvlJc w:val="left"/>
      <w:lvlText w:val="-"/>
      <w:numFmt w:val="bullet"/>
      <w:start w:val="1"/>
    </w:lvl>
  </w:abstractNum>
  <w:abstractNum w:abstractNumId="99">
    <w:nsid w:val="1A0DDE32"/>
    <w:multiLevelType w:val="hybridMultilevel"/>
    <w:lvl w:ilvl="0">
      <w:lvlJc w:val="left"/>
      <w:lvlText w:val="(%1)"/>
      <w:numFmt w:val="lowerLetter"/>
      <w:start w:val="1"/>
    </w:lvl>
    <w:lvl w:ilvl="1">
      <w:lvlJc w:val="left"/>
      <w:lvlText w:val="-"/>
      <w:numFmt w:val="bullet"/>
      <w:start w:val="1"/>
    </w:lvl>
  </w:abstractNum>
  <w:abstractNum w:abstractNumId="100">
    <w:nsid w:val="65968C1C"/>
    <w:multiLevelType w:val="hybridMultilevel"/>
    <w:lvl w:ilvl="0">
      <w:lvlJc w:val="left"/>
      <w:lvlText w:val="(%1)"/>
      <w:numFmt w:val="lowerLetter"/>
      <w:start w:val="2"/>
    </w:lvl>
  </w:abstractNum>
  <w:abstractNum w:abstractNumId="101">
    <w:nsid w:val="46263DEC"/>
    <w:multiLevelType w:val="hybridMultilevel"/>
    <w:lvl w:ilvl="0">
      <w:lvlJc w:val="left"/>
      <w:lvlText w:val="(%1)"/>
      <w:numFmt w:val="lowerLetter"/>
      <w:start w:val="1"/>
    </w:lvl>
    <w:lvl w:ilvl="1">
      <w:lvlJc w:val="left"/>
      <w:lvlText w:val="-"/>
      <w:numFmt w:val="bullet"/>
      <w:start w:val="1"/>
    </w:lvl>
  </w:abstractNum>
  <w:abstractNum w:abstractNumId="102">
    <w:nsid w:val="260D8C4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3">
    <w:nsid w:val="73D4D3C4"/>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04">
    <w:nsid w:val="746F2E30"/>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05">
    <w:nsid w:val="6FDE8AF6"/>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06">
    <w:nsid w:val="3FC32E20"/>
    <w:multiLevelType w:val="hybridMultilevel"/>
    <w:lvl w:ilvl="0">
      <w:lvlJc w:val="left"/>
      <w:lvlText w:val="(%1)"/>
      <w:numFmt w:val="lowerLetter"/>
      <w:start w:val="1"/>
    </w:lvl>
    <w:lvl w:ilvl="1">
      <w:lvlJc w:val="left"/>
      <w:lvlText w:val="-"/>
      <w:numFmt w:val="bullet"/>
      <w:start w:val="1"/>
    </w:lvl>
  </w:abstractNum>
  <w:abstractNum w:abstractNumId="107">
    <w:nsid w:val="49C0E823"/>
    <w:multiLevelType w:val="hybridMultilevel"/>
    <w:lvl w:ilvl="0">
      <w:lvlJc w:val="left"/>
      <w:lvlText w:val="(%1)"/>
      <w:numFmt w:val="lowerRoman"/>
      <w:start w:val="1"/>
    </w:lvl>
  </w:abstractNum>
  <w:abstractNum w:abstractNumId="108">
    <w:nsid w:val="14D53685"/>
    <w:multiLevelType w:val="hybridMultilevel"/>
    <w:lvl w:ilvl="0">
      <w:lvlJc w:val="left"/>
      <w:lvlText w:val="(%1)"/>
      <w:numFmt w:val="lowerLetter"/>
      <w:start w:val="2"/>
    </w:lvl>
    <w:lvl w:ilvl="1">
      <w:lvlJc w:val="left"/>
      <w:lvlText w:val="-"/>
      <w:numFmt w:val="bullet"/>
      <w:start w:val="1"/>
    </w:lvl>
  </w:abstractNum>
  <w:abstractNum w:abstractNumId="109">
    <w:nsid w:val="230F856C"/>
    <w:multiLevelType w:val="hybridMultilevel"/>
    <w:lvl w:ilvl="0">
      <w:lvlJc w:val="left"/>
      <w:lvlText w:val="(%1)"/>
      <w:numFmt w:val="lowerLetter"/>
      <w:start w:val="3"/>
    </w:lvl>
  </w:abstractNum>
  <w:abstractNum w:abstractNumId="110">
    <w:nsid w:val="6EAA85FB"/>
    <w:multiLevelType w:val="hybridMultilevel"/>
    <w:lvl w:ilvl="0">
      <w:lvlJc w:val="left"/>
      <w:lvlText w:val="(%1)"/>
      <w:numFmt w:val="lowerLetter"/>
      <w:start w:val="1"/>
    </w:lvl>
    <w:lvl w:ilvl="1">
      <w:lvlJc w:val="left"/>
      <w:lvlText w:val="-"/>
      <w:numFmt w:val="bullet"/>
      <w:start w:val="1"/>
    </w:lvl>
  </w:abstractNum>
  <w:abstractNum w:abstractNumId="111">
    <w:nsid w:val="3F06ECB2"/>
    <w:multiLevelType w:val="hybridMultilevel"/>
    <w:lvl w:ilvl="0">
      <w:lvlJc w:val="left"/>
      <w:lvlText w:val="%1"/>
      <w:numFmt w:val="decimal"/>
      <w:start w:val="1"/>
    </w:lvl>
    <w:lvl w:ilvl="1">
      <w:lvlJc w:val="left"/>
      <w:lvlText w:val="(%2)"/>
      <w:numFmt w:val="lowerLetter"/>
      <w:start w:val="4"/>
    </w:lvl>
  </w:abstractNum>
  <w:abstractNum w:abstractNumId="112">
    <w:nsid w:val="3B594807"/>
    <w:multiLevelType w:val="hybridMultilevel"/>
    <w:lvl w:ilvl="0">
      <w:lvlJc w:val="left"/>
      <w:lvlText w:val="(%1)"/>
      <w:numFmt w:val="decimal"/>
      <w:start w:val="1"/>
    </w:lvl>
    <w:lvl w:ilvl="1">
      <w:lvlJc w:val="left"/>
      <w:lvlText w:val="%2"/>
      <w:numFmt w:val="lowerLetter"/>
      <w:start w:val="1"/>
    </w:lvl>
  </w:abstractNum>
  <w:abstractNum w:abstractNumId="113">
    <w:nsid w:val="6CAA23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4">
    <w:nsid w:val="3F7C2F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15">
    <w:nsid w:val="25413BEC"/>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116">
    <w:nsid w:val="17180B0B"/>
    <w:multiLevelType w:val="hybridMultilevel"/>
    <w:lvl w:ilvl="0">
      <w:lvlJc w:val="left"/>
      <w:lvlText w:val="(%1)"/>
      <w:numFmt w:val="lowerLetter"/>
      <w:start w:val="1"/>
    </w:lvl>
    <w:lvl w:ilvl="1">
      <w:lvlJc w:val="left"/>
      <w:lvlText w:val="-"/>
      <w:numFmt w:val="bullet"/>
      <w:start w:val="1"/>
    </w:lvl>
  </w:abstractNum>
  <w:abstractNum w:abstractNumId="117">
    <w:nsid w:val="579328B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18">
    <w:nsid w:val="5D205E20"/>
    <w:multiLevelType w:val="hybridMultilevel"/>
    <w:lvl w:ilvl="0">
      <w:lvlJc w:val="left"/>
      <w:lvlText w:val="(%1)"/>
      <w:numFmt w:val="lowerLetter"/>
      <w:start w:val="8"/>
    </w:lvl>
    <w:lvl w:ilvl="1">
      <w:lvlJc w:val="left"/>
      <w:lvlText w:val="-"/>
      <w:numFmt w:val="bullet"/>
      <w:start w:val="1"/>
    </w:lvl>
  </w:abstractNum>
  <w:abstractNum w:abstractNumId="119">
    <w:nsid w:val="11CCA8BA"/>
    <w:multiLevelType w:val="hybridMultilevel"/>
    <w:lvl w:ilvl="0">
      <w:lvlJc w:val="left"/>
      <w:lvlText w:val="(%1)"/>
      <w:numFmt w:val="lowerLetter"/>
      <w:start w:val="19"/>
    </w:lvl>
  </w:abstractNum>
  <w:abstractNum w:abstractNumId="120">
    <w:nsid w:val="4D32AB86"/>
    <w:multiLevelType w:val="hybridMultilevel"/>
    <w:lvl w:ilvl="0">
      <w:lvlJc w:val="left"/>
      <w:lvlText w:val="(%1)"/>
      <w:numFmt w:val="lowerLetter"/>
      <w:start w:val="1"/>
    </w:lvl>
  </w:abstractNum>
  <w:abstractNum w:abstractNumId="121">
    <w:nsid w:val="3F07ACC3"/>
    <w:multiLevelType w:val="hybridMultilevel"/>
    <w:lvl w:ilvl="0">
      <w:lvlJc w:val="left"/>
      <w:lvlText w:val="(%1)"/>
      <w:numFmt w:val="lowerLetter"/>
      <w:start w:val="1"/>
    </w:lvl>
  </w:abstractNum>
  <w:abstractNum w:abstractNumId="122">
    <w:nsid w:val="6B47F63E"/>
    <w:multiLevelType w:val="hybridMultilevel"/>
    <w:lvl w:ilvl="0">
      <w:lvlJc w:val="left"/>
      <w:lvlText w:val="(%1)"/>
      <w:numFmt w:val="lowerLetter"/>
      <w:start w:val="2"/>
    </w:lvl>
    <w:lvl w:ilvl="1">
      <w:lvlJc w:val="left"/>
      <w:lvlText w:val="-"/>
      <w:numFmt w:val="bullet"/>
      <w:start w:val="1"/>
    </w:lvl>
  </w:abstractNum>
  <w:abstractNum w:abstractNumId="123">
    <w:nsid w:val="5CB44A05"/>
    <w:multiLevelType w:val="hybridMultilevel"/>
    <w:lvl w:ilvl="0">
      <w:lvlJc w:val="left"/>
      <w:lvlText w:val="(%1)"/>
      <w:numFmt w:val="lowerLetter"/>
      <w:start w:val="6"/>
    </w:lvl>
  </w:abstractNum>
  <w:abstractNum w:abstractNumId="124">
    <w:nsid w:val="16CF80F1"/>
    <w:multiLevelType w:val="hybridMultilevel"/>
    <w:lvl w:ilvl="0">
      <w:lvlJc w:val="left"/>
      <w:lvlText w:val="(%1)"/>
      <w:numFmt w:val="lowerRoman"/>
      <w:start w:val="1"/>
    </w:lvl>
    <w:lvl w:ilvl="1">
      <w:lvlJc w:val="left"/>
      <w:lvlText w:val="-"/>
      <w:numFmt w:val="bullet"/>
      <w:start w:val="1"/>
    </w:lvl>
  </w:abstractNum>
  <w:abstractNum w:abstractNumId="125">
    <w:nsid w:val="1C695DEC"/>
    <w:multiLevelType w:val="hybridMultilevel"/>
    <w:lvl w:ilvl="0">
      <w:lvlJc w:val="left"/>
      <w:lvlText w:val="(%1)"/>
      <w:numFmt w:val="lowerLetter"/>
      <w:start w:val="1"/>
    </w:lvl>
  </w:abstractNum>
  <w:abstractNum w:abstractNumId="126">
    <w:nsid w:val="3FCFAED9"/>
    <w:multiLevelType w:val="hybridMultilevel"/>
    <w:lvl w:ilvl="0">
      <w:lvlJc w:val="left"/>
      <w:lvlText w:val="(%1)"/>
      <w:numFmt w:val="lowerLetter"/>
      <w:start w:val="1"/>
    </w:lvl>
    <w:lvl w:ilvl="1">
      <w:lvlJc w:val="left"/>
      <w:lvlText w:val="-"/>
      <w:numFmt w:val="bullet"/>
      <w:start w:val="1"/>
    </w:lvl>
  </w:abstractNum>
  <w:abstractNum w:abstractNumId="127">
    <w:nsid w:val="F856867"/>
    <w:multiLevelType w:val="hybridMultilevel"/>
    <w:lvl w:ilvl="0">
      <w:lvlJc w:val="left"/>
      <w:lvlText w:val="(%1)"/>
      <w:numFmt w:val="lowerLetter"/>
      <w:start w:val="3"/>
    </w:lvl>
    <w:lvl w:ilvl="1">
      <w:lvlJc w:val="left"/>
      <w:lvlText w:val="(%2)"/>
      <w:numFmt w:val="lowerRoman"/>
      <w:start w:val="1"/>
    </w:lvl>
  </w:abstractNum>
  <w:abstractNum w:abstractNumId="128">
    <w:nsid w:val="11B1CC33"/>
    <w:multiLevelType w:val="hybridMultilevel"/>
    <w:lvl w:ilvl="0">
      <w:lvlJc w:val="left"/>
      <w:lvlText w:val="(%1)"/>
      <w:numFmt w:val="lowerLetter"/>
      <w:start w:val="4"/>
    </w:lvl>
    <w:lvl w:ilvl="1">
      <w:lvlJc w:val="left"/>
      <w:lvlText w:val="-"/>
      <w:numFmt w:val="bullet"/>
      <w:start w:val="1"/>
    </w:lvl>
  </w:abstractNum>
  <w:abstractNum w:abstractNumId="129">
    <w:nsid w:val="2E22FBB7"/>
    <w:multiLevelType w:val="hybridMultilevel"/>
    <w:lvl w:ilvl="0">
      <w:lvlJc w:val="left"/>
      <w:lvlText w:val="(%1)"/>
      <w:numFmt w:val="lowerLetter"/>
      <w:start w:val="9"/>
    </w:lvl>
  </w:abstractNum>
  <w:abstractNum w:abstractNumId="130">
    <w:nsid w:val="29934699"/>
    <w:multiLevelType w:val="hybridMultilevel"/>
    <w:lvl w:ilvl="0">
      <w:lvlJc w:val="left"/>
      <w:lvlText w:val="(%1)"/>
      <w:numFmt w:val="lowerLetter"/>
      <w:start w:val="1"/>
    </w:lvl>
    <w:lvl w:ilvl="1">
      <w:lvlJc w:val="left"/>
      <w:lvlText w:val="-"/>
      <w:numFmt w:val="bullet"/>
      <w:start w:val="1"/>
    </w:lvl>
  </w:abstractNum>
  <w:abstractNum w:abstractNumId="131">
    <w:nsid w:val="77485850"/>
    <w:multiLevelType w:val="hybridMultilevel"/>
    <w:lvl w:ilvl="0">
      <w:lvlJc w:val="left"/>
      <w:lvlText w:val="(%1)"/>
      <w:numFmt w:val="lowerLetter"/>
      <w:start w:val="4"/>
    </w:lvl>
  </w:abstractNum>
  <w:abstractNum w:abstractNumId="132">
    <w:nsid w:val="744939A3"/>
    <w:multiLevelType w:val="hybridMultilevel"/>
    <w:lvl w:ilvl="0">
      <w:lvlJc w:val="left"/>
      <w:lvlText w:val="(%1)"/>
      <w:numFmt w:val="lowerLetter"/>
      <w:start w:val="1"/>
    </w:lvl>
    <w:lvl w:ilvl="1">
      <w:lvlJc w:val="left"/>
      <w:lvlText w:val="-"/>
      <w:numFmt w:val="bullet"/>
      <w:start w:val="1"/>
    </w:lvl>
  </w:abstractNum>
  <w:abstractNum w:abstractNumId="133">
    <w:nsid w:val="4FA0D2E3"/>
    <w:multiLevelType w:val="hybridMultilevel"/>
    <w:lvl w:ilvl="0">
      <w:lvlJc w:val="left"/>
      <w:lvlText w:val="(%1)"/>
      <w:numFmt w:val="lowerLetter"/>
      <w:start w:val="3"/>
    </w:lvl>
  </w:abstractNum>
  <w:abstractNum w:abstractNumId="134">
    <w:nsid w:val="6B1D2C14"/>
    <w:multiLevelType w:val="hybridMultilevel"/>
    <w:lvl w:ilvl="0">
      <w:lvlJc w:val="left"/>
      <w:lvlText w:val="(%1)"/>
      <w:numFmt w:val="lowerLetter"/>
      <w:start w:val="1"/>
    </w:lvl>
    <w:lvl w:ilvl="1">
      <w:lvlJc w:val="left"/>
      <w:lvlText w:val="-"/>
      <w:numFmt w:val="bullet"/>
      <w:start w:val="1"/>
    </w:lvl>
  </w:abstractNum>
  <w:abstractNum w:abstractNumId="135">
    <w:nsid w:val="68B867D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136">
    <w:nsid w:val="3F7F5DD9"/>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137">
    <w:nsid w:val="2AE05A34"/>
    <w:multiLevelType w:val="hybridMultilevel"/>
    <w:lvl w:ilvl="0">
      <w:lvlJc w:val="left"/>
      <w:lvlText w:val="(%1)"/>
      <w:numFmt w:val="lowerRoman"/>
      <w:start w:val="2"/>
    </w:lvl>
  </w:abstractNum>
  <w:abstractNum w:abstractNumId="138">
    <w:nsid w:val="32794FF7"/>
    <w:multiLevelType w:val="hybridMultilevel"/>
    <w:lvl w:ilvl="0">
      <w:lvlJc w:val="left"/>
      <w:lvlText w:val="(%1)"/>
      <w:numFmt w:val="lowerLetter"/>
      <w:start w:val="12"/>
    </w:lvl>
    <w:lvl w:ilvl="1">
      <w:lvlJc w:val="left"/>
      <w:lvlText w:val="-"/>
      <w:numFmt w:val="bullet"/>
      <w:start w:val="1"/>
    </w:lvl>
  </w:abstractNum>
  <w:abstractNum w:abstractNumId="139">
    <w:nsid w:val="5454945E"/>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140">
    <w:nsid w:val="4DEFDFA0"/>
    <w:multiLevelType w:val="hybridMultilevel"/>
    <w:lvl w:ilvl="0">
      <w:lvlJc w:val="left"/>
      <w:lvlText w:val="(%1)"/>
      <w:numFmt w:val="lowerLetter"/>
      <w:start w:val="18"/>
    </w:lvl>
    <w:lvl w:ilvl="1">
      <w:lvlJc w:val="left"/>
      <w:lvlText w:val="-"/>
      <w:numFmt w:val="bullet"/>
      <w:start w:val="1"/>
    </w:lvl>
  </w:abstractNum>
  <w:abstractNum w:abstractNumId="141">
    <w:nsid w:val="2123D5F2"/>
    <w:multiLevelType w:val="hybridMultilevel"/>
    <w:lvl w:ilvl="0">
      <w:lvlJc w:val="left"/>
      <w:lvlText w:val="(%1)"/>
      <w:numFmt w:val="lowerLetter"/>
      <w:start w:val="1"/>
    </w:lvl>
    <w:lvl w:ilvl="1">
      <w:lvlJc w:val="left"/>
      <w:lvlText w:val="-"/>
      <w:numFmt w:val="bullet"/>
      <w:start w:val="1"/>
    </w:lvl>
  </w:abstractNum>
  <w:abstractNum w:abstractNumId="142">
    <w:nsid w:val="135B8110"/>
    <w:multiLevelType w:val="hybridMultilevel"/>
    <w:lvl w:ilvl="0">
      <w:lvlJc w:val="left"/>
      <w:lvlText w:val="(%1)"/>
      <w:numFmt w:val="lowerLetter"/>
      <w:start w:val="2"/>
    </w:lvl>
  </w:abstractNum>
  <w:abstractNum w:abstractNumId="143">
    <w:nsid w:val="94927A8"/>
    <w:multiLevelType w:val="hybridMultilevel"/>
    <w:lvl w:ilvl="0">
      <w:lvlJc w:val="left"/>
      <w:lvlText w:val="(%1)"/>
      <w:numFmt w:val="lowerLetter"/>
      <w:start w:val="3"/>
    </w:lvl>
  </w:abstractNum>
  <w:abstractNum w:abstractNumId="144">
    <w:nsid w:val="DCDF8F6"/>
    <w:multiLevelType w:val="hybridMultilevel"/>
    <w:lvl w:ilvl="0">
      <w:lvlJc w:val="left"/>
      <w:lvlText w:val="(%1)"/>
      <w:numFmt w:val="lowerLetter"/>
      <w:start w:val="1"/>
    </w:lvl>
  </w:abstractNum>
  <w:abstractNum w:abstractNumId="145">
    <w:nsid w:val="52D7B105"/>
    <w:multiLevelType w:val="hybridMultilevel"/>
    <w:lvl w:ilvl="0">
      <w:lvlJc w:val="left"/>
      <w:lvlText w:val="(%1)"/>
      <w:numFmt w:val="lowerLetter"/>
      <w:start w:val="1"/>
    </w:lvl>
  </w:abstractNum>
  <w:abstractNum w:abstractNumId="146">
    <w:nsid w:val="2E8A6394"/>
    <w:multiLevelType w:val="hybridMultilevel"/>
    <w:lvl w:ilvl="0">
      <w:lvlJc w:val="left"/>
      <w:lvlText w:val="(%1)"/>
      <w:numFmt w:val="lowerLetter"/>
      <w:start w:val="1"/>
    </w:lvl>
    <w:lvl w:ilvl="1">
      <w:lvlJc w:val="left"/>
      <w:lvlText w:val="-"/>
      <w:numFmt w:val="bullet"/>
      <w:start w:val="1"/>
    </w:lvl>
  </w:abstractNum>
  <w:abstractNum w:abstractNumId="147">
    <w:nsid w:val="24E60401"/>
    <w:multiLevelType w:val="hybridMultilevel"/>
    <w:lvl w:ilvl="0">
      <w:lvlJc w:val="left"/>
      <w:lvlText w:val="(%1)"/>
      <w:numFmt w:val="lowerLetter"/>
      <w:start w:val="6"/>
    </w:lvl>
  </w:abstractNum>
  <w:abstractNum w:abstractNumId="148">
    <w:nsid w:val="2A6AD9B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49">
    <w:nsid w:val="BAAC1B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0">
    <w:nsid w:val="36B2ACB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1">
    <w:nsid w:val="779D8544"/>
    <w:multiLevelType w:val="hybridMultilevel"/>
    <w:lvl w:ilvl="0">
      <w:lvlJc w:val="left"/>
      <w:lvlText w:val="(%1)"/>
      <w:numFmt w:val="lowerRoman"/>
      <w:start w:val="12"/>
    </w:lvl>
  </w:abstractNum>
  <w:abstractNum w:abstractNumId="152">
    <w:nsid w:val="4AB26E78"/>
    <w:multiLevelType w:val="hybridMultilevel"/>
    <w:lvl w:ilvl="0">
      <w:lvlJc w:val="left"/>
      <w:lvlText w:val="(%1)"/>
      <w:numFmt w:val="lowerLetter"/>
      <w:start w:val="1"/>
    </w:lvl>
    <w:lvl w:ilvl="1">
      <w:lvlJc w:val="left"/>
      <w:lvlText w:val="-"/>
      <w:numFmt w:val="bullet"/>
      <w:start w:val="1"/>
    </w:lvl>
  </w:abstractNum>
  <w:abstractNum w:abstractNumId="153">
    <w:nsid w:val="21FAA2FA"/>
    <w:multiLevelType w:val="hybridMultilevel"/>
    <w:lvl w:ilvl="0">
      <w:lvlJc w:val="left"/>
      <w:lvlText w:val="(%1)"/>
      <w:numFmt w:val="lowerLetter"/>
      <w:start w:val="2"/>
    </w:lvl>
  </w:abstractNum>
  <w:abstractNum w:abstractNumId="154">
    <w:nsid w:val="5451CF49"/>
    <w:multiLevelType w:val="hybridMultilevel"/>
    <w:lvl w:ilvl="0">
      <w:lvlJc w:val="left"/>
      <w:lvlText w:val="(%1)"/>
      <w:numFmt w:val="lowerLetter"/>
      <w:start w:val="1"/>
    </w:lvl>
  </w:abstractNum>
  <w:abstractNum w:abstractNumId="155">
    <w:nsid w:val="6181EF69"/>
    <w:multiLevelType w:val="hybridMultilevel"/>
    <w:lvl w:ilvl="0">
      <w:lvlJc w:val="left"/>
      <w:lvlText w:val="(%1)"/>
      <w:numFmt w:val="lowerLetter"/>
      <w:start w:val="1"/>
    </w:lvl>
  </w:abstractNum>
  <w:abstractNum w:abstractNumId="156">
    <w:nsid w:val="3E6400E6"/>
    <w:multiLevelType w:val="hybridMultilevel"/>
    <w:lvl w:ilvl="0">
      <w:lvlJc w:val="left"/>
      <w:lvlText w:val="(%1)"/>
      <w:numFmt w:val="upperLetter"/>
      <w:start w:val="2"/>
    </w:lvl>
  </w:abstractNum>
  <w:abstractNum w:abstractNumId="157">
    <w:nsid w:val="14217E23"/>
    <w:multiLevelType w:val="hybridMultilevel"/>
    <w:lvl w:ilvl="0">
      <w:lvlJc w:val="left"/>
      <w:lvlText w:val="(%1)"/>
      <w:numFmt w:val="lowerLetter"/>
      <w:start w:val="1"/>
    </w:lvl>
    <w:lvl w:ilvl="1">
      <w:lvlJc w:val="left"/>
      <w:lvlText w:val="-"/>
      <w:numFmt w:val="bullet"/>
      <w:start w:val="1"/>
    </w:lvl>
  </w:abstractNum>
  <w:abstractNum w:abstractNumId="158">
    <w:nsid w:val="710757D0"/>
    <w:multiLevelType w:val="hybridMultilevel"/>
    <w:lvl w:ilvl="0">
      <w:lvlJc w:val="left"/>
      <w:lvlText w:val="(%1)"/>
      <w:numFmt w:val="lowerLetter"/>
      <w:start w:val="2"/>
    </w:lvl>
    <w:lvl w:ilvl="1">
      <w:lvlJc w:val="left"/>
      <w:lvlText w:val="-"/>
      <w:numFmt w:val="bullet"/>
      <w:start w:val="1"/>
    </w:lvl>
  </w:abstractNum>
  <w:abstractNum w:abstractNumId="159">
    <w:nsid w:val="5015CD1A"/>
    <w:multiLevelType w:val="hybridMultilevel"/>
    <w:lvl w:ilvl="0">
      <w:lvlJc w:val="left"/>
      <w:lvlText w:val="(%1)"/>
      <w:numFmt w:val="lowerLetter"/>
      <w:start w:val="6"/>
    </w:lvl>
  </w:abstractNum>
  <w:abstractNum w:abstractNumId="160">
    <w:nsid w:val="424479DA"/>
    <w:multiLevelType w:val="hybridMultilevel"/>
    <w:lvl w:ilvl="0">
      <w:lvlJc w:val="left"/>
      <w:lvlText w:val="(%1)"/>
      <w:numFmt w:val="lowerLetter"/>
      <w:start w:val="61"/>
    </w:lvl>
    <w:lvl w:ilvl="1">
      <w:lvlJc w:val="left"/>
      <w:lvlText w:val="-"/>
      <w:numFmt w:val="bullet"/>
      <w:start w:val="1"/>
    </w:lvl>
  </w:abstractNum>
  <w:abstractNum w:abstractNumId="161">
    <w:nsid w:val="1A9A9E69"/>
    <w:multiLevelType w:val="hybridMultilevel"/>
    <w:lvl w:ilvl="0">
      <w:lvlJc w:val="left"/>
      <w:lvlText w:val="(%1)"/>
      <w:numFmt w:val="lowerLetter"/>
      <w:start w:val="5"/>
    </w:lvl>
    <w:lvl w:ilvl="1">
      <w:lvlJc w:val="left"/>
      <w:lvlText w:val="-"/>
      <w:numFmt w:val="bullet"/>
      <w:start w:val="1"/>
    </w:lvl>
  </w:abstractNum>
  <w:abstractNum w:abstractNumId="162">
    <w:nsid w:val="475E256A"/>
    <w:multiLevelType w:val="hybridMultilevel"/>
    <w:lvl w:ilvl="0">
      <w:lvlJc w:val="left"/>
      <w:lvlText w:val="(%1)"/>
      <w:numFmt w:val="lowerLetter"/>
      <w:start w:val="2"/>
    </w:lvl>
  </w:abstractNum>
  <w:abstractNum w:abstractNumId="163">
    <w:nsid w:val="368DB37E"/>
    <w:multiLevelType w:val="hybridMultilevel"/>
    <w:lvl w:ilvl="0">
      <w:lvlJc w:val="left"/>
      <w:lvlText w:val="(%1)"/>
      <w:numFmt w:val="lowerLetter"/>
      <w:start w:val="1"/>
    </w:lvl>
    <w:lvl w:ilvl="1">
      <w:lvlJc w:val="left"/>
      <w:lvlText w:val="-"/>
      <w:numFmt w:val="bullet"/>
      <w:start w:val="1"/>
    </w:lvl>
  </w:abstractNum>
  <w:abstractNum w:abstractNumId="164">
    <w:nsid w:val="6A3B714C"/>
    <w:multiLevelType w:val="hybridMultilevel"/>
    <w:lvl w:ilvl="0">
      <w:lvlJc w:val="left"/>
      <w:lvlText w:val="(%1)"/>
      <w:numFmt w:val="lowerLetter"/>
      <w:start w:val="6"/>
    </w:lvl>
    <w:lvl w:ilvl="1">
      <w:lvlJc w:val="left"/>
      <w:lvlText w:val="-"/>
      <w:numFmt w:val="bullet"/>
      <w:start w:val="1"/>
    </w:lvl>
  </w:abstractNum>
  <w:abstractNum w:abstractNumId="165">
    <w:nsid w:val="327B517E"/>
    <w:multiLevelType w:val="hybridMultilevel"/>
    <w:lvl w:ilvl="0">
      <w:lvlJc w:val="left"/>
      <w:lvlText w:val="(%1)"/>
      <w:numFmt w:val="lowerLetter"/>
      <w:start w:val="12"/>
    </w:lvl>
  </w:abstractNum>
  <w:abstractNum w:abstractNumId="166">
    <w:nsid w:val="1F461B51"/>
    <w:multiLevelType w:val="hybridMultilevel"/>
    <w:lvl w:ilvl="0">
      <w:lvlJc w:val="left"/>
      <w:lvlText w:val="(%1)"/>
      <w:numFmt w:val="lowerLetter"/>
      <w:start w:val="1"/>
    </w:lvl>
  </w:abstractNum>
  <w:abstractNum w:abstractNumId="167">
    <w:nsid w:val="29BACF25"/>
    <w:multiLevelType w:val="hybridMultilevel"/>
    <w:lvl w:ilvl="0">
      <w:lvlJc w:val="left"/>
      <w:lvlText w:val="(%1)"/>
      <w:numFmt w:val="lowerLetter"/>
      <w:start w:val="1"/>
    </w:lvl>
  </w:abstractNum>
  <w:abstractNum w:abstractNumId="168">
    <w:nsid w:val="5D5BABB3"/>
    <w:multiLevelType w:val="hybridMultilevel"/>
    <w:lvl w:ilvl="0">
      <w:lvlJc w:val="left"/>
      <w:lvlText w:val="(%1)"/>
      <w:numFmt w:val="lowerLetter"/>
      <w:start w:val="1"/>
    </w:lvl>
    <w:lvl w:ilvl="1">
      <w:lvlJc w:val="left"/>
      <w:lvlText w:val="-"/>
      <w:numFmt w:val="bullet"/>
      <w:start w:val="1"/>
    </w:lvl>
  </w:abstractNum>
  <w:abstractNum w:abstractNumId="169">
    <w:nsid w:val="51BF6B48"/>
    <w:multiLevelType w:val="hybridMultilevel"/>
    <w:lvl w:ilvl="0">
      <w:lvlJc w:val="left"/>
      <w:lvlText w:val="(%1)"/>
      <w:numFmt w:val="lowerLetter"/>
      <w:start w:val="2"/>
    </w:lvl>
  </w:abstractNum>
  <w:abstractNum w:abstractNumId="170">
    <w:nsid w:val="7E0F6384"/>
    <w:multiLevelType w:val="hybridMultilevel"/>
    <w:lvl w:ilvl="0">
      <w:lvlJc w:val="left"/>
      <w:lvlText w:val="(%1)"/>
      <w:numFmt w:val="lowerLetter"/>
      <w:start w:val="1"/>
    </w:lvl>
    <w:lvl w:ilvl="1">
      <w:lvlJc w:val="left"/>
      <w:lvlText w:val="-"/>
      <w:numFmt w:val="bullet"/>
      <w:start w:val="1"/>
    </w:lvl>
  </w:abstractNum>
  <w:abstractNum w:abstractNumId="171">
    <w:nsid w:val="2B4B8B53"/>
    <w:multiLevelType w:val="hybridMultilevel"/>
    <w:lvl w:ilvl="0">
      <w:lvlJc w:val="left"/>
      <w:lvlText w:val="(%1)"/>
      <w:numFmt w:val="lowerLetter"/>
      <w:start w:val="2"/>
    </w:lvl>
  </w:abstractNum>
  <w:abstractNum w:abstractNumId="172">
    <w:nsid w:val="72E3413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73">
    <w:nsid w:val="116AE494"/>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74">
    <w:nsid w:val="3494B2FB"/>
    <w:multiLevelType w:val="hybridMultilevel"/>
    <w:lvl w:ilvl="0">
      <w:lvlJc w:val="left"/>
      <w:lvlText w:val="(%1)"/>
      <w:numFmt w:val="lowerLetter"/>
      <w:start w:val="1"/>
    </w:lvl>
  </w:abstractNum>
  <w:abstractNum w:abstractNumId="175">
    <w:nsid w:val="B13A31"/>
    <w:multiLevelType w:val="hybridMultilevel"/>
    <w:lvl w:ilvl="0">
      <w:lvlJc w:val="left"/>
      <w:lvlText w:val="(%1)"/>
      <w:numFmt w:val="lowerLetter"/>
      <w:start w:val="1"/>
    </w:lvl>
    <w:lvl w:ilvl="1">
      <w:lvlJc w:val="left"/>
      <w:lvlText w:val="-"/>
      <w:numFmt w:val="bullet"/>
      <w:start w:val="1"/>
    </w:lvl>
  </w:abstractNum>
  <w:abstractNum w:abstractNumId="176">
    <w:nsid w:val="64429599"/>
    <w:multiLevelType w:val="hybridMultilevel"/>
    <w:lvl w:ilvl="0">
      <w:lvlJc w:val="left"/>
      <w:lvlText w:val="(%1)"/>
      <w:numFmt w:val="lowerLetter"/>
      <w:start w:val="2"/>
    </w:lvl>
  </w:abstractNum>
  <w:abstractNum w:abstractNumId="177">
    <w:nsid w:val="631F1690"/>
    <w:multiLevelType w:val="hybridMultilevel"/>
    <w:lvl w:ilvl="0">
      <w:lvlJc w:val="left"/>
      <w:lvlText w:val="(%1)"/>
      <w:numFmt w:val="lowerLetter"/>
      <w:start w:val="1"/>
    </w:lvl>
    <w:lvl w:ilvl="1">
      <w:lvlJc w:val="left"/>
      <w:lvlText w:val="-"/>
      <w:numFmt w:val="bullet"/>
      <w:start w:val="1"/>
    </w:lvl>
  </w:abstractNum>
  <w:abstractNum w:abstractNumId="178">
    <w:nsid w:val="25973E32"/>
    <w:multiLevelType w:val="hybridMultilevel"/>
    <w:lvl w:ilvl="0">
      <w:lvlJc w:val="left"/>
      <w:lvlText w:val="(%1)"/>
      <w:numFmt w:val="lowerRoman"/>
      <w:start w:val="1"/>
    </w:lvl>
  </w:abstractNum>
  <w:abstractNum w:abstractNumId="179">
    <w:nsid w:val="EAD6F57"/>
    <w:multiLevelType w:val="hybridMultilevel"/>
    <w:lvl w:ilvl="0">
      <w:lvlJc w:val="left"/>
      <w:lvlText w:val="(%1)"/>
      <w:numFmt w:val="lowerLetter"/>
      <w:start w:val="3"/>
    </w:lvl>
    <w:lvl w:ilvl="1">
      <w:lvlJc w:val="left"/>
      <w:lvlText w:val="-"/>
      <w:numFmt w:val="bullet"/>
      <w:start w:val="1"/>
    </w:lvl>
  </w:abstractNum>
  <w:abstractNum w:abstractNumId="180">
    <w:nsid w:val="6EC9D844"/>
    <w:multiLevelType w:val="hybridMultilevel"/>
    <w:lvl w:ilvl="0">
      <w:lvlJc w:val="left"/>
      <w:lvlText w:val="(%1)"/>
      <w:numFmt w:val="lowerLetter"/>
      <w:start w:val="6"/>
    </w:lvl>
  </w:abstractNum>
  <w:abstractNum w:abstractNumId="181">
    <w:nsid w:val="5C49EAE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2">
    <w:nsid w:val="64AF49B"/>
    <w:multiLevelType w:val="hybridMultilevel"/>
    <w:lvl w:ilvl="0">
      <w:lvlJc w:val="left"/>
      <w:lvlText w:val="(%1)"/>
      <w:numFmt w:val="lowerLetter"/>
      <w:start w:val="1"/>
    </w:lvl>
    <w:lvl w:ilvl="1">
      <w:lvlJc w:val="left"/>
      <w:lvlText w:val="-"/>
      <w:numFmt w:val="bullet"/>
      <w:start w:val="1"/>
    </w:lvl>
  </w:abstractNum>
  <w:abstractNum w:abstractNumId="183">
    <w:nsid w:val="397C46BC"/>
    <w:multiLevelType w:val="hybridMultilevel"/>
    <w:lvl w:ilvl="0">
      <w:lvlJc w:val="left"/>
      <w:lvlText w:val="(%1)"/>
      <w:numFmt w:val="lowerLetter"/>
      <w:start w:val="2"/>
    </w:lvl>
  </w:abstractNum>
  <w:abstractNum w:abstractNumId="184">
    <w:nsid w:val="7E448DE9"/>
    <w:multiLevelType w:val="hybridMultilevel"/>
    <w:lvl w:ilvl="0">
      <w:lvlJc w:val="left"/>
      <w:lvlText w:val="(%1)"/>
      <w:numFmt w:val="lowerLetter"/>
      <w:start w:val="3"/>
    </w:lvl>
  </w:abstractNum>
  <w:abstractNum w:abstractNumId="185">
    <w:nsid w:val="5A9CC3E5"/>
    <w:multiLevelType w:val="hybridMultilevel"/>
    <w:lvl w:ilvl="0">
      <w:lvlJc w:val="left"/>
      <w:lvlText w:val="(%1)"/>
      <w:numFmt w:val="lowerLetter"/>
      <w:start w:val="1"/>
    </w:lvl>
    <w:lvl w:ilvl="1">
      <w:lvlJc w:val="left"/>
      <w:lvlText w:val="-"/>
      <w:numFmt w:val="bullet"/>
      <w:start w:val="1"/>
    </w:lvl>
  </w:abstractNum>
  <w:abstractNum w:abstractNumId="186">
    <w:nsid w:val="1AFE3625"/>
    <w:multiLevelType w:val="hybridMultilevel"/>
    <w:lvl w:ilvl="0">
      <w:lvlJc w:val="left"/>
      <w:lvlText w:val="(%1)"/>
      <w:numFmt w:val="lowerLetter"/>
      <w:start w:val="2"/>
    </w:lvl>
    <w:lvl w:ilvl="1">
      <w:lvlJc w:val="left"/>
      <w:lvlText w:val="(%2)"/>
      <w:numFmt w:val="lowerRoman"/>
      <w:start w:val="1"/>
    </w:lvl>
  </w:abstractNum>
  <w:abstractNum w:abstractNumId="187">
    <w:nsid w:val="3CA88ECF"/>
    <w:multiLevelType w:val="hybridMultilevel"/>
    <w:lvl w:ilvl="0">
      <w:lvlJc w:val="left"/>
      <w:lvlText w:val="(%1)"/>
      <w:numFmt w:val="lowerLetter"/>
      <w:start w:val="1"/>
    </w:lvl>
    <w:lvl w:ilvl="1">
      <w:lvlJc w:val="left"/>
      <w:lvlText w:val="-"/>
      <w:numFmt w:val="bullet"/>
      <w:start w:val="1"/>
    </w:lvl>
  </w:abstractNum>
  <w:abstractNum w:abstractNumId="188">
    <w:nsid w:val="6EBE420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9">
    <w:nsid w:val="C058DF5"/>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190">
    <w:nsid w:val="CBE5BE9"/>
    <w:multiLevelType w:val="hybridMultilevel"/>
    <w:lvl w:ilvl="0">
      <w:lvlJc w:val="left"/>
      <w:lvlText w:val="%1"/>
      <w:numFmt w:val="lowerRoman"/>
      <w:start w:val="1"/>
    </w:lvl>
    <w:lvl w:ilvl="1">
      <w:lvlJc w:val="left"/>
      <w:lvlText w:val="(%2)"/>
      <w:numFmt w:val="lowerRoman"/>
      <w:start w:val="2"/>
    </w:lvl>
  </w:abstractNum>
  <w:abstractNum w:abstractNumId="191">
    <w:nsid w:val="3102BBE2"/>
    <w:multiLevelType w:val="hybridMultilevel"/>
    <w:lvl w:ilvl="0">
      <w:lvlJc w:val="left"/>
      <w:lvlText w:val="(%1)"/>
      <w:numFmt w:val="lowerRoman"/>
      <w:start w:val="1"/>
    </w:lvl>
    <w:lvl w:ilvl="1">
      <w:lvlJc w:val="left"/>
      <w:lvlText w:val="%2"/>
      <w:numFmt w:val="lowerRoman"/>
      <w:start w:val="1"/>
    </w:lvl>
  </w:abstractNum>
  <w:abstractNum w:abstractNumId="192">
    <w:nsid w:val="26A02C5E"/>
    <w:multiLevelType w:val="hybridMultilevel"/>
    <w:lvl w:ilvl="0">
      <w:lvlJc w:val="left"/>
      <w:lvlText w:val="(%1)"/>
      <w:numFmt w:val="lowerLetter"/>
      <w:start w:val="1"/>
    </w:lvl>
  </w:abstractNum>
  <w:abstractNum w:abstractNumId="193">
    <w:nsid w:val="541C8153"/>
    <w:multiLevelType w:val="hybridMultilevel"/>
    <w:lvl w:ilvl="0">
      <w:lvlJc w:val="left"/>
      <w:lvlText w:val="(%1)"/>
      <w:numFmt w:val="lowerLetter"/>
      <w:start w:val="1"/>
    </w:lvl>
    <w:lvl w:ilvl="1">
      <w:lvlJc w:val="left"/>
      <w:lvlText w:val="(%2)"/>
      <w:numFmt w:val="lowerRoman"/>
      <w:start w:val="1"/>
    </w:lvl>
  </w:abstractNum>
  <w:abstractNum w:abstractNumId="194">
    <w:nsid w:val="67906F60"/>
    <w:multiLevelType w:val="hybridMultilevel"/>
    <w:lvl w:ilvl="0">
      <w:lvlJc w:val="left"/>
      <w:lvlText w:val="%1."/>
      <w:numFmt w:val="decimal"/>
      <w:start w:val="1"/>
    </w:lvl>
    <w:lvl w:ilvl="1">
      <w:lvlJc w:val="left"/>
      <w:lvlText w:val="%2)"/>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2024-08-09T15:47:42Z</dcterms:created>
  <dcterms:modified xsi:type="dcterms:W3CDTF">2024-08-09T15:47:42Z</dcterms:modified>
</cp:coreProperties>
</file>