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343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43900"/>
                    </a:xfrm>
                    <a:prstGeom prst="rect">
                      <a:avLst/>
                    </a:prstGeom>
                    <a:noFill/>
                  </pic:spPr>
                </pic:pic>
              </a:graphicData>
            </a:graphic>
          </wp:anchor>
        </w:drawing>
      </w:r>
    </w:p>
    <w:p>
      <w:pPr>
        <w:spacing w:after="0" w:line="32" w:lineRule="exact"/>
        <w:rPr>
          <w:sz w:val="24"/>
          <w:szCs w:val="24"/>
          <w:color w:val="auto"/>
        </w:rPr>
      </w:pPr>
    </w:p>
    <w:p>
      <w:pPr>
        <w:sectPr>
          <w:pgSz w:w="11900" w:h="16839"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ROSENWALD LINDSAY A MD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bottom w:val="single" w:sz="8" w:color="0000EE"/>
            </w:tcBorders>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MANHATTAN PHARMACEUTICALS</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MHTT</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8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3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600" w:type="dxa"/>
            <w:vAlign w:val="bottom"/>
            <w:gridSpan w:val="2"/>
            <w:vMerge w:val="restart"/>
          </w:tcPr>
          <w:p>
            <w:pPr>
              <w:ind w:left="3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1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200" w:type="dxa"/>
            <w:vAlign w:val="bottom"/>
            <w:gridSpan w:val="2"/>
            <w:vMerge w:val="restart"/>
          </w:tcPr>
          <w:p>
            <w:pPr>
              <w:spacing w:after="0"/>
              <w:rPr>
                <w:sz w:val="20"/>
                <w:szCs w:val="20"/>
                <w:color w:val="auto"/>
              </w:rPr>
            </w:pPr>
            <w:r>
              <w:rPr>
                <w:rFonts w:ascii="Arial" w:cs="Arial" w:eastAsia="Arial" w:hAnsi="Arial"/>
                <w:sz w:val="18"/>
                <w:szCs w:val="18"/>
                <w:color w:val="0000FF"/>
              </w:rPr>
              <w:t>787 SEVENTH AVENUE</w:t>
            </w: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80" w:type="dxa"/>
            <w:vAlign w:val="bottom"/>
            <w:gridSpan w:val="4"/>
          </w:tcPr>
          <w:p>
            <w:pPr>
              <w:ind w:left="160"/>
              <w:spacing w:after="0"/>
              <w:rPr>
                <w:sz w:val="20"/>
                <w:szCs w:val="20"/>
                <w:color w:val="auto"/>
              </w:rPr>
            </w:pPr>
            <w:r>
              <w:rPr>
                <w:rFonts w:ascii="Arial" w:cs="Arial" w:eastAsia="Arial" w:hAnsi="Arial"/>
                <w:sz w:val="18"/>
                <w:szCs w:val="18"/>
                <w:color w:val="0000FF"/>
              </w:rPr>
              <w:t>04/12/2005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48TH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5" w:lineRule="exact"/>
        <w:rPr>
          <w:sz w:val="20"/>
          <w:szCs w:val="20"/>
          <w:color w:val="auto"/>
        </w:rPr>
      </w:pPr>
    </w:p>
    <w:p>
      <w:pPr>
        <w:sectPr>
          <w:pgSz w:w="11900" w:h="16839"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40" w:type="dxa"/>
            <w:vAlign w:val="bottom"/>
            <w:gridSpan w:val="6"/>
          </w:tcPr>
          <w:p>
            <w:pPr>
              <w:ind w:left="160"/>
              <w:spacing w:after="0" w:line="160"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10"/>
          </w:tcPr>
          <w:p>
            <w:pPr>
              <w:ind w:left="500"/>
              <w:spacing w:after="0" w:line="160"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4"/>
          </w:tcPr>
          <w:p>
            <w:pPr>
              <w:ind w:left="500"/>
              <w:spacing w:after="0" w:line="148"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20" w:type="dxa"/>
            <w:vAlign w:val="bottom"/>
            <w:gridSpan w:val="8"/>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10019</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5"/>
                <w:szCs w:val="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Owned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2,682,318</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the benefit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Person.</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80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Owned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38</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9"/>
              </w:rPr>
              <w:t>June Street</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Company.</w:t>
            </w:r>
            <w:r>
              <w:rPr>
                <w:rFonts w:ascii="Arial" w:cs="Arial" w:eastAsia="Arial" w:hAnsi="Arial"/>
                <w:sz w:val="22"/>
                <w:szCs w:val="22"/>
                <w:color w:val="008000"/>
                <w:w w:val="89"/>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Owned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38</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Huntington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Street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Company.</w:t>
            </w:r>
            <w:r>
              <w:rPr>
                <w:rFonts w:ascii="Arial" w:cs="Arial" w:eastAsia="Arial" w:hAnsi="Arial"/>
                <w:sz w:val="22"/>
                <w:szCs w:val="22"/>
                <w:color w:val="008000"/>
                <w:w w:val="89"/>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Owned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33</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children.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3"/>
                <w:szCs w:val="23"/>
                <w:color w:val="auto"/>
              </w:rPr>
            </w:pPr>
          </w:p>
        </w:tc>
        <w:tc>
          <w:tcPr>
            <w:tcW w:w="1000" w:type="dxa"/>
            <w:vAlign w:val="bottom"/>
            <w:tcBorders>
              <w:top w:val="single" w:sz="8" w:color="2C2C2C"/>
            </w:tcBorders>
          </w:tcPr>
          <w:p>
            <w:pPr>
              <w:spacing w:after="0"/>
              <w:rPr>
                <w:sz w:val="23"/>
                <w:szCs w:val="23"/>
                <w:color w:val="auto"/>
              </w:rPr>
            </w:pPr>
          </w:p>
        </w:tc>
        <w:tc>
          <w:tcPr>
            <w:tcW w:w="1680" w:type="dxa"/>
            <w:vAlign w:val="bottom"/>
            <w:tcBorders>
              <w:top w:val="single" w:sz="8" w:color="2C2C2C"/>
            </w:tcBorders>
            <w:gridSpan w:val="3"/>
          </w:tcPr>
          <w:p>
            <w:pPr>
              <w:ind w:left="740"/>
              <w:spacing w:after="0"/>
              <w:rPr>
                <w:sz w:val="20"/>
                <w:szCs w:val="20"/>
                <w:color w:val="auto"/>
              </w:rPr>
            </w:pPr>
            <w:r>
              <w:rPr>
                <w:rFonts w:ascii="Arial" w:cs="Arial" w:eastAsia="Arial" w:hAnsi="Arial"/>
                <w:sz w:val="18"/>
                <w:szCs w:val="18"/>
                <w:color w:val="0000FF"/>
              </w:rPr>
              <w:t>04/12/2005</w:t>
            </w: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4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0000FF"/>
              </w:rPr>
              <w:t>5,000</w:t>
            </w:r>
          </w:p>
        </w:tc>
        <w:tc>
          <w:tcPr>
            <w:tcW w:w="500" w:type="dxa"/>
            <w:vAlign w:val="bottom"/>
            <w:tcBorders>
              <w:top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40" w:type="dxa"/>
            <w:vAlign w:val="bottom"/>
            <w:tcBorders>
              <w:top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1.58</w:t>
            </w: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2,579,321</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80" w:type="dxa"/>
            <w:vAlign w:val="bottom"/>
            <w:gridSpan w:val="3"/>
          </w:tcPr>
          <w:p>
            <w:pPr>
              <w:ind w:left="740"/>
              <w:spacing w:after="0"/>
              <w:rPr>
                <w:sz w:val="20"/>
                <w:szCs w:val="20"/>
                <w:color w:val="auto"/>
              </w:rPr>
            </w:pPr>
            <w:r>
              <w:rPr>
                <w:rFonts w:ascii="Arial" w:cs="Arial" w:eastAsia="Arial" w:hAnsi="Arial"/>
                <w:sz w:val="18"/>
                <w:szCs w:val="18"/>
                <w:color w:val="0000FF"/>
              </w:rPr>
              <w:t>04/13/2005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85"/>
              </w:rPr>
              <w:t>P</w:t>
            </w:r>
          </w:p>
        </w:tc>
        <w:tc>
          <w:tcPr>
            <w:tcW w:w="740" w:type="dxa"/>
            <w:vAlign w:val="bottom"/>
          </w:tcPr>
          <w:p>
            <w:pPr>
              <w:ind w:left="200"/>
              <w:spacing w:after="0"/>
              <w:rPr>
                <w:sz w:val="20"/>
                <w:szCs w:val="20"/>
                <w:color w:val="auto"/>
              </w:rPr>
            </w:pPr>
            <w:r>
              <w:rPr>
                <w:rFonts w:ascii="Arial" w:cs="Arial" w:eastAsia="Arial" w:hAnsi="Arial"/>
                <w:sz w:val="18"/>
                <w:szCs w:val="18"/>
                <w:color w:val="0000FF"/>
              </w:rPr>
              <w:t>5,000</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2,584,321</w:t>
            </w:r>
          </w:p>
        </w:tc>
        <w:tc>
          <w:tcPr>
            <w:tcW w:w="30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430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by three trusts for the benefit of the Reporting Person; however, Lester Lipshultz, and not the Reporting Person, has voting and dispositive control over the shares owned by these three trusts. Accordingly, the Reporting Person disclaims beneficial ownership of these shares, except as to any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corporation of which the Reporting Person is the sole shareholder.</w:t>
      </w:r>
    </w:p>
    <w:p>
      <w:pPr>
        <w:spacing w:after="0" w:line="41"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5,387,450 shares of common stock and 25,524 shares of Series A Convertible Preferred Stock (which is convertible into 232,036 shares of Common Stock), which are owned by certain trusts for the benefit of the Reporting Person's children. The Reporting Person disclaims beneficial ownership of these shares, except to any pecuniary interest therein. The shares owned by the trusts are reported on a separate Form 4, prepared by the trustee/investment manager.</w:t>
      </w:r>
    </w:p>
    <w:p>
      <w:pPr>
        <w:sectPr>
          <w:pgSz w:w="11900" w:h="16839" w:orient="portrait"/>
          <w:cols w:equalWidth="0" w:num="1">
            <w:col w:w="11420"/>
          </w:cols>
          <w:pgMar w:left="240" w:top="226" w:right="239" w:bottom="0" w:gutter="0" w:footer="0" w:header="0"/>
          <w:type w:val="continuous"/>
        </w:sectPr>
      </w:pPr>
    </w:p>
    <w:p>
      <w:pPr>
        <w:spacing w:after="0" w:line="6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Lindsay A. Rosenwald,</w:t>
      </w:r>
      <w:r>
        <w:rPr>
          <w:sz w:val="20"/>
          <w:szCs w:val="20"/>
          <w:color w:val="auto"/>
        </w:rPr>
        <w:tab/>
      </w:r>
      <w:r>
        <w:rPr>
          <w:rFonts w:ascii="Arial" w:cs="Arial" w:eastAsia="Arial" w:hAnsi="Arial"/>
          <w:sz w:val="15"/>
          <w:szCs w:val="15"/>
          <w:color w:val="0000FF"/>
        </w:rPr>
        <w:t>04/14/2005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9"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235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3558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0941841" TargetMode="External"/><Relationship Id="rId13"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2019-12-17T06:21:58Z</dcterms:created>
  <dcterms:modified xsi:type="dcterms:W3CDTF">2019-12-17T06:21:58Z</dcterms:modified>
</cp:coreProperties>
</file>