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141,468,357 shares of the registrant’s common stock, $0.001 par value, outstanding as of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0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r>
      <w:tr>
        <w:trPr>
          <w:trHeight w:val="364"/>
        </w:trPr>
        <w:tc>
          <w:tcPr>
            <w:tcW w:w="81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7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14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3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Financial Statements:</w:t>
              </w:r>
            </w:hyperlink>
          </w:p>
        </w:tc>
        <w:tc>
          <w:tcPr>
            <w:tcW w:w="700" w:type="dxa"/>
            <w:vAlign w:val="bottom"/>
            <w:tcBorders>
              <w:top w:val="single" w:sz="8" w:color="0000EE"/>
            </w:tcBorders>
            <w:gridSpan w:val="3"/>
          </w:tcPr>
          <w:p>
            <w:pPr>
              <w:spacing w:after="0"/>
              <w:rPr>
                <w:sz w:val="24"/>
                <w:szCs w:val="24"/>
                <w:color w:val="auto"/>
              </w:rPr>
            </w:pPr>
          </w:p>
        </w:tc>
        <w:tc>
          <w:tcPr>
            <w:tcW w:w="51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Balance Sheets</w:t>
              </w:r>
            </w:hyperlink>
          </w:p>
        </w:tc>
        <w:tc>
          <w:tcPr>
            <w:tcW w:w="442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(unaudited)</w:t>
              </w:r>
            </w:hyperlink>
          </w:p>
        </w:tc>
        <w:tc>
          <w:tcPr>
            <w:tcW w:w="282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Changes in Stockholders’ (Deficit) Equity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(unaudited)</w:t>
              </w:r>
            </w:hyperlink>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9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300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460" w:type="dxa"/>
            <w:vAlign w:val="bottom"/>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300" w:type="dxa"/>
            <w:vAlign w:val="bottom"/>
            <w:gridSpan w:val="4"/>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73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48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6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3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Item 6</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646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4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2" w:lineRule="exact"/>
        <w:rPr>
          <w:sz w:val="20"/>
          <w:szCs w:val="20"/>
          <w:color w:val="auto"/>
        </w:rPr>
      </w:pPr>
    </w:p>
    <w:p>
      <w:pPr>
        <w:ind w:left="760" w:right="79" w:hanging="359"/>
        <w:spacing w:after="0" w:line="21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a commercial infrastructure, and to successfully launch, market and sell UKONIQ</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(umbralisib) in the U.S. and any products for which we obtain regulatory approval in the future;</w:t>
      </w:r>
    </w:p>
    <w:p>
      <w:pPr>
        <w:spacing w:after="0" w:line="1" w:lineRule="exact"/>
        <w:rPr>
          <w:rFonts w:ascii="Arial" w:cs="Arial" w:eastAsia="Arial" w:hAnsi="Arial"/>
          <w:sz w:val="17"/>
          <w:szCs w:val="17"/>
          <w:color w:val="auto"/>
        </w:rPr>
      </w:pPr>
    </w:p>
    <w:p>
      <w:pPr>
        <w:ind w:left="760" w:right="79" w:hanging="359"/>
        <w:spacing w:after="0" w:line="26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 of the ongoing commercialization of UKONIQ and potential future commercialization of any future products, including the anticipated rate and degree of market acceptance and pricing and reimbursement;</w:t>
      </w: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complete regulatory submissions for our product candidates and additional indications for UKONIQ, and acceptance and review of those submissions by regulatory authorities, including in the U.S. and in additional geographies;</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w:t>
      </w:r>
    </w:p>
    <w:p>
      <w:pPr>
        <w:spacing w:after="0" w:line="9"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without limitation, UNITY-CLL Phase 3 clinical trial, ULTIMATE I and II Phase 3 clinical trials and UNITY-NHL Phase 2b clinical trial;</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0" w:lineRule="exact"/>
        <w:rPr>
          <w:rFonts w:ascii="Arial" w:cs="Arial" w:eastAsia="Arial" w:hAnsi="Arial"/>
          <w:sz w:val="17"/>
          <w:szCs w:val="17"/>
          <w:color w:val="auto"/>
        </w:rPr>
      </w:pP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20"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UKONIQ or any future approved products may be less successful than anticipated or unsuccessful.</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and related response measures to control it have impacted our sales and marketing efforts for UKONIQ and could have an adverse impact on our commercial launch of ublituximab, if approved.</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UKONIQ or any future approved product does not achieve broad market acceptance among physicians, patients, payors, and the medical community, the revenues that we generate from product sales will be limited.</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market opportunities for UKONIQ and future approved products are smaller than we estimate or if any approval that we obtain is based on a narrower patient population, our revenue will be adversely affected.</w:t>
      </w:r>
    </w:p>
    <w:p>
      <w:pPr>
        <w:ind w:left="380" w:right="79" w:hanging="330"/>
        <w:spacing w:after="0" w:line="28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ind w:left="380" w:right="7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commercialization of any of our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losses for the foreseeable future.</w:t>
      </w:r>
    </w:p>
    <w:p>
      <w:pPr>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7" w:lineRule="exact"/>
        <w:rPr>
          <w:sz w:val="20"/>
          <w:szCs w:val="20"/>
          <w:color w:val="auto"/>
        </w:rPr>
      </w:pPr>
    </w:p>
    <w:p>
      <w:pPr>
        <w:jc w:val="both"/>
        <w:ind w:left="380" w:right="79" w:hanging="330"/>
        <w:spacing w:after="0" w:line="281"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approval of UKONIQ for patients with marginal zone lymphoma and follicular lymphoma is conditional, and continued approval for these indications is contingent upon verification and description of clinical benefit in a confirmatory trial. If we are unable to maintain regulatory approval for UKONIQ or obtain or maintain regulatory approval for our drug candidates, or experience significant delays in doing so, our business will be materially harmed.</w:t>
      </w:r>
    </w:p>
    <w:p>
      <w:pPr>
        <w:spacing w:after="0" w:line="2"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and product candidates may cause undesirable side effects that could delay or prevent their regulatory approval or significantly limit their commercial profile following marketing approval, if any.</w:t>
      </w:r>
    </w:p>
    <w:p>
      <w:pPr>
        <w:jc w:val="both"/>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8"/>
          <w:szCs w:val="18"/>
          <w:color w:val="auto"/>
        </w:rPr>
      </w:pPr>
    </w:p>
    <w:p>
      <w:pPr>
        <w:ind w:left="380" w:right="79" w:hanging="330"/>
        <w:spacing w:after="0" w:line="265"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product candidates we may advance through clinical development are subject to extensive regulation, which can be costly and time consuming, cause unanticipated delays, or prevent the receipt of the required approvals.</w:t>
      </w:r>
    </w:p>
    <w:p>
      <w:pPr>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Fast Track or Breakthrough Therapy designation by the U.S. Food and Drug Administration (“FDA”) may not actually lead to a faster development, regulatory review or approval process.</w:t>
      </w:r>
    </w:p>
    <w:p>
      <w:pPr>
        <w:jc w:val="both"/>
        <w:ind w:left="380" w:right="79" w:hanging="330"/>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we have received orphan drug designation for UKONIQ and for some of our drug candidates for specified indications and may seek additional orphan drug designations, we may be unsuccessful in obtaining or maintaining the benefits associated with orphan drug status.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extensive regulation, including new legislation, regulatory proposals and third-party payor initiatives, that may increase our costs of compliance and adversely affect our ability to market our products, obtain collaborators and raise capital.</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regulatory requirements, any product for which we obtain marketing approval could be subject to restrictions or withdrawal from the market and we may be subject to penalties.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ind w:left="380" w:right="79" w:hanging="330"/>
        <w:spacing w:after="0" w:line="290"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and other requirements imposed by governmental patent agencies.</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ind w:left="380" w:right="7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and competitive position may be harmed.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ind w:left="380" w:right="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spacing w:after="0" w:line="181"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color w:val="auto"/>
        </w:rPr>
        <w:t>General Risks Related to Our Business Organization and Governance, Strategy, Employees and Growth Management</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jc w:val="both"/>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executive officers, directors and other stockholders own more than 10% of our outstanding common stock and may be able to influence our management and the outcome of matters submitted to shareholders for approval.</w:t>
      </w:r>
    </w:p>
    <w:p>
      <w:pPr>
        <w:spacing w:after="0" w:line="1" w:lineRule="exact"/>
        <w:rPr>
          <w:rFonts w:ascii="Arial" w:cs="Arial" w:eastAsia="Arial" w:hAnsi="Arial"/>
          <w:sz w:val="18"/>
          <w:szCs w:val="18"/>
          <w:color w:val="auto"/>
        </w:rPr>
      </w:pP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400" w:hanging="24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stock price is, and we expect it to remain, volatile, which could limit investors’ ability to sell stock at a profit.</w:t>
      </w:r>
    </w:p>
    <w:p>
      <w:pPr>
        <w:spacing w:after="0" w:line="22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foregoing is only a summary of some of our risks. These and other risks are discussed more fully in the section entitled “Risk Factors” in Part II, Item IA and elsewhere in this Quarterly Report on Form 10-Q (our “Risk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r>
      <w:tr>
        <w:trPr>
          <w:trHeight w:val="156"/>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(Note 1)</w:t>
            </w:r>
          </w:p>
        </w:tc>
        <w:tc>
          <w:tcPr>
            <w:tcW w:w="180" w:type="dxa"/>
            <w:vAlign w:val="bottom"/>
          </w:tcPr>
          <w:p>
            <w:pPr>
              <w:spacing w:after="0"/>
              <w:rPr>
                <w:sz w:val="13"/>
                <w:szCs w:val="13"/>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5,231</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18"/>
                <w:szCs w:val="18"/>
                <w:color w:val="auto"/>
              </w:rPr>
            </w:pPr>
          </w:p>
        </w:tc>
      </w:tr>
      <w:tr>
        <w:trPr>
          <w:trHeight w:val="209"/>
        </w:trPr>
        <w:tc>
          <w:tcPr>
            <w:tcW w:w="654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611,740</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9,312</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r>
      <w:tr>
        <w:trPr>
          <w:trHeight w:val="250"/>
        </w:trPr>
        <w:tc>
          <w:tcPr>
            <w:tcW w:w="6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548,699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625,642</w:t>
            </w:r>
          </w:p>
        </w:tc>
        <w:tc>
          <w:tcPr>
            <w:tcW w:w="180" w:type="dxa"/>
            <w:vAlign w:val="bottom"/>
            <w:tcBorders>
              <w:bottom w:val="single" w:sz="8" w:color="CCEEFF"/>
            </w:tcBorders>
          </w:tcPr>
          <w:p>
            <w:pPr>
              <w:spacing w:after="0"/>
              <w:rPr>
                <w:sz w:val="21"/>
                <w:szCs w:val="21"/>
                <w:color w:val="auto"/>
              </w:rPr>
            </w:pPr>
          </w:p>
        </w:tc>
      </w:tr>
      <w:tr>
        <w:trPr>
          <w:trHeight w:val="196"/>
        </w:trPr>
        <w:tc>
          <w:tcPr>
            <w:tcW w:w="6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37,014</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Loan payable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22,179</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w:t>
            </w:r>
          </w:p>
        </w:tc>
        <w:tc>
          <w:tcPr>
            <w:tcW w:w="18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87,554</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 – non-current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 non-current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18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106,292</w:t>
            </w:r>
          </w:p>
        </w:tc>
        <w:tc>
          <w:tcPr>
            <w:tcW w:w="180" w:type="dxa"/>
            <w:vAlign w:val="bottom"/>
            <w:shd w:val="clear" w:color="auto" w:fill="CCEEFF"/>
          </w:tcPr>
          <w:p>
            <w:pPr>
              <w:spacing w:after="0"/>
              <w:rPr>
                <w:sz w:val="18"/>
                <w:szCs w:val="18"/>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6540" w:type="dxa"/>
            <w:vAlign w:val="bottom"/>
          </w:tcPr>
          <w:p>
            <w:pPr>
              <w:ind w:left="440"/>
              <w:spacing w:after="0" w:line="201" w:lineRule="exact"/>
              <w:rPr>
                <w:sz w:val="20"/>
                <w:szCs w:val="20"/>
                <w:color w:val="auto"/>
              </w:rPr>
            </w:pPr>
            <w:r>
              <w:rPr>
                <w:rFonts w:ascii="Arial" w:cs="Arial" w:eastAsia="Arial" w:hAnsi="Arial"/>
                <w:sz w:val="18"/>
                <w:szCs w:val="18"/>
                <w:color w:val="auto"/>
                <w:w w:val="94"/>
              </w:rPr>
              <w:t>Preferred stock, $0.001 par value per share (10,000,000 shares authorized, none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issued and outstanding as of March 31, 2021 and December 31, 2020)</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65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Common stock, $0.001 par value per share (150,000,000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141,520,696 and 140,617,606 shares issued, 141,479,387 and 140,576,297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March 31, 2021 and December 31, 2020,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20"/>
                <w:szCs w:val="20"/>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1,500,040</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Treasury stock, at cost, 41,309 shares at March 31, 2021 and December 31, 2020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(1,071,225)</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(980,597)</w:t>
            </w:r>
          </w:p>
        </w:tc>
      </w:tr>
      <w:tr>
        <w:trPr>
          <w:trHeight w:val="210"/>
        </w:trPr>
        <w:tc>
          <w:tcPr>
            <w:tcW w:w="65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65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548,699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625,642</w:t>
            </w:r>
          </w:p>
        </w:tc>
        <w:tc>
          <w:tcPr>
            <w:tcW w:w="18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Three months ended</w:t>
      </w:r>
    </w:p>
    <w:p>
      <w:pPr>
        <w:ind w:left="7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(89,202)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(50,245)</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Weighted-average shares used in computing basic and diluted net loss per common</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131,898,626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105,461,892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(Deficit)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3"/>
        </w:trPr>
        <w:tc>
          <w:tcPr>
            <w:tcW w:w="3820" w:type="dxa"/>
            <w:vAlign w:val="bottom"/>
          </w:tcPr>
          <w:p>
            <w:pPr>
              <w:spacing w:after="0"/>
              <w:rPr>
                <w:sz w:val="13"/>
                <w:szCs w:val="13"/>
                <w:color w:val="auto"/>
              </w:rPr>
            </w:pP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109,425,243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739,956</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(701,216)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774,300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(51,116)</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4"/>
              </w:rPr>
              <w:t>(51,116)</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110,209,293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751,103</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(752,332)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(1,353)</w:t>
            </w:r>
          </w:p>
        </w:tc>
      </w:tr>
      <w:tr>
        <w:trPr>
          <w:trHeight w:val="117"/>
        </w:trPr>
        <w:tc>
          <w:tcPr>
            <w:tcW w:w="3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53"/>
        </w:trPr>
        <w:tc>
          <w:tcPr>
            <w:tcW w:w="3820" w:type="dxa"/>
            <w:vAlign w:val="bottom"/>
          </w:tcPr>
          <w:p>
            <w:pPr>
              <w:spacing w:after="0"/>
              <w:rPr>
                <w:sz w:val="13"/>
                <w:szCs w:val="13"/>
                <w:color w:val="auto"/>
              </w:rPr>
            </w:pP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140,617,606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$ 1,500,040</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(980,597)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519,350</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31,245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893,488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(21,643)</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(183)</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16,618</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16,618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(90,628)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(90,628)</w:t>
            </w:r>
          </w:p>
        </w:tc>
      </w:tr>
      <w:tr>
        <w:trPr>
          <w:trHeight w:val="154"/>
        </w:trPr>
        <w:tc>
          <w:tcPr>
            <w:tcW w:w="3820" w:type="dxa"/>
            <w:vAlign w:val="bottom"/>
          </w:tcPr>
          <w:p>
            <w:pPr>
              <w:ind w:left="20"/>
              <w:spacing w:after="0" w:line="141" w:lineRule="exact"/>
              <w:rPr>
                <w:sz w:val="20"/>
                <w:szCs w:val="20"/>
                <w:color w:val="auto"/>
              </w:rPr>
            </w:pPr>
            <w:r>
              <w:rPr>
                <w:rFonts w:ascii="Arial" w:cs="Arial" w:eastAsia="Arial" w:hAnsi="Arial"/>
                <w:sz w:val="13"/>
                <w:szCs w:val="13"/>
                <w:color w:val="auto"/>
              </w:rPr>
              <w:t>Balance at March 31,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8"/>
              </w:rPr>
              <w:t>141,520,696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1,516,602</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41,309</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(1,071,225)</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445,285</w:t>
            </w:r>
          </w:p>
        </w:tc>
      </w:tr>
    </w:tbl>
    <w:p>
      <w:pPr>
        <w:spacing w:after="0" w:line="87"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1"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Three months ended</w:t>
      </w:r>
    </w:p>
    <w:p>
      <w:pPr>
        <w:ind w:left="74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(90,628)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(51,116)</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11,068</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in other current assets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(4,107)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(1,017)</w:t>
            </w: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Increase in accounts receivable</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(771)</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(1,567)</w:t>
            </w: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(1,967)</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other liabilities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(19,730)</w:t>
            </w:r>
          </w:p>
        </w:tc>
      </w:tr>
      <w:tr>
        <w:trPr>
          <w:trHeight w:val="149"/>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(81,355)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(62,115)</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(17,447)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(7,482)</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Purchases of equipment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(514)</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1,450</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Offering costs paid</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NET DECREASE IN CASH, CASH EQUIVALENTS AND RESTRICTED CASH</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(81,924)</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(60,584)</w:t>
            </w: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554,698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113,887</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89"/>
        </w:trPr>
        <w:tc>
          <w:tcPr>
            <w:tcW w:w="67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472,774</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53,303</w:t>
            </w:r>
          </w:p>
        </w:tc>
        <w:tc>
          <w:tcPr>
            <w:tcW w:w="200" w:type="dxa"/>
            <w:vAlign w:val="bottom"/>
            <w:tcBorders>
              <w:bottom w:val="single" w:sz="8" w:color="CCEEFF"/>
            </w:tcBorders>
          </w:tcPr>
          <w:p>
            <w:pPr>
              <w:spacing w:after="0"/>
              <w:rPr>
                <w:sz w:val="16"/>
                <w:szCs w:val="16"/>
                <w:color w:val="auto"/>
              </w:rPr>
            </w:pPr>
          </w:p>
        </w:tc>
      </w:tr>
      <w:tr>
        <w:trPr>
          <w:trHeight w:val="129"/>
        </w:trPr>
        <w:tc>
          <w:tcPr>
            <w:tcW w:w="6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471,514</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52,051</w:t>
            </w: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1,252</w:t>
            </w:r>
          </w:p>
        </w:tc>
        <w:tc>
          <w:tcPr>
            <w:tcW w:w="200" w:type="dxa"/>
            <w:vAlign w:val="bottom"/>
            <w:shd w:val="clear" w:color="auto" w:fill="CCEEFF"/>
          </w:tcPr>
          <w:p>
            <w:pPr>
              <w:spacing w:after="0"/>
              <w:rPr>
                <w:sz w:val="12"/>
                <w:szCs w:val="12"/>
                <w:color w:val="auto"/>
              </w:rPr>
            </w:pPr>
          </w:p>
        </w:tc>
      </w:tr>
      <w:tr>
        <w:trPr>
          <w:trHeight w:val="182"/>
        </w:trPr>
        <w:tc>
          <w:tcPr>
            <w:tcW w:w="67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472,774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53,303</w:t>
            </w:r>
          </w:p>
        </w:tc>
        <w:tc>
          <w:tcPr>
            <w:tcW w:w="200" w:type="dxa"/>
            <w:vAlign w:val="bottom"/>
            <w:tcBorders>
              <w:bottom w:val="single" w:sz="8" w:color="CCEEFF"/>
            </w:tcBorders>
          </w:tcPr>
          <w:p>
            <w:pPr>
              <w:spacing w:after="0"/>
              <w:rPr>
                <w:sz w:val="15"/>
                <w:szCs w:val="15"/>
                <w:color w:val="auto"/>
              </w:rPr>
            </w:pPr>
          </w:p>
        </w:tc>
      </w:tr>
      <w:tr>
        <w:trPr>
          <w:trHeight w:val="129"/>
        </w:trPr>
        <w:tc>
          <w:tcPr>
            <w:tcW w:w="6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paid for: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w:t>
            </w:r>
          </w:p>
        </w:tc>
        <w:tc>
          <w:tcPr>
            <w:tcW w:w="200" w:type="dxa"/>
            <w:vAlign w:val="bottom"/>
            <w:shd w:val="clear" w:color="auto" w:fill="CCEEFF"/>
          </w:tcPr>
          <w:p>
            <w:pPr>
              <w:spacing w:after="0"/>
              <w:rPr>
                <w:sz w:val="12"/>
                <w:szCs w:val="12"/>
                <w:color w:val="auto"/>
              </w:rPr>
            </w:pPr>
          </w:p>
        </w:tc>
      </w:tr>
    </w:tbl>
    <w:p>
      <w:pPr>
        <w:spacing w:after="0" w:line="350"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marginal zone lymphoma (MZL) who have received at least one prior anti-CD20-based regimen and relapsed or refractory follicular lymphoma (FL) who have received at least three prior lines of systemic therapies. Currently, we have two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2020. The accompanying condensed December 31, 2020 balance sheet has been derived from these statements. The results of operations for the three months ended March 31, 2021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79" w:firstLine="492"/>
        <w:spacing w:after="0" w:line="342" w:lineRule="auto"/>
        <w:rPr>
          <w:sz w:val="20"/>
          <w:szCs w:val="20"/>
          <w:color w:val="auto"/>
        </w:rPr>
      </w:pPr>
      <w:r>
        <w:rPr>
          <w:rFonts w:ascii="Arial" w:cs="Arial" w:eastAsia="Arial" w:hAnsi="Arial"/>
          <w:sz w:val="16"/>
          <w:szCs w:val="16"/>
          <w:color w:val="auto"/>
        </w:rPr>
        <w:t>We have incurred operating losses since our inception and expect to continue to incur operating losses for the foreseeable future and may never become profitable. As of March 31, 2021, we have an accumulated deficit of $1.1 billion.</w:t>
      </w:r>
    </w:p>
    <w:p>
      <w:pPr>
        <w:spacing w:after="0" w:line="97"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Our major sources of cash have been proceeds from private placements and public offerings of equity securities. During the first quarter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our drug candidates.</w:t>
      </w:r>
    </w:p>
    <w:p>
      <w:pPr>
        <w:spacing w:after="0" w:line="16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March 31, 2021, we had $523.8 million in cash and cash equivalents, and investment securities. We anticipate that our cash and cash equivalents, and investment securities as of March 31,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26" w:lineRule="exact"/>
        <w:rPr>
          <w:sz w:val="20"/>
          <w:szCs w:val="20"/>
          <w:color w:val="auto"/>
        </w:rPr>
      </w:pPr>
    </w:p>
    <w:p>
      <w:pPr>
        <w:ind w:left="60" w:right="1399" w:firstLine="492"/>
        <w:spacing w:after="0" w:line="461" w:lineRule="auto"/>
        <w:rPr>
          <w:sz w:val="20"/>
          <w:szCs w:val="20"/>
          <w:color w:val="auto"/>
        </w:rPr>
      </w:pPr>
      <w:r>
        <w:rPr>
          <w:rFonts w:ascii="Arial" w:cs="Arial" w:eastAsia="Arial" w:hAnsi="Arial"/>
          <w:sz w:val="18"/>
          <w:szCs w:val="18"/>
          <w:color w:val="auto"/>
        </w:rPr>
        <w:t xml:space="preserve">Our common stock is quoted on the Nasdaq Capital Market and trades under the symbol “TGTX.” </w:t>
      </w:r>
      <w:r>
        <w:rPr>
          <w:rFonts w:ascii="Arial" w:cs="Arial" w:eastAsia="Arial" w:hAnsi="Arial"/>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significant accounting policies are described in Note 1 of Notes to Consolidated Financial Statements included in our 2020 Annual Report on Form 10-K, except as it relates to revenue recognition, accounts receivable, inventory, cost of product revenue, and the adoption of new accounting standards during the three months ended March 31, 2021, as discussed below.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260"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254"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 The Company recognizes product revenues, net of variable consideration related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chargebacks, government rebates, trade discounts and allowances, product returns, and co-payment assistance, which are described below.</w:t>
      </w:r>
    </w:p>
    <w:p>
      <w:pPr>
        <w:spacing w:after="0" w:line="13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to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Chargebacks and Administrative Fees: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 As part of the Company's contractual commitments to sell product to qualified healthcare providers, the Company pays fees for administrative services, such as account management and data reporting.</w:t>
      </w:r>
    </w:p>
    <w:p>
      <w:pPr>
        <w:spacing w:after="0" w:line="139"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0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0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4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UKONIQ for credit under the following circumstances:</w:t>
      </w:r>
    </w:p>
    <w:p>
      <w:pPr>
        <w:spacing w:after="0" w:line="130"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2021, the Company has not received any returns.</w:t>
      </w:r>
    </w:p>
    <w:p>
      <w:pPr>
        <w:spacing w:after="0" w:line="185" w:lineRule="exact"/>
        <w:rPr>
          <w:sz w:val="20"/>
          <w:szCs w:val="20"/>
          <w:color w:val="auto"/>
        </w:rPr>
      </w:pPr>
    </w:p>
    <w:p>
      <w:pPr>
        <w:jc w:val="both"/>
        <w:ind w:left="60" w:right="79" w:firstLine="492"/>
        <w:spacing w:after="0" w:line="311" w:lineRule="auto"/>
        <w:rPr>
          <w:sz w:val="20"/>
          <w:szCs w:val="20"/>
          <w:color w:val="auto"/>
        </w:rPr>
      </w:pPr>
      <w:r>
        <w:rPr>
          <w:rFonts w:ascii="Arial" w:cs="Arial" w:eastAsia="Arial" w:hAnsi="Arial"/>
          <w:sz w:val="16"/>
          <w:szCs w:val="16"/>
          <w:color w:val="auto"/>
        </w:rPr>
        <w:t>Co-Payment Assistance Programs: Co-payment assistance is provided to qualified patients,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March 31, 2021, we determined an allowance for expected credit losses related to outstanding accounts receivable was currently not required based upon our review of contractual payment terms and individual customer circumstances.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85"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color w:val="auto"/>
        </w:rPr>
        <w:t>Cost of product revenue consists primarily of materials, third-party manufacturing costs, as well as freight and royalties owed to our licensing partner for UKONIQ sales. Based on our policy to expense costs associated with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manufacture of our products prior to regulatory approval, the manufacturing costs of UKONIQ units recognized as revenue during the three months ended March 31, 2021 were expensed prior to receipt of FDA approval on February 5, 2021, and therefore are not included in costs of product revenue during the current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Inventory that can be used in either the production of clinical or commercial products is expensed as research and development costs when identified for use in clinical trials.</w:t>
      </w:r>
    </w:p>
    <w:p>
      <w:pPr>
        <w:spacing w:after="0" w:line="13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Prior to the approval of UKONIQ, all manufacturing and other potential costs related to the commercial launch of UKONIQ were expensed to research and development expense in the period incurred.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should the Company realize net income during the period presented. The cumulative amounts of potentially dilutive securities excluded from the calculation were 12,129,734 securities and 8,579,266 securities for the three month period ended March 31, 2021 and 2020, respectively.</w:t>
      </w:r>
    </w:p>
    <w:p>
      <w:pPr>
        <w:spacing w:after="0" w:line="15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62"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w:t>
      </w:r>
    </w:p>
    <w:tbl>
      <w:tblPr>
        <w:tblLayout w:type="fixed"/>
        <w:tblInd w:w="60" w:type="dxa"/>
        <w:tblCellMar>
          <w:top w:w="0" w:type="dxa"/>
          <w:left w:w="0" w:type="dxa"/>
          <w:bottom w:w="0" w:type="dxa"/>
          <w:right w:w="0" w:type="dxa"/>
        </w:tblCellMar>
      </w:tblPr>
      <w:tr>
        <w:trPr>
          <w:trHeight w:val="159"/>
        </w:trPr>
        <w:tc>
          <w:tcPr>
            <w:tcW w:w="6460" w:type="dxa"/>
            <w:vAlign w:val="bottom"/>
          </w:tcPr>
          <w:p>
            <w:pPr>
              <w:spacing w:after="0"/>
              <w:rPr>
                <w:sz w:val="13"/>
                <w:szCs w:val="13"/>
                <w:color w:val="auto"/>
              </w:rPr>
            </w:pPr>
          </w:p>
        </w:tc>
        <w:tc>
          <w:tcPr>
            <w:tcW w:w="1420" w:type="dxa"/>
            <w:vAlign w:val="bottom"/>
            <w:tcBorders>
              <w:bottom w:val="single" w:sz="8" w:color="auto"/>
            </w:tcBorders>
            <w:gridSpan w:val="3"/>
          </w:tcPr>
          <w:p>
            <w:pPr>
              <w:ind w:left="780"/>
              <w:spacing w:after="0" w:line="159" w:lineRule="exact"/>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9,474,026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5,828,852</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Pr>
          <w:p>
            <w:pPr>
              <w:ind w:left="40"/>
              <w:spacing w:after="0"/>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2,490,396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2,585,980</w:t>
            </w:r>
          </w:p>
        </w:tc>
        <w:tc>
          <w:tcPr>
            <w:tcW w:w="2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18,254</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200" w:type="dxa"/>
            <w:vAlign w:val="bottom"/>
            <w:tcBorders>
              <w:bottom w:val="single" w:sz="8" w:color="CCEEFF"/>
            </w:tcBorders>
          </w:tcPr>
          <w:p>
            <w:pPr>
              <w:spacing w:after="0"/>
              <w:rPr>
                <w:sz w:val="18"/>
                <w:szCs w:val="18"/>
                <w:color w:val="auto"/>
              </w:rPr>
            </w:pPr>
          </w:p>
        </w:tc>
      </w:tr>
      <w:tr>
        <w:trPr>
          <w:trHeight w:val="20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12,129,734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8,579,266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59" w:firstLine="492"/>
        <w:spacing w:after="0" w:line="254"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Accounting for Income Taxes (“ASU 2019-12”). ASU 2019-12 removes certain exceptions for recognizing deferred taxes for investments, performing intraperiod allocations, calculating income taxes in interim periods, and adds certain guidance to remove complexity in certain areas. ASU 2019-12 is effective for all entities for annual and interim periods beginning after December 15, 2020. Early adoption of either the entire standard or only those provisions that eliminate or modify requirements is permitted. Adoption of ASU 2019-12 did not have any impact to our condensed consolidated financial statements.</w:t>
      </w:r>
    </w:p>
    <w:p>
      <w:pPr>
        <w:spacing w:after="0" w:line="19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eliminates the requirement to calculate the implied fair value of goodwill (i.e., Step 2 of today’s goodwill impairment test) to measure a goodwill impairment charge. Instead, entities will record an impairment charge based on the excess of a reporting unit’s carrying amount over its fair value (i.e., measure the charge based on today’s Step 1). The standard has tiered effective dates, starting in 2020 for calendar-year public business entities PBEs that meet the definition of an SEC filer, excluding smaller reporting companies. Early adoption is permitted for annual and interim</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goodwill impairment testing dates after 1 January 2017. Adoption of ASU 2017-04 did not have any impact to our condensed consolidated financial statements.</w:t>
      </w:r>
    </w:p>
    <w:p>
      <w:pPr>
        <w:spacing w:after="0" w:line="143"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 date, our only source of product revenue has been from the U.S. sales of UKONIQ, which we began shipping to our customers in February 2021. We record our best estimate of sales discounts and allowances to which customers are likely to be entitled. The reconciliation of gross product sales to net product sales by each significant category of gross-to-net adjustments was as follows for the three months ended March 31, 2021: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product revenue</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Arial" w:cs="Arial" w:eastAsia="Arial" w:hAnsi="Arial"/>
                <w:sz w:val="18"/>
                <w:szCs w:val="18"/>
                <w:color w:val="auto"/>
              </w:rPr>
              <w:t>Gross-to-net adjustments:</w:t>
            </w: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administrative fees</w:t>
            </w: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9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discounts and allowances</w:t>
            </w: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returns and allowances</w:t>
            </w:r>
          </w:p>
        </w:tc>
        <w:tc>
          <w:tcPr>
            <w:tcW w:w="9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20"/>
              <w:spacing w:after="0"/>
              <w:rPr>
                <w:sz w:val="20"/>
                <w:szCs w:val="20"/>
                <w:color w:val="auto"/>
              </w:rPr>
            </w:pPr>
            <w:r>
              <w:rPr>
                <w:rFonts w:ascii="Arial" w:cs="Arial" w:eastAsia="Arial" w:hAnsi="Arial"/>
                <w:sz w:val="18"/>
                <w:szCs w:val="18"/>
                <w:color w:val="auto"/>
              </w:rPr>
              <w:t>Net product revenue</w:t>
            </w: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hanging="10"/>
        <w:spacing w:after="0" w:line="232" w:lineRule="auto"/>
        <w:tabs>
          <w:tab w:leader="none" w:pos="251"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As of March 31, 2021 approximately $0.1 million of estimated gross-net-accruals have been recorded as a reduction of accounts receivable, net and within accounts payable and accrued expenses on the condensed consolidated balance sheets.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Our investments as of March 31, 2021 and December 31, 2020 are classified as held-to-maturity.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 our investment securities at March 31, 2021 and December 31, 2020:</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6"/>
              </w:rPr>
              <w:t>March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April 2021 and March 2022) (held-to-maturity)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$ 52,334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52,343</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$ 52,334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Estimated 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January 2021 and December 2021) (held-to-maturity)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4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March 31, 2021 and December 31, 2020, the fair values of cash and cash equivalents, restricted cash, and notes and interest payable, approximate their carrying values.</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11"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 cumulative liability to the Ariston subsidiary including accrued and unpaid interest of the 5% Notes was approximately $20.5 million at March 31, 2021 and $20.3 million at December 31, 2020. No payments have been made on the 5% Notes since the merger and through March 31, 2021.</w:t>
      </w:r>
    </w:p>
    <w:p>
      <w:pPr>
        <w:spacing w:after="0" w:line="11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1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2021 and December 31, 2020.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March 31,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5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6"/>
              </w:rPr>
              <w:t>Financial liabilities at fair value as of March 31, 2021</w:t>
            </w: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54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350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2"/>
              </w:rPr>
              <w:t>Financial liabilities at fair value as of December 31, 2020</w:t>
            </w:r>
          </w:p>
        </w:tc>
      </w:tr>
      <w:tr>
        <w:trPr>
          <w:trHeight w:val="142"/>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changes in Level 3 instruments during the three months ended March 31, 2021:</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w:t>
      </w:r>
    </w:p>
    <w:p>
      <w:pPr>
        <w:spacing w:after="0" w:line="13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FBR, Inc. (each a “2020 Agent” and collectively, the “2020 Agents”), relating to the sale of shares of our common stock. Under the 2020 ATM, we pay the 2020 Agents a commission rate of up to 3.0% of the gross proceeds from the sale of any shares of common stock.</w:t>
      </w:r>
    </w:p>
    <w:p>
      <w:pPr>
        <w:spacing w:after="0" w:line="126"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The TG Therapeutics, Inc. Amended and Restated 2012 Incentive Plan (the “2012 Incentive Plan”) was approved by stockholders in June 2020. As of March 31, 2021, 10,974,039 shares of restricted stock and 2,490,396 options were outstanding and up to an additional 3,187,593 shares may be issued under the 2012 Incentive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stock option activity for the three months ended March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2,526,166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115,472,832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(4,525)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Outstanding at March 31, 2021</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2,490,396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102,529,214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Total expense associated with the stock options was approximately $0.6 million and $3.9 million during the three months ended March 31, 2021 and 2020, respectively. As of March 31, 2021, there was approximately $1.2 million of total unrecognized compensation cost related to unvested time-based stock options, which is expected to be recognized over a weighted-average period of 1.3 years. As of March 31, 2021, the stock options outstanding include options granted to both employees and non-employees which are both time-based and milestone-based. Stock-based compensation for milestone-based options will be recorded if and when a milestone occurs.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option awards granted during the three months ended March 31, 2021 and 2020.</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w:t>
      </w:r>
    </w:p>
    <w:p>
      <w:pPr>
        <w:spacing w:after="0" w:line="18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restricted share activity for the three months ended March 31,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8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893,488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(682,840)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(21,643)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10,974,039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Total expense associated with restricted stock grants was approximately $16.0 million and $7.1 million during the three months ended March 31, 2021 and 2020, respectively. As of March 31, 2021, there was approximately $79.5 million of total unrecognized compensation cost related to unvested time-based restricted stock, which is expected to be recognized over a weighted-average period of 1.0 year. This amount does not include, as of March 31, 2021, 2,910,511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months ended March 31, 2021 and 2020:</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8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associated with restricted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 associated with option grants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w:t>
            </w: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8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Company’s only outstanding warrant is the warrant issued to Hercules as part of our debt agreement to purchase 147,058 shares of common stock with an exercise price of $4.08. See Note 6 for further details. As the warrants could not require cash settlement, the warrants were classified as equity. There will not be any ongoing stock compensation expense volatility associated with these warrants.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LOAN PAYABLE</w:t>
      </w:r>
    </w:p>
    <w:p>
      <w:pPr>
        <w:spacing w:after="0" w:line="189"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21"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and all accrued and unpaid interest, subject to a prepayment charges of: 3.0% if such advance is prepaid in any of the first twelve months following the Closing Date; 1.5% if such advance is prepaid after the first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4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March 31, 2021 and through the filing date of this report, the Company has been in compliance with all covenants.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events of default under the Loan Agreement include, without limitation, and subject to customary grace periods,</w:t>
      </w:r>
    </w:p>
    <w:p>
      <w:pPr>
        <w:spacing w:after="0" w:line="46" w:lineRule="exact"/>
        <w:rPr>
          <w:sz w:val="20"/>
          <w:szCs w:val="20"/>
          <w:color w:val="auto"/>
        </w:rPr>
      </w:pPr>
    </w:p>
    <w:p>
      <w:pPr>
        <w:jc w:val="both"/>
        <w:ind w:left="60" w:right="59" w:hanging="10"/>
        <w:spacing w:after="0" w:line="290" w:lineRule="auto"/>
        <w:tabs>
          <w:tab w:leader="none" w:pos="3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our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Loan Agreement also contains warrant coverage of 2% of the total amount funded. A warrant (the “Hercules Warrant”) was issued to Hercules to purchase 147,058 shares of common stock with an exercise price of $4.08.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6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7.00 years</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Company incurred financing expenses of $2.8 million (including the fair value of the Hercules Warrant) related to the Hercules Loan Agreement which are recorded as debt issuance costs and as an offset to loan payable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and $0.2 million for the three months ended March 31, 2021 and 2020. At March 31, 2021, the remaining unamortized balance of debt issuance costs was $0.8 million.</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March 31, 2021 and December 31, 2020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6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10"/>
        </w:trPr>
        <w:tc>
          <w:tcPr>
            <w:tcW w:w="6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(30,127)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(22,179)</w:t>
            </w:r>
          </w:p>
        </w:tc>
      </w:tr>
      <w:tr>
        <w:trPr>
          <w:trHeight w:val="209"/>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189"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$11.9 million and $9.1 million, respectively, as of March 31, 2021. Our leases have remaining lease terms of 2 years to 10 years. One lease has a renewal option to extend the lease for an additional term of two years.</w:t>
      </w:r>
    </w:p>
    <w:p>
      <w:pPr>
        <w:spacing w:after="0" w:line="12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March 31, 2021, the allocation rate is 65% and will be evaluated again in August 2021 for the following rent year. Also in connection with this lease, in October 2014, we pledged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$0.6 million to secure a line of credit as a security deposit for the Office Agreement, which has been recorded as restricted cash in the accompanying condensed consolidated balance sheets. Additional collateral of $0.6 million was pledged in April 2018 to increase the letter of credit for the office space.</w:t>
      </w:r>
    </w:p>
    <w:p>
      <w:pPr>
        <w:spacing w:after="0" w:line="157"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$0.1 million for the three months ended March 31, 2021.</w:t>
      </w:r>
    </w:p>
    <w:p>
      <w:pPr>
        <w:spacing w:after="0" w:line="14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components of lease expense are included in the Company’s condensed consolidated statements of operations for the three months ended March 31, 2021 and 2020:</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r>
      <w:tr>
        <w:trPr>
          <w:trHeight w:val="20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10"/>
        </w:trPr>
        <w:tc>
          <w:tcPr>
            <w:tcW w:w="676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March 31, 2021, the weighted-average remaining operating lease term was 7.6 years and the weighted-average discount rate for operating leases was 10.25%. Cash paid for amounts included in the measurement of operating lease liabilities during the three months ended March 31, 2021 was $0.5 million.</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10"/>
        </w:trPr>
        <w:tc>
          <w:tcPr>
            <w:tcW w:w="6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March 31, 2021, the maturities of lease liabilities were as follows: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2025</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After 2026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39" w:hanging="330"/>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2021 and 2020, and at March 31, 2021 and December 31, 2020, have deferred revenue of approximately $0.7 million and $0.8 million, respectively, associated with this $2 million payment (approximately $0.1 million of which has been classified in current liabilities at March 31, 2021 and December 31, 2020).</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5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 owned subsidiaries of LFB Group, relating to the development and commercialization of ublituximab. Under the license agreement, we have acquired the exclusive worldwide rights (exclusive of France/Belgium) for the development and commercialization of ublituximab. As of March 31, 2021 we have incurred approximately $3.0 million and accrued approximately $3.0 million related to milestones.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TGR-1202 (Umbralisib)</w:t>
      </w:r>
    </w:p>
    <w:p>
      <w:pPr>
        <w:spacing w:after="0" w:line="18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w:t>
      </w:r>
    </w:p>
    <w:p>
      <w:pPr>
        <w:spacing w:after="0" w:line="160"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color w:val="auto"/>
        </w:rPr>
        <w:t>During the three months ended March 31, 2021, we paid Rhizen $12.0 million as part of a primary indication approval milestone for launch of product in the US in accordance with the terms of the Umbralisib License. Rhizen will be eligible to receive additional approval and sales-based milestone payments in the aggregate of approximately $175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months ended March 31, 2021, the Company recorded $0.1 million related to the worldwide royalty due under the Umbralisib License in cost of product revenue based on U.S. sales of UKONIQ and as of March 31, 2021, $0.1 million in royalties were payable under the Umbralisib License Agreement.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patent right or any other exclusivity right in such country, unless the agreement is earlier terminated (i) by us for any reason, or (ii) by either party due to a breach of the agreement.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558"/>
        <w:spacing w:after="0" w:line="275" w:lineRule="auto"/>
        <w:rPr>
          <w:sz w:val="20"/>
          <w:szCs w:val="20"/>
          <w:color w:val="auto"/>
        </w:rPr>
      </w:pPr>
      <w:r>
        <w:rPr>
          <w:rFonts w:ascii="Arial" w:cs="Arial" w:eastAsia="Arial" w:hAnsi="Arial"/>
          <w:sz w:val="17"/>
          <w:szCs w:val="17"/>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achieved the first Milestone event for which we incurred expenses of zero and approximately $0.9 million for the three months ended March 31, 2021 and 2020,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TG-1701: BTK</w:t>
      </w:r>
    </w:p>
    <w:p>
      <w:pPr>
        <w:spacing w:after="0" w:line="185" w:lineRule="exact"/>
        <w:rPr>
          <w:sz w:val="20"/>
          <w:szCs w:val="20"/>
          <w:color w:val="auto"/>
        </w:rPr>
      </w:pPr>
    </w:p>
    <w:p>
      <w:pPr>
        <w:jc w:val="both"/>
        <w:ind w:left="60" w:right="59" w:firstLine="492"/>
        <w:spacing w:after="0" w:line="251"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July 2019, we paid Hengrui the first milestone of $0.1 million in our common stock recorded to noncash stock expense associated with in-licensing agreements in our consolidated statement of operations. In July 2020, we paid Hengrui $2.0 million as part of a milestone in accordance with the license agreement.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$0.5 million and $0.8 million for the three months ended March 31, 2021 and 2020, respectively, the majority of which relates to manufacturing expenses of BTK. The relevant expenses are recorded in other research and development in the accompanying unaudited condensed consolidated statement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As of March 31, 2021 we accrued $2.0 million in milestone expense related to patient enrollment.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RELATED PARTY TRANSACTIONS</w:t>
      </w:r>
    </w:p>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$0.2 million for shared services for each of the three months ended March 31, 2021 and 2020, primarily related to shared personnel.</w:t>
      </w:r>
    </w:p>
    <w:p>
      <w:pPr>
        <w:spacing w:after="0" w:line="136"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Please refer to Note 7 - Leases for details regarding the Office Agreement with FBIO, as well as Note 8 - License Agreements for details regarding the Collaboration Agreement with Checkpoint.</w:t>
      </w:r>
    </w:p>
    <w:p>
      <w:pPr>
        <w:spacing w:after="0" w:line="12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MZL who have received at least one prior anti-CD20-based regimen and relapsed or refractory FL who have received at least three prior lines of systemic therapies. Currently, we have two programs in Phase 3 development for the treatment of patients with RMS and patients with CLL and several investigational medicines in Phase 1 clinical development. We also actively evaluate complementary products, technologies and companies for in-licensing, partnership, acquisition and/or investment opportunities.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Accelerated Approval of UKONIQ and Commercial Launch</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February 5, 2021, we announced that the FDA granted accelerated approval of UKONIQ for the treatment of adult patients with relapsed or refractory MZL who have received at least one prior anti-CD20 based regimen and for the treatment of adult patients with relapsed or refractory FL who have received at least three prior lines of systemic therapy. UKONIQ is the first and only, oral, once-daily, inhibitor of phosphoinositide 3 kinase (PI3K) delta and casein kinase 1 (CK1) epsilon. Accelerated approval was granted for these indications based on overall response rate (ORR) data from the Phase 2b UNITY-NHL Trial (NCT02793583). Continued approval for these indications is contingent upon verification and description of clinical benefit in a confirmatory trial. This application was granted Priority Review for the MZL indication. In addition, UKONIQ was granted Breakthrough Therapy Designation (BTD) for the treatment of MZL and orphan drug designation (ODD) for the treatment of MZL and FL.</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Following the FDA approval, we launched UKONIQ, making it available to patients through a distribution network that includes a specialty pharmacy and specialty distributors. In the U.S., the annual incidence of newly diagnosed MZL is approximately 8,200 and FL is approximately 13,200. Our commercialization efforts have focused on approximately 3,000 physicians at academic centers and large community practices who treat approximately 80% of MZL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and FL patients. We developed a commercialization plan that accounted for the COVID-19 pandemic, with a focus on enabling virtual interactions to provide healthcare provider education. As anticipated, our interactions with healthcare providers during the first quarter were primarily virtual due to the pandemic, with limited opportunities for our commercial and medical field teams to have live engagements. Payor coverage of UKONIQ and inclusion in the NCCN guidelines have been consistent with the FDA-approved indications. We are committed to helping patients access their prescription for UKONIQ through the TG Patient Support Program, which we launched following the approval of UKONIQ.</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Products Under Development</w:t>
      </w:r>
    </w:p>
    <w:p>
      <w:pPr>
        <w:spacing w:after="0" w:line="198" w:lineRule="exact"/>
        <w:rPr>
          <w:sz w:val="20"/>
          <w:szCs w:val="20"/>
          <w:color w:val="auto"/>
        </w:rPr>
      </w:pPr>
    </w:p>
    <w:p>
      <w:pPr>
        <w:jc w:val="both"/>
        <w:ind w:left="60" w:right="279" w:firstLine="634"/>
        <w:spacing w:after="0" w:line="286" w:lineRule="auto"/>
        <w:rPr>
          <w:sz w:val="20"/>
          <w:szCs w:val="20"/>
          <w:color w:val="auto"/>
        </w:rPr>
      </w:pPr>
      <w:r>
        <w:rPr>
          <w:rFonts w:ascii="Arial" w:cs="Arial" w:eastAsia="Arial" w:hAnsi="Arial"/>
          <w:sz w:val="17"/>
          <w:szCs w:val="17"/>
          <w:color w:val="auto"/>
        </w:rPr>
        <w:t>We have leveraged our B-cell platform to develop a robust drug pipeline of targeted orally available, potent and selective small molecule kinase inhibitors and intravenously delivered immunotherapies that leverage the patients’ own immune system to fight cancer. The following table summarizes our most advanced drug candidates:</w:t>
      </w:r>
    </w:p>
    <w:p>
      <w:pPr>
        <w:spacing w:after="0" w:line="119"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94"/>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Ublituximab (anti-CD20 mAb)</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Chronic Lymphocytic Leukemia (CLL)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Relapsing Multiple Sclerosis (RMS)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Phase 3 trials (ULTIMATE I and II)</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UKONIQ (PI3K-delta inhibitor)</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Marginal Zone Lymphoma (MZL)</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80"/>
        </w:trPr>
        <w:tc>
          <w:tcPr>
            <w:tcW w:w="3240" w:type="dxa"/>
            <w:vAlign w:val="bottom"/>
            <w:tcBorders>
              <w:left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Follicular Lymphoma (FL)</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Cosibelimab/TG-1501 (anti-PDL1 mAb)</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TG-1801 (anti-CD47/CD19 bispecific</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mAb)</w:t>
            </w: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94"/>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3 and Registration-Directed Clinical Trial Highlights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are highlights from our current Phase 3 trials and registration-directed Phase 2b clinical trials:</w:t>
      </w:r>
    </w:p>
    <w:p>
      <w:pPr>
        <w:spacing w:after="0" w:line="181"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color w:val="auto"/>
        </w:rPr>
        <w:t xml:space="preserve">UNITY-NHL Phase 2b Trial: </w:t>
      </w:r>
      <w:r>
        <w:rPr>
          <w:rFonts w:ascii="Arial" w:cs="Arial" w:eastAsia="Arial" w:hAnsi="Arial"/>
          <w:sz w:val="18"/>
          <w:szCs w:val="18"/>
          <w:color w:val="auto"/>
        </w:rPr>
        <w:t>UNITY-NHL is a broad, multicenter, open-label, Phase 2b registration-directed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designed to evaluate the efficacy and safety of UKONIQ monotherapy and UKONIQ plus ublituximab (U2) combinations in patients with previously treated NHL. There are several exploratory cohorts of the UNITY-NHL trial which are enrolled to and evaluated independently from the others, including cohorts for MZL, FL/SLL, DLBCL, and MCL.</w:t>
      </w:r>
    </w:p>
    <w:p>
      <w:pPr>
        <w:spacing w:after="0" w:line="183" w:lineRule="exact"/>
        <w:rPr>
          <w:sz w:val="20"/>
          <w:szCs w:val="20"/>
          <w:color w:val="auto"/>
        </w:rPr>
      </w:pPr>
    </w:p>
    <w:p>
      <w:pPr>
        <w:jc w:val="both"/>
        <w:ind w:left="1040" w:right="79" w:hanging="315"/>
        <w:spacing w:after="0" w:line="271"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UNITY-NHL MZL/FL Single Agent UKONIQ: </w:t>
      </w:r>
      <w:r>
        <w:rPr>
          <w:rFonts w:ascii="Arial" w:cs="Arial" w:eastAsia="Arial" w:hAnsi="Arial"/>
          <w:sz w:val="17"/>
          <w:szCs w:val="17"/>
          <w:color w:val="auto"/>
        </w:rPr>
        <w:t>The MZL cohort enrolled adult patients who had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one prior line of therapy that included an anti-CD20 monoclonal antibody. The FL cohort enrolled adult patients who had two or more prior lines of therapy that included an anti-CD20 monoclonal antibody and an alkylating agent. Both cohorts met the primary endpoint of ORR as determined by Independent Review Committee (IRC) assessment. Results from these cohorts were presented in December 2020 at the American Society of Hematology Annual meeting. On February 5, 2021, we announced that the FDA granted accelerated approval of UKONIQ, for the treatment of adult patients with relapsed or refractory MZL who have received at least one prior anti-CD20 based regimen and adult patients with relapsed or refractory FL who have received at least three prior lines of systemic therapy.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color w:val="auto"/>
        </w:rPr>
        <w:t xml:space="preserve">UNITY-CLL Phase 3 Trial Evaluating UKONIQ plus Ublituximab (U2): </w:t>
      </w:r>
      <w:r>
        <w:rPr>
          <w:rFonts w:ascii="Arial" w:cs="Arial" w:eastAsia="Arial" w:hAnsi="Arial"/>
          <w:sz w:val="18"/>
          <w:szCs w:val="18"/>
          <w:color w:val="auto"/>
        </w:rPr>
        <w:t>UNITY-CLL is a global, multi-center, Phase 3, randomized, controlled clinical trial comparing the U2 combination to an active control arm of obinutuzumab plus chlorambucil in patients with both treatment-naïve and relapsed or refractory CLL. Two additional arms evaluating single-agent ublituximab and single-agent UKONIQ were also enrolled for purposes of evaluating the contribution of each in the U2 combination regimen. The primary endpoint for this study is progression-free survival (PFS). The study completed enrollment in October 2017 with over 600 patients across the four treatment arms, with approximately 420 patients in the U2 and the active control arms combined. This trial is conducted under a Special Protocol Assessment (SPA) with the FDA. The UNITY-CLL trial is being led by John Gribben, MD, professor of Medical Oncology, Barts Cancer Institute, United Kingdom.</w:t>
      </w:r>
    </w:p>
    <w:p>
      <w:pPr>
        <w:spacing w:after="0" w:line="192" w:lineRule="exact"/>
        <w:rPr>
          <w:sz w:val="20"/>
          <w:szCs w:val="20"/>
          <w:color w:val="auto"/>
        </w:rPr>
      </w:pPr>
    </w:p>
    <w:p>
      <w:pPr>
        <w:jc w:val="both"/>
        <w:ind w:left="720" w:right="79" w:hanging="319"/>
        <w:spacing w:after="0" w:line="270"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December 7, 2020, we presented safety and efficacy results from the UNITY- CLL trial at the ASH annual meeting demonstrating that U2 significantly improved PFS over obinutuzumab plus chlorambucil (HR=0.54, p&lt;0.0001) as well as ORR (p&lt;0.001) in patients with CLL, with consistent PFS improvement across treatment naïve CLL (HR=0.48) and relapsed or refractory CLL (HR=0.60). Grade 3/4 adverse events (AEs) of clinical interest (U2 vs Obin+Chl) included elevated ALT (8.3% vs 1.0%), elevated AST (5.3% vs 2.0%), non-infectious colitis (1.9% vs 0%), infectious colitis (0.5% vs 0.5%), pneumonitis (0.5% vs 0%), rash (2.4% vs 0.5%), and opportunistic infections (5.8% vs. 1.5%). These data supported a rolling Biologics License Application (BLA) submission to the US FDA requesting approval of ublituximab, in combination with UKONIQ, as a treatment for patients with CLL. The rolling BLA submission was completed in March 2021.</w:t>
      </w:r>
    </w:p>
    <w:p>
      <w:pPr>
        <w:spacing w:after="0" w:line="393"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b w:val="1"/>
          <w:bCs w:val="1"/>
          <w:color w:val="auto"/>
        </w:rPr>
        <w:t xml:space="preserve">ULTIMATE I &amp; II Trials Evaluating Single-Agent Ublituximab in RMS: </w:t>
      </w:r>
      <w:r>
        <w:rPr>
          <w:rFonts w:ascii="Arial" w:cs="Arial" w:eastAsia="Arial" w:hAnsi="Arial"/>
          <w:sz w:val="16"/>
          <w:szCs w:val="16"/>
          <w:color w:val="auto"/>
        </w:rPr>
        <w:t>ULTIMATE I and ULTIMATE II</w:t>
      </w:r>
      <w:r>
        <w:rPr>
          <w:rFonts w:ascii="Arial" w:cs="Arial" w:eastAsia="Arial" w:hAnsi="Arial"/>
          <w:sz w:val="16"/>
          <w:szCs w:val="16"/>
          <w:b w:val="1"/>
          <w:bCs w:val="1"/>
          <w:color w:val="auto"/>
        </w:rPr>
        <w:t xml:space="preserve"> </w:t>
      </w:r>
      <w:r>
        <w:rPr>
          <w:rFonts w:ascii="Arial" w:cs="Arial" w:eastAsia="Arial" w:hAnsi="Arial"/>
          <w:sz w:val="16"/>
          <w:szCs w:val="16"/>
          <w:color w:val="auto"/>
        </w:rPr>
        <w:t>are two independent Phase 3 trials. Each trial is a global, randomized, multi-center, double-blinded, double-dummy, active-controlled study comparing ublituximab to teriflunomide in subjects with RMS. The primary endpoint for each study is annualized relapse rate (ARR) following 96 weeks of treatment, which we intend to use to support a BLA submission for approval of ublituximab in the treatment of RMS. These trials were both conducted under a SPA with the FDA. Full enrollment was completed in October 2018, with approximately 1,100 subjects enrolled in both studies combined.</w:t>
      </w:r>
    </w:p>
    <w:p>
      <w:pPr>
        <w:spacing w:after="0" w:line="164" w:lineRule="exact"/>
        <w:rPr>
          <w:sz w:val="20"/>
          <w:szCs w:val="20"/>
          <w:color w:val="auto"/>
        </w:rPr>
      </w:pPr>
    </w:p>
    <w:p>
      <w:pPr>
        <w:ind w:left="720" w:right="99" w:hanging="319"/>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April 2021, data from the ULTIMATE I &amp; II trials were presented at the American Academy of Neurology Annual meeting. Both studies met their primary endpoint with ublituximab treatment demonstrating a statistically significant reduction in ARR over a 96-week period (p&lt;0.005 in each trial). Key secondary MRI endpoints were also met.</w:t>
      </w:r>
    </w:p>
    <w:p>
      <w:pPr>
        <w:spacing w:after="0" w:line="399"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 xml:space="preserve">ULTRA-V Phase 2 and Phase 3 Trials Evaluating U2 Plus Venetoclax in CLL: </w:t>
      </w:r>
      <w:r>
        <w:rPr>
          <w:rFonts w:ascii="Arial" w:cs="Arial" w:eastAsia="Arial" w:hAnsi="Arial"/>
          <w:sz w:val="18"/>
          <w:szCs w:val="18"/>
          <w:color w:val="auto"/>
        </w:rPr>
        <w:t>The ULTRA-V Phase 2 and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trials are designed to investigate the efficacy and safety of U2 in combination with venetoclax in subjects with treatment-naïve CLL and relapsed or refractory CLL.</w:t>
      </w:r>
    </w:p>
    <w:p>
      <w:pPr>
        <w:spacing w:after="0" w:line="180" w:lineRule="exact"/>
        <w:rPr>
          <w:sz w:val="20"/>
          <w:szCs w:val="20"/>
          <w:color w:val="auto"/>
        </w:rPr>
      </w:pPr>
    </w:p>
    <w:p>
      <w:pPr>
        <w:jc w:val="both"/>
        <w:ind w:left="720" w:right="7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ULTRA-V Phase 2 trial is an open-label, multi-center, clinical trial and the primary endpoints for this study are ORR and Complete Response (CR) rate. This trial completed enrollment in April 2021 with approximately 165 patients.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ULTRA-V  Phase  3  trial  is  an  open-label,  multi-center,  randomized,  controlled  clinical  trial</w:t>
      </w:r>
    </w:p>
    <w:p>
      <w:pPr>
        <w:spacing w:after="0" w:line="23" w:lineRule="exact"/>
        <w:rPr>
          <w:sz w:val="20"/>
          <w:szCs w:val="20"/>
          <w:color w:val="auto"/>
        </w:rPr>
      </w:pPr>
    </w:p>
    <w:p>
      <w:pPr>
        <w:jc w:val="both"/>
        <w:ind w:left="720" w:right="79"/>
        <w:spacing w:after="0" w:line="253" w:lineRule="auto"/>
        <w:rPr>
          <w:sz w:val="20"/>
          <w:szCs w:val="20"/>
          <w:color w:val="auto"/>
        </w:rPr>
      </w:pPr>
      <w:r>
        <w:rPr>
          <w:rFonts w:ascii="Arial" w:cs="Arial" w:eastAsia="Arial" w:hAnsi="Arial"/>
          <w:sz w:val="18"/>
          <w:szCs w:val="18"/>
          <w:color w:val="auto"/>
        </w:rPr>
        <w:t>comparing the time-limited triple combination U2) plus venetoclax to an active control arm of continuous U2. The Phase 3 trial includes two independent randomized cohorts of CLL subjects: a treatment-naïve cohort and a previously treated cohort, with each cohort being enrolled and evaluated independently of each other. The primary endpoint for the trial is PFS. This trial is being led by Richard R. Furman, MD, Director of CLL Research Center at Weill Cornell Medicine.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89"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Product Revenues (Net). </w:t>
      </w:r>
      <w:r>
        <w:rPr>
          <w:rFonts w:ascii="Arial" w:cs="Arial" w:eastAsia="Arial" w:hAnsi="Arial"/>
          <w:sz w:val="17"/>
          <w:szCs w:val="17"/>
          <w:color w:val="auto"/>
        </w:rPr>
        <w:t>Net product revenues represent U.S. sales from our sole commercial product, UKONIQ,</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approved by the FDA on February 5, 2021. During the three months ended March 31, 2021, net product revenues were $0.8 million. Sales allowances and accruals consisted of government rebates, patient financial assistance, distribution fees, discounts, and chargebacks. We did not have product revenues in 2020.</w:t>
      </w:r>
    </w:p>
    <w:p>
      <w:pPr>
        <w:spacing w:after="0" w:line="13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Cost of Product Revenue. </w:t>
      </w:r>
      <w:r>
        <w:rPr>
          <w:rFonts w:ascii="Arial" w:cs="Arial" w:eastAsia="Arial" w:hAnsi="Arial"/>
          <w:sz w:val="18"/>
          <w:szCs w:val="18"/>
          <w:color w:val="auto"/>
        </w:rPr>
        <w:t>Cost of product revenue for the three months ended March 31, 2021 was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product revenue primarily relates to freight and royalties owed to our licensing partner for UKONIQ sales. Based on our policy to expense costs associated with the manufacture of our products prior to regulatory approval, the manufacturing costs of UKONIQ units recognized as revenue during the three months ended March 31, 2021 were expensed prior to the February 5, 2021 FDA approval, and therefore are not included in costs of product revenue during the current period. We expect the cost of product revenue to increase in relation to product revenues as we deplete these inventories and we expect to use the remaining pre-commercialization inventory for product sales through the second quarter of 2022.</w:t>
      </w:r>
    </w:p>
    <w:p>
      <w:pPr>
        <w:spacing w:after="0" w:line="165"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Our license revenues currently consist of license fees arising from our agreement with Ildong.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upfront license fee revenues ratably over the estimated period in which we will have certain significant ongoing responsibilities under the sublicense agreement, with unamortized amounts recorded as deferred revenue. License revenue was approximately $38,000 for each of the three months ended March 31, 2021 and 2020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2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related to equity incentive grants totaled $7.5 million for the three months ended March 31, 2021, as compared to $2.0 million during the comparable period in 2020. The increase in noncash compensation expense was primarily due to an increase in research and development personnel and a higher stock price during the period ended March 31, 2021.</w:t>
      </w:r>
    </w:p>
    <w:p>
      <w:pPr>
        <w:spacing w:after="0" w:line="147"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Our other research and development expenses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Other research and development expenses increased by $21.6 million to $55.6 million for the three months ended March 31, 2021, as compared to $34.0 million for the three months ended March 31, 2020. The increase in R&amp;D expense is primarily attributable to the achievement of various milestones as well as manufacturing costs for ublituximab during the three months ended March 31, 2021.</w:t>
      </w:r>
    </w:p>
    <w:p>
      <w:pPr>
        <w:spacing w:after="0" w:line="16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Noncash Compensation Expense (Selling, General and Administrative). </w:t>
      </w:r>
      <w:r>
        <w:rPr>
          <w:rFonts w:ascii="Arial" w:cs="Arial" w:eastAsia="Arial" w:hAnsi="Arial"/>
          <w:sz w:val="18"/>
          <w:szCs w:val="18"/>
          <w:color w:val="auto"/>
        </w:rPr>
        <w:t>Noncash compensation expense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related to equity incentive grants was $9.1 million for each of the three months ended March 31, 2021 and 2020.</w:t>
      </w:r>
    </w:p>
    <w:p>
      <w:pPr>
        <w:spacing w:after="0" w:line="143"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Our selling, general and administrative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salaries and related expenses for executive, finance; commercial, medical, and other administrative personnel, recruitment expenses, expenses for commercialization activities (including the build out of our medical affairs and commercial organizations and infrastructure), professional fees and other corporate expenses, including investor relations, legal activities and facilities-related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Other selling, general and administrative expenses was $17.7 million for the three months ended March 31, 2021, as compared to $5.2 million for the three months ended March 31, 2020. The increase was due primarily to increased personnel and other selling, general and administrative costs, associated with the commercial launch of UKONIQ. We expect our other selling, general and administrative expenses to increase during 2021 coinciding with the launch.</w:t>
      </w:r>
    </w:p>
    <w:p>
      <w:pPr>
        <w:spacing w:after="0" w:line="13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$0.7 million to $1.9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compared to $1.2 million for the three months ended March 31, 2020. The increase is mainly due to interest expense related to administrative fees in connection with contract manufacturing costs during the period ended March 31, 2021.</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$0.5 million for the three months ended March 31, 2021, as compared to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2020. We expect our other income to remain at a comparable level for the remainder of 2021.</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During the first quarter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product sales.</w:t>
      </w:r>
    </w:p>
    <w:p>
      <w:pPr>
        <w:spacing w:after="0" w:line="14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March 31, 2021, we had $523.8 million in cash and cash equivalents, and investment securities. We anticipate that our cash and cash equivalents, and investment securities as of March 31,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additional drug candidates.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three months ended March 31, 2021 was $81.4 million as compared to $62.1 million for the three months ended March 31, 2020. The increase in cash used in operating activities was due primarily to increased expenditures associated with our scale-up for manufacturing as well as ongoing clinical development programs and paydown of accounts payable and accrued expenses.</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2021, was $0.5 million as compared to cash provided by investing activities of $1.5 million for the three months ended March 31, 2020. The increase in net cash used in investing activities was primarily due to greater investment in short-term securities during the three months ended March 31, 2021.</w:t>
      </w:r>
    </w:p>
    <w:p>
      <w:pPr>
        <w:spacing w:after="0" w:line="14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2021, was $0.1 million which related to offering costs paid offset by proceeds from the exercise of options.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60" w:right="79" w:firstLine="492"/>
        <w:spacing w:after="0" w:line="308"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continuing risks, contingent liabilities, or any other obligations under a variable interest in an unconsolidated entity that provides us with financing, liquidity, market risk or credit risk support.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w:t>
      </w:r>
    </w:p>
    <w:p>
      <w:pPr>
        <w:spacing w:after="0" w:line="184"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For a description of our significant accounting policies, refer to "Part II, Item 8. Financial Statements and Supplementary Data, Note 1 – Organization and Summary of Significant Accounting Policies" in our 2020 Annual Report on Form 10-K, and refer to Note 1 in this Quarterly Report on Form 10-Q for significant accounting policies due to commercialization for revenue recognition, gross-to-net sales adjustments, accounts receivable, inventory, and cost of product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5 – Stockholders’ Equity" and "Note 4 - Fair Value Measurements," respectively, for more information.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left="60" w:right="59" w:firstLine="564"/>
        <w:spacing w:after="0" w:line="263" w:lineRule="auto"/>
        <w:rPr>
          <w:sz w:val="20"/>
          <w:szCs w:val="20"/>
          <w:color w:val="auto"/>
        </w:rPr>
      </w:pPr>
      <w:r>
        <w:rPr>
          <w:rFonts w:ascii="Arial" w:cs="Arial" w:eastAsia="Arial" w:hAnsi="Arial"/>
          <w:sz w:val="18"/>
          <w:szCs w:val="18"/>
          <w:color w:val="auto"/>
        </w:rPr>
        <w:t>Refer to "Note 1 - Organization and Summary of Significant Accounting Policies” in the Notes to Unaudited Condensed Consolidated Financial Statements for a discussion of recently issued accounting pronouncements, and their expected impact on our financial position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The primary objective of our investment activities is to preserve principal while maximizing our income from investments and minimizing our market risk. Market risk represents the risk of loss that may result from the change in value of financial instruments due to fluctuations in their market price. Market risk is inherent in all financial instruments. Market risk may be exacerbated in times of trading illiquidity when market participants refrain from transacting in normal quantities and/or at normal bid-offer spreads. Our assets and liabilities are denominated in U.S. dollars. Consequently, we have not considered it necessary to use foreign currency contracts or other derivative instruments to manage changes in currency rates. We do not now, nor do we plan to, use derivative financial instruments for speculative or trading purposes. However, these circumstances might change.</w:t>
      </w:r>
    </w:p>
    <w:p>
      <w:pPr>
        <w:spacing w:after="0" w:line="70"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2021, our portfolio of financial instruments consists of cash equivalents, including bank deposits, and money market accounts.</w:t>
      </w:r>
    </w:p>
    <w:p>
      <w:pPr>
        <w:spacing w:after="0" w:line="84"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We use an interest rate sensitivity simulation to assess our interest rate risk exposure. For purposes of presenting the possible earnings effect of a hypothetical, adverse change in interest rates over the 12-month period from our reporting date, we assume that all interest rate sensitive financial instruments will be impacted by a hypothetical, immediate 100 basis point increase in interest rates as of the beginning of the period. The sensitivity is based upon the hypothetical assumption that all relevant types of interest rates that affect our results would increase instantaneously, simultaneously and to the same degree. We do not believe that our cash and equivalents have significant risk of default or illiquidity.</w:t>
      </w:r>
    </w:p>
    <w:p>
      <w:pPr>
        <w:spacing w:after="0" w:line="5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sensitivity analyses of the interest rate sensitive financial instruments are hypothetical and should be used with caution. Changes in fair value based on a 1% or 2% variation in an estimate generally cannot be extrapolated because the relationship of the change in the estimate to the change in fair value may not be linear. Also, the effect of a variation in a particular estimate on the fair value of financial instruments is calculated independent of changes in any other estimate; in practice, changes in one factor may result in changes in another factor, which might magnify or counteract the sensitivities. In addition, the sensitivity analyses do not consider any action that we may take to mitigate the impact of any adverse changes in the key estimates.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Based on our analysis, for the years ended December 31, 2019 and December 31, 2020, and for the interim period through March 31, 2021, we determined the effect of a 100+1- basis point change in interest rates on the value of our financial instruments and the resultant effect on our net loss to be immaterial.</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March 31, 2021,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2021,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During the quarter ended March 31, 2021, we implemented processes and internal controls to record product revenue, cost of product revenues, and accounts receivable as a result of the FDA approval and the US commercial launch of UKONIQ. The implementation of these processes resulted in material changes to our internal controls over financial reporting. There were no other changes in our internal control over financial reporting (as defined in Rules 13a-15(f) and 15d-15(f) under the Exchange Act), identified in connection with the evaluation of such internal control that occurred during the quarter ended March 31, 2021 that have materially affected, or are reasonably likely to materially affect, our internal control over financial reporting.</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UKONIQ, or any product candidate for which we in the future obtain regulatory approval, does not achieve broad market acceptance among physicians, patients, healthcare payors, and the medical community, the revenues that we generate from product sales will be limited.</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one marketed product, UKONIQ, which received accelerated approval from the FDA on February 5, 2021 for the treatment of relapsed or refractory MZL in patients who have received at least one prior anti-CD20-based regimen and relapsed or refractory FL in patients who have received at least three prior lines of systemic therapy. In addition, on March 29, 2021, we announced the completion of the rolling submission of a BLA to the FDA requesting approval of ublituximab in combination with UKONIQ as a treatment for patients with CLL. While we have initiated the commercial launch of UKONIQ in the U.S. and have started internal planning for potential commercialization of ublituximab, we have limited experience as a commercial company and our ability to successfully overcome the risks associated with commercializing drugs in the biopharmaceutical industry, including the risk that our products do not achieve an adequate level of acceptance, remains uncertain. UKONIQ as well as other drugs that we may bring to the market in the future, including ublituximab, may not gain market acceptance by physicians, patients, third-party payors and others in the healthcare community. If our products do not achieve an adequate level of acceptance, we may not generate significant revenues, and we may not become profitable. The degree of market acceptance of UKONIQ, as well as any future product candidates for which we obtain approval, will depend on a number of factors, including:</w:t>
      </w:r>
    </w:p>
    <w:p>
      <w:pPr>
        <w:spacing w:after="0" w:line="186" w:lineRule="exact"/>
        <w:rPr>
          <w:sz w:val="20"/>
          <w:szCs w:val="20"/>
          <w:color w:val="auto"/>
        </w:rPr>
      </w:pPr>
    </w:p>
    <w:p>
      <w:pPr>
        <w:ind w:left="1040" w:right="79" w:hanging="315"/>
        <w:spacing w:after="0" w:line="25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our products as safe, tolerable and effective treatments;</w:t>
      </w:r>
    </w:p>
    <w:p>
      <w:pPr>
        <w:ind w:left="1040" w:hanging="315"/>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COVID-19 pandemic continues to present a substantial global public health and economic challenge. The measures to control the virus’s spread have impacted our approach to the commercial launch of UKONIQ and may impact our ability to successfully launch ublituximab, if approved. We initiated commercial sales of UKONIQ in February 2021 in an environment in which the measures taken by state and local governments as well as hospitals and oncology clinics to control the spread of COVID-19 significantly limited our opportunities for in-person interactions, for example, with physicians, hospitals, payors, and other customers at medical congresses. Although multiple mechanisms are available to our field personnel to interact with healthcare providers and other customers remotely, we cannot ensure that these methods will be effective or as effective as in-person interactions. Other factors related to the COVID-19 pandemic that could impact the ongoing launch and potential future launches include delays in demand due to impacts on the healthcare system and overall economy and increases in the number of uninsured or underinsured patients. In addition, our office-based employees, consultants, vendors and certain customer segments are continuing to work remotely and many of our commercialization efforts are happening virtually. The length of time and full extent to which the COVID-19 pandemic directly or indirectly impacts our commercialization efforts depend on future developments that are highly uncertain, subject to change and are difficult to predict, including, whether, even after pandemic-related restrictions ease, there is a shift in how pharmaceutical field representatives interact with healthcare providers that could have a negative effect on our future business and operations. For a discussion of additional pandemic-related risks to our business, see below under the heading “</w:t>
      </w:r>
      <w:r>
        <w:rPr>
          <w:rFonts w:ascii="Arial" w:cs="Arial" w:eastAsia="Arial" w:hAnsi="Arial"/>
          <w:sz w:val="16"/>
          <w:szCs w:val="16"/>
          <w:b w:val="1"/>
          <w:bCs w:val="1"/>
          <w:u w:val="single" w:color="auto"/>
          <w:color w:val="auto"/>
        </w:rPr>
        <w:t>Risks Related to the COVID-19 Pandemic</w:t>
      </w:r>
      <w:r>
        <w:rPr>
          <w:rFonts w:ascii="Arial" w:cs="Arial" w:eastAsia="Arial" w:hAnsi="Arial"/>
          <w:sz w:val="16"/>
          <w:szCs w:val="16"/>
          <w:color w:val="auto"/>
        </w:rPr>
        <w:t>”.</w:t>
      </w:r>
    </w:p>
    <w:p>
      <w:pPr>
        <w:spacing w:after="0" w:line="17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If UKONIQ or any future products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UKONIQ or future products that we may bring to market.</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With respect to the FDA’s approval of UKONIQ for relapsed or refractory MZL and FL, we received accelerated approval and are subject to certain post-approval requirements. For example, we will need to conduct a confirmatory clinical trial, which will involve a Phase 3 trial that may be expensive and time-consuming and may not confirm the benefit making the MZL and FL indications for UKONIQ subject to withdrawal of continued approval by the FDA, which could significantly harm our business. In addition, we will need to conduct additional clinical studies to address post-marketing commitments and post-marketing requirements related to further assessing the drug-drug interaction profile of UKONIQ and its safety, efficacy, and pharmacokinetic properties in certain at-risk populations. These studies are highly specialized in their design and conduct and are associated with considerable expenses, and based on the outcome, could result in further labeling restrictions that could impair or restrict the way in which we are able to market UKONIQ, or negatively impact its overall clinical profile.</w:t>
      </w:r>
    </w:p>
    <w:p>
      <w:pPr>
        <w:spacing w:after="0" w:line="18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respect to UKONIQ, and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or GMPs, with Good Clinical Practices, or GCPs, for any clinical trials that we conduct post-approval, and with Good Laboratory Practices, or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UKONIQ, and any of product candidates for which we in the future obtain approval, may after approval be found to cause undesirable side effects that could result in significant negative consequences following commercialization.</w:t>
      </w:r>
    </w:p>
    <w:p>
      <w:pPr>
        <w:spacing w:after="0" w:line="12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As UKONIQ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UKONIQ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UKONIQ or our product candidates following introduction into the market, a number of potentially significant negative consequences could result, including:</w:t>
      </w:r>
    </w:p>
    <w:p>
      <w:pPr>
        <w:spacing w:after="0" w:line="166"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UKONIQ and our product candidates have not been established with precision. If the market opportunities for UKONIQ and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precise incidence and/or prevalence of relapsed or refractory MZL after one prior anti-CD20-based regimen, relapsed or refractory FL after three prior lines of systemic therapy, CLL, and relapsing forms of MS are unknown. Our projections of both the number of patients within our FDA-approved indications for UKONIQ and target indications for U2 in CLL and ublituximab in MS, as well as the subset of these patients who have the potential to benefit from treatment with our products, are based on estimates. These estimates are typically based on one on 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total addressable market opportunity for UKONIQ in MZL and FL, U2 in CLL, and ublituximab in 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increasingly difficult to identify or gain access to, or patients and physicians may choose to utilize competitive products, all of which would adversely affect our results of operations and our business.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received FDA approval of UKONIQ or for which we are developing our product candidates there are a number of established therapies with which we will compete:</w:t>
      </w:r>
    </w:p>
    <w:p>
      <w:pPr>
        <w:spacing w:after="0" w:line="170" w:lineRule="exact"/>
        <w:rPr>
          <w:sz w:val="20"/>
          <w:szCs w:val="20"/>
          <w:color w:val="auto"/>
        </w:rPr>
      </w:pPr>
    </w:p>
    <w:p>
      <w:pPr>
        <w:jc w:val="both"/>
        <w:ind w:left="1040" w:right="79" w:hanging="315"/>
        <w:spacing w:after="0" w:line="25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treatment of MZL, we expect UKONIQ to compete with ibrutinib (AbbVie and Janssen), and the combination of rituximab and lenalidomide (Bristol-Myers Squibb), as well as established treatments such as rituximab (Roche) and several generically available chemotherapies. In addition, there are investigational PI3K inhibitors being developed in MZL.</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treatment of FL, we expect UKONIQ to compete with recently approved drugs such as axicabtagene ciloleucel (Gilead), obinutuzumab (Roche), idelalisib (Gilead), copanlisib (Bayer), duvelisib (Verastem), tazemetostat (Epizyme), and the combination of rituximab and lenalidomide (Bristol-Myers Squibb), and established treatments such as rituximab (Roche), and several generically available chemotherapies, many of which have FDA-approved indications for earlier lines of therapy (e.g., after two prior lines of systemic therapy) than UKONIQ. There are also several PI3K delta inhibitors in earlier stages of development for FL.</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the regimen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2" w:lineRule="exact"/>
        <w:rPr>
          <w:rFonts w:ascii="Arial" w:cs="Arial" w:eastAsia="Arial" w:hAnsi="Arial"/>
          <w:sz w:val="18"/>
          <w:szCs w:val="18"/>
          <w:color w:val="auto"/>
        </w:rPr>
      </w:pPr>
    </w:p>
    <w:p>
      <w:pPr>
        <w:ind w:left="1040" w:right="79" w:hanging="315"/>
        <w:spacing w:after="0" w:line="323"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a number of pharmaceutical companies are developing antibodies and bispecific antibodies targeting CD20, CD19, CD47 and other B-cell associated targets, chimeric antigen receptor T-cell (CAR-T)</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immunotherapy, and other B-cell ablative therapy which, if approved, would potentially compete with U2 and UKONIQ.</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are two anti-CD20 monoclonal antibodies approved, ocrelizumab (Roche) and ofatumumab (Novartis).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2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UKONIQ, as well as any products that we are able to commercialize in the future, may become subject to unfavorable pricing regulations or third-party payor coverage and reimbursement policies, which would harm our business.</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In addition, if we are successful in obtaining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8"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If, in the future, we are unable to expand our commercial operation, including sales and marketing capabilities or enter into agreements with third parties to sell and market our drug candidates, we may not be successful in commercializing our product candidates if and when they are approved, and we may not be able to generate any revenue.</w:t>
      </w:r>
    </w:p>
    <w:p>
      <w:pPr>
        <w:spacing w:after="0" w:line="13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made and continue to make significant investments in our commercial organization and infrastructure. We have hired and continue to hire marketing, sales, and medical support personnel and have built processes and systems to support the commercialization of UKONIQ in the U.S. We are expanding our commercialization team and infrastructure in planning for the potential commercial launches of U2 in CLL and ublituximab in MS prior to knowing whether the FDA will accept or approve the necessary regulatory submissions. It is possible that the FDA approval is unexpectedly delayed or is not received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are risks involved with both establishing our own sales, marketing, and other commercialization capabilities. For example, recruiting and training a sales force are expensive and time-consuming and could delay any drug launch. If the commercial launch of a product candidate (e.g., U2 in CLL or ublituximab in MS)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UKONIQ and our product candidates on our own and generate product revenues include:</w:t>
      </w:r>
    </w:p>
    <w:p>
      <w:pPr>
        <w:spacing w:after="0" w:line="170"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with ongoing monitoring of their activities;</w:t>
      </w: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to effectively promote any future drugs;</w:t>
      </w:r>
    </w:p>
    <w:p>
      <w:pPr>
        <w:spacing w:after="0" w:line="20" w:lineRule="exact"/>
        <w:rPr>
          <w:rFonts w:ascii="Arial" w:cs="Arial" w:eastAsia="Arial" w:hAnsi="Arial"/>
          <w:sz w:val="17"/>
          <w:szCs w:val="17"/>
          <w:color w:val="auto"/>
        </w:rPr>
      </w:pP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 and</w:t>
      </w: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9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use of our product candidates through compassionate use programs in the event we establish such programs, and we will face an even greater risk as we commercially sell UKONIQ and any other product candidates that we may develop. If we cannot successfully defend ourselves against claims that UKONIQ or our product candidates caused injuries, we could incur substantial liabilities. Regardless of merit or eventual outcome, liability claims may result in:</w:t>
      </w:r>
    </w:p>
    <w:p>
      <w:pPr>
        <w:spacing w:after="0" w:line="161"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and preparing for commercialization of only marketed product UKONIQ, which received FDA approval in February 2021. We are transitioning from a company with a research and development focus to a company capable of supporting commercial activities. We may not be successful in such a transition.</w:t>
      </w:r>
    </w:p>
    <w:p>
      <w:pPr>
        <w:spacing w:after="0" w:line="19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Through May 5, 2021, we have received an aggregate of approximately $1.3 billion from such transactions. Approximately $30 million is from our term loan facility with Hercules (as defined below) that we secured in February of 2019. The remaining amount constitutes the aggregate gross proceeds from the sale of common stock in one or more offerings and through the use of our at the market sales program, or ATM.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incurred significant operating losses. As of March 31, 2021, we had an accumulated deficit of $1.1 billion. Substantially all of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Other than the FDA approval of UKONIQ, we have not obtained marketing approval for any of our product candidates, which are in preclinical or clinical development stages. We expect to continue to incur significant research and development expenses in connection with continuing our existing clinical trials and beginning additional clinical trials. In addition, we expect to continue to incur significant sales, marketing and outsourced-manufacturing expenses as we commercialize UKONIQ and plan for the possible commercialization of our other product candidates, if approved.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To date, we have not generated any significant revenue from our product sales, and it is uncertain when and if we will generate any significant revenue from the sale of our products in the future. Our ability to become profitable depends upon our ability to generate significant and sustained revenues. To obtain significant and sustained revenues, we must succeed, either alone or with others, in (i) developing and obtaining regulatory approval for our product candidates, including ublituximab, and for additional indications of UKONIQ; and (ii) manufacturing and marketing our products and product candidates. Accordingly, we do not expect to generate significant and sustained revenue unless and until we obtain marketing approval of ublituximab and additional indications of UKONIQ and/or one of our other product candidates. Our ability to generate significant and sustained revenue depends on a number of factors, including, but not limited to, our ability to:</w:t>
      </w:r>
    </w:p>
    <w:p>
      <w:pPr>
        <w:spacing w:after="0" w:line="1"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and maintain FDA approval of UKONIQ for relapsed or refractory MZL and FL;</w:t>
      </w: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commercial manufacturing capabilities with third parties that are satisfactory to the regulatory authorities, cost effective, and that are capable of providing commercial supply of our product candidates, or, in the case of UKONIQ, maintain these capabilities;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on our commercial infrastructure to commercialize ublituximab, our other product candidates, and additional indications of UKONIQ, if approved, by increasing the size of our sales force and/or entering into collaborations with third parties; and</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UKONIQ and our product candidates, if approved, in the medical community and with third-party payors.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ublituximab, cosibelimab, TG-1701 and TG-1801, and UKONIQ for additional indications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expand our infrastructure to commercialize our product candidates and additional indications of UKONIQ. Moreover, in anticipation of potential regulatory approvals for UKONIQ and ublituximab in chronic lymphocytic leukemia (CLL) and for ublituximab in relapsing multiple sclerosis (MS), we will need to expend substantial resources on manufacturing and biologics license application (BLA) support over the next 12 to 18 months, which could exceed any cost savings associated with lower clinical trial expenses during the same period.</w:t>
      </w:r>
    </w:p>
    <w:p>
      <w:pPr>
        <w:spacing w:after="0" w:line="18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expanding our sales or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the commercialization of UKONIQ and any product candidates, if approved;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UKONIQ, ublituximab (if approved), or any of our other product candidates and otherwise forego attractive business opportunities. Any additional sources of financing will likely involve the issuance of our equity securities, which would have a dilutive effect to stockholders. Currently, other than UKONIQ, our products are investigational and have not been approved by the FDA or any foreign regulatory authority for sale. Therefore, for the foreseeable future, we will have to fund all of our operations and capital expenditures from sales of UKONIQ in the U.S.,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commercialization efforts and the development of our product candidates. In the event we do not successfully raise subsequent financing, our commercialization and product development activities will necessarily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2019, we entered into a Loan and Security Agreement (the “Loan Agreement”), with Hercules Capital, Inc., a Maryland corporation (“Hercules”) (see Note 6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As of March 31, 2021, we had outstanding obligations of $30 million under the Loan Agreement. In addition, we have incurred short-term liabilities of approximately $11.4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7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6"/>
          <w:szCs w:val="16"/>
          <w:color w:val="auto"/>
        </w:rPr>
        <w:t>We have invested substantially all of our efforts and financial resources in the identification and pre-clinical and clinical development of UKONIQ and our product candidates, including ublituximab, cosibelimab, TG-1701 and TG-1801, and building a commercial infrastructure. Our ability to generate revenues from product sales will depend completely on the successful completion of our current and future Phase 3 and registration-directed clinical trials and commercialization of our product candidates and additional indications of UKONIQ, which may never occur. Each of our product candidates will require additional non-clinical or clinical development, regulatory approval in multiple jurisdictions, and we will need to obtain sufficient clinical and commercial supply. The success of our development programs and achievement of regulatory approval of our product candidates will depend on several factors, including the following:</w:t>
      </w:r>
    </w:p>
    <w:p>
      <w:pPr>
        <w:spacing w:after="0" w:line="178" w:lineRule="exact"/>
        <w:rPr>
          <w:sz w:val="20"/>
          <w:szCs w:val="20"/>
          <w:color w:val="auto"/>
        </w:rPr>
      </w:pPr>
    </w:p>
    <w:p>
      <w:pPr>
        <w:jc w:val="both"/>
        <w:ind w:left="1040" w:right="79" w:hanging="315"/>
        <w:spacing w:after="0" w:line="255"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INDs and clinical trial applications, or CTAs, being cleared/approved such that our product candidates can commence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 including U2 in CLL and ublituximab in RMS;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45"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9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reached, our ability to obtain approval for, or successfully commercialize, our product candidates may be harmed, which could harm our business, operating results, prospects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314"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Biologics License Application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product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32"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43"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jc w:val="both"/>
        <w:ind w:left="1040" w:right="79" w:hanging="315"/>
        <w:spacing w:after="0" w:line="246"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 including, without limitation, as a result of disruptions to our supply chains caused by the COVID-19 pandemic and related work stoppages across the globe;</w:t>
      </w:r>
    </w:p>
    <w:p>
      <w:pPr>
        <w:spacing w:after="0" w:line="1"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1040" w:right="79" w:hanging="315"/>
        <w:spacing w:after="0" w:line="226"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6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Further, the FDA or other regulatory authorities may disagree with or not accept our clinical trial design, may have questions about the potential impact of our study design on conclusions that can be drawn from the data, may interpret results differently than we do, and may change its view on the criteria that must be met for approval over time. This could happen even for a protocol that has received a SPA, as is the case for some of our studies. In September 2015, we announced a Phase 3 clinical trial for U2 for patients with CLL, which is being conducted pursuant to a SPA with the FDA (UNITY-CLL) and in August 2017 we announced SPAs for the ULTIMATE I and II studies evaluating ublituximab in RMS. Many companies that have been granted SPAs have ultimately failed to obtain final approval to market their drugs. Further, while changes or amendments to protocols are common during conduct of a clinical trial, protocol changes or amendments to a study that is being conducted under a SPA will have to be reviewed and approved by the FDA to verify that the SPA agreement is still valid. The FDA’s willingness to agree to changes or amendments to a protocol or statistical analysis plan under a SPA agreement is wholly within the FDA’s discretion. Such reviews also provide an opportunity for the FDA to scrutinize any aspect of the study design and conduct, even if previously agreed to under the existing SPA. Failure to reach agreement with the FDA for protocol changes or modifications for any study we conduct under a SPA could have a material negative impact to our ability to execute these studies. Even if the primary endpoint in a Phase 3 clinical trial is achieved, a SPA does not guarantee approval.</w:t>
      </w:r>
    </w:p>
    <w:p>
      <w:pPr>
        <w:spacing w:after="0" w:line="16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 than 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pacing w:after="0" w:line="18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of our ongoing and planned clinical studies involve combinations of two or more drugs. In drug combination clinical development, there is an inherent risk of drug-drug interactions between combination agents that may affect each component’s individual pharmacologic properties and the overall efficacy and safety of the combination regimen. Both ublituximab and UKONIQ are being evaluated in combination with each other, as well as with a variety of other active anti-cancer agents, which may cause unforeseen toxicities, or impact the severity, duration, and incidence of adverse events observed compared to those seen in the single-agent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7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Approval policies or regulations may change, and the FDA has substantial discretion in the pharmaceutical product approval process, including the ability to delay, limit or deny approval of a product candidate for many reasons. In addition, the FDA may require post-marketing studies, including drug interaction studies or additional clinical trials which also may be costly. For example, as part of the accelerated approval of UKONIQ for relapsed or refractory MZL and FL, continued approval for those indications is contingent upon verification and description of clinical benefit in a confirmatory trial. The FDA approval for a limited indication with required warning language, such as a boxed warning, could significantly impact our ability to successfully market our product candidates. Finally, the FDA may require adoption of a REMS requiring prescriber training or a post-marketing registry or may restrict the marketing and dissemination of these products. Despite the time and expense invested in the clinical development of product candidates, regulatory approval is never guaranteed. In addition, we intend to seek product approvals in countries outside of the United States. As a result, we would be subject to regulation by the EMA, as well as the other regulatory agencies in these countries.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Interruptions or delays in the operations of the FDA and foreign regulatory authorities as a result of the COVID-19 pandemic may negatively impact review, inspection, and approval timelines.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lengthy and challenging. The FDA, and any other regulatory body around the world, can delay, limit or deny approval of a product candidate for many reasons, including:</w:t>
      </w:r>
    </w:p>
    <w:p>
      <w:pPr>
        <w:spacing w:after="0" w:line="178" w:lineRule="exact"/>
        <w:rPr>
          <w:sz w:val="20"/>
          <w:szCs w:val="20"/>
          <w:color w:val="auto"/>
        </w:rPr>
      </w:pPr>
    </w:p>
    <w:p>
      <w:pPr>
        <w:ind w:left="1040" w:right="79" w:hanging="315"/>
        <w:spacing w:after="0" w:line="258"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study design or implementation of our clinical trials;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Regulatory approvals for our product candidates may not be obtained without lengthy delays, if at all. Any delay in obtaining, or inability to obtain, applicable regulatory approvals would prevent us from commercializing our product candidates.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seek Breakthrough Therapy or Fast Track designation for some of our drug candidates. For example, in January 2019, the FDA granted Breakthrough Therapy designation to UKONIQ for the treatment of adult patients with marginal zone lymphoma (MZL) who have received at least one prior anti-CD20 regimen, and in October 2020, the FDA granted Fast Track designation to the investigation of ublituximab in combination with UKONIQ for the treatment of adult patients with CLL. If a drug is intended for the treatment of a serious or life-threatening condition, and the drug demonstrates the potential to address an unmet medical need for this condition, the Sponsor may apply for Breakthrough Therapy or Fast Track designations.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 and therefore, despite receiving Fast Track designation for U2 for the treatment of adult patients with CLL, there can be no guarantee that the FDA will not assign a standard review timeline for our BLA filing for this indication. The FDA may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also withdraw a Breakthrough Therapy or Fast Track designation if it believes that the designation is no longer supported by data from our clinical development program.</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Ublituximab as monotherapy received orphan drug designation from the FDA for the treatment of MZL (nodal and extranodal) in September 2013, for the treatment of CLL in August 2010, and received orphan drug designation by the EMA for the treatment of CLL in November 2009. We also obtained orphan drug designation for umbralisib as monotherapy for the treatment of CLL in August 2016, all three types of MZL (nodal, extranodal and splenic) in April 2019, and FL in March 2020.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our orphan drug designations for any of our products.</w:t>
      </w:r>
    </w:p>
    <w:p>
      <w:pPr>
        <w:spacing w:after="0" w:line="17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182"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Generally,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UNITY-CLL trial and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the combination of UKONIQ and ublituximab based on the results of the UNITY-CLL study. In such circumstances, that would have a material adverse effect on the Company.</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engaged a secondary manufacturer for ublituximab to meet our current clinical and future commercial needs and anticipate engaging additional manufacturing sources for UKONIQ to meet expanded clinical trial and projected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UKONIQ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the FDA approval of UKONIQ and as we move closer to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affect further changes to the ACA would have on our business.</w:t>
      </w:r>
    </w:p>
    <w:p>
      <w:pPr>
        <w:spacing w:after="0" w:line="18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With the election of President Biden and changes in make-up of the Senate following the 2020 election, we face uncertainties with respect to executive and legislative actions relating to drug pricing. Proposals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that may garner bipartisan legislative support or become legislation through reconciliation include adding a cap on out-of-pocket spending under Medicare Part D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in 2021 and beyond.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6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With the FDA approval of UKONIQ in February 2021, we became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1" w:lineRule="exact"/>
        <w:rPr>
          <w:sz w:val="20"/>
          <w:szCs w:val="20"/>
          <w:color w:val="auto"/>
        </w:rPr>
      </w:pPr>
    </w:p>
    <w:p>
      <w:pPr>
        <w:jc w:val="both"/>
        <w:ind w:left="1040" w:right="79" w:hanging="315"/>
        <w:spacing w:after="0" w:line="25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71" w:lineRule="auto"/>
        <w:rPr>
          <w:sz w:val="20"/>
          <w:szCs w:val="20"/>
          <w:color w:val="auto"/>
        </w:rPr>
      </w:pPr>
      <w:r>
        <w:rPr>
          <w:rFonts w:ascii="Arial" w:cs="Arial" w:eastAsia="Arial" w:hAnsi="Arial"/>
          <w:sz w:val="17"/>
          <w:szCs w:val="17"/>
          <w:color w:val="auto"/>
        </w:rPr>
        <w:t>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jc w:val="both"/>
        <w:ind w:left="1040" w:right="79" w:hanging="315"/>
        <w:spacing w:after="0" w:line="250" w:lineRule="auto"/>
        <w:tabs>
          <w:tab w:leader="none" w:pos="10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81" w:lineRule="auto"/>
        <w:tabs>
          <w:tab w:leader="none" w:pos="1040" w:val="left"/>
        </w:tabs>
        <w:numPr>
          <w:ilvl w:val="2"/>
          <w:numId w:val="40"/>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spacing w:after="0" w:line="1" w:lineRule="exact"/>
        <w:rPr>
          <w:rFonts w:ascii="Arial" w:cs="Arial" w:eastAsia="Arial" w:hAnsi="Arial"/>
          <w:sz w:val="16"/>
          <w:szCs w:val="16"/>
          <w:color w:val="auto"/>
        </w:rPr>
      </w:pPr>
    </w:p>
    <w:p>
      <w:pPr>
        <w:jc w:val="both"/>
        <w:ind w:left="1020" w:right="79" w:hanging="313"/>
        <w:spacing w:after="0" w:line="255"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Arial" w:cs="Arial" w:eastAsia="Arial" w:hAnsi="Arial"/>
          <w:sz w:val="18"/>
          <w:szCs w:val="18"/>
          <w:color w:val="auto"/>
        </w:rPr>
      </w:pPr>
    </w:p>
    <w:p>
      <w:pPr>
        <w:jc w:val="both"/>
        <w:ind w:left="1020" w:right="79" w:hanging="326"/>
        <w:spacing w:after="0" w:line="250"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Arial" w:cs="Arial" w:eastAsia="Arial" w:hAnsi="Arial"/>
          <w:sz w:val="18"/>
          <w:szCs w:val="18"/>
          <w:color w:val="auto"/>
        </w:rPr>
      </w:pPr>
    </w:p>
    <w:p>
      <w:pPr>
        <w:jc w:val="both"/>
        <w:ind w:left="1020" w:right="79" w:hanging="326"/>
        <w:spacing w:after="0" w:line="255"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spacing w:after="0" w:line="1"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the U.S., to help patients who have no or inadequate insurance coverage of UKONIQ, we have a patient support program that we administer in conjunction with a patient support program vendor and other third parties. There has been heightened governmental scrutiny recently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AKS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5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or the CCPA, went into effect in January 2020 creating data privacy obligations for covered companies and providing privacy rights to California residents, including the right to opt out of certain disclosures of their information.</w:t>
      </w:r>
    </w:p>
    <w:p>
      <w:pPr>
        <w:spacing w:after="0" w:line="17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from the operation of our business, as well as damage our business or reputation. Moreover, achieving and sustaining compliance with applicable federal and state privacy, security, fraud and reporting laws may prove costly.</w:t>
      </w:r>
    </w:p>
    <w:p>
      <w:pPr>
        <w:spacing w:after="0" w:line="14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third-party manufacturers may use hazardous materials in the production of UKONIQ and our product candidates and if so, they must comply with environmental laws and regulations, which can be expensive and restrict how we or they do business.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Manufacturing activities for the production of UKONIQ and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patients.</w:t>
      </w:r>
    </w:p>
    <w:p>
      <w:pPr>
        <w:spacing w:after="0" w:line="18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5"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firstLine="45"/>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UKONIQ for commercial supply and of our product candidates for pre-clinical development and clinical trials,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including UKONIQ, and our product candidates for pre-clinical development and clinical testing. In some circumstances, our licensor has entered into arrangements with contract manufacturers to supply product for our clinical and commercial demand.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our NDAs or BLAs,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For certain of our product candidates, we do not have long-term supply agreements with contract manufacturers. For these product candidates, we purchase our required drug supply, including the drug product and drug substance on a purchase order basis. We may be unable to establish or maintain agreements with third-party manufacturers for these products or product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products or product candidates could result in significant delays or gaps in availability of such products or product candidates and may adversely affect our future profit margins and our ability to commercialize any drugs that receive marketing approval on a timely and competitive basis.</w:t>
      </w:r>
    </w:p>
    <w:p>
      <w:pPr>
        <w:spacing w:after="0" w:line="187"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UKONIQ and expect to continue to do so for any other product candidates that may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COVID-19 has not had a material adverse effect on our supply chain to date, no assurance can be given that it will not in the future if the situation persists or worsens. UKONIQ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India, for example, has recently experienced a surge of Covid-19 infections, and in early May 2021, reported surpassing 20 million cases. Our contract manufacturers for UKONIQ and ublituximab are continuing operations at varying levels of capacity. We have worked closely with our contract manufacturer for UKONIQ to plan for anticipated commercial supply needs. We also are working closely with our contract manufacturer for ublituximab to plan for our anticipated commercial supply needs if we are successful in our continued clinical and regulatory development. We will continue to monitor the situation very closely with our suppliers in impacted regions.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and drug product,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7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Because we have in-licensed UKONIQ and our product candidates from third parties, any dispute with or non-performance by our licensors will adversely affect our ability to develop and commercialize the applicable product or product candidate.</w:t>
      </w:r>
    </w:p>
    <w:p>
      <w:pPr>
        <w:spacing w:after="0" w:line="148" w:lineRule="exact"/>
        <w:rPr>
          <w:sz w:val="20"/>
          <w:szCs w:val="20"/>
          <w:color w:val="auto"/>
        </w:rPr>
      </w:pPr>
    </w:p>
    <w:p>
      <w:pPr>
        <w:jc w:val="both"/>
        <w:ind w:left="60" w:right="59" w:firstLine="648"/>
        <w:spacing w:after="0" w:line="228" w:lineRule="auto"/>
        <w:rPr>
          <w:sz w:val="20"/>
          <w:szCs w:val="20"/>
          <w:color w:val="auto"/>
        </w:rPr>
      </w:pPr>
      <w:r>
        <w:rPr>
          <w:rFonts w:ascii="Arial" w:cs="Arial" w:eastAsia="Arial" w:hAnsi="Arial"/>
          <w:sz w:val="18"/>
          <w:szCs w:val="18"/>
          <w:color w:val="auto"/>
        </w:rPr>
        <w:t>Because we license UKONIQ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9"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27" w:lineRule="auto"/>
        <w:rPr>
          <w:sz w:val="20"/>
          <w:szCs w:val="20"/>
          <w:color w:val="auto"/>
        </w:rPr>
      </w:pPr>
      <w:r>
        <w:rPr>
          <w:rFonts w:ascii="Arial" w:cs="Arial" w:eastAsia="Arial" w:hAnsi="Arial"/>
          <w:sz w:val="18"/>
          <w:szCs w:val="18"/>
          <w:color w:val="auto"/>
        </w:rPr>
        <w:t>In addition, the agreements under which we currently license UKONIQ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27" w:lineRule="auto"/>
        <w:rPr>
          <w:sz w:val="20"/>
          <w:szCs w:val="20"/>
          <w:color w:val="auto"/>
        </w:rPr>
      </w:pPr>
      <w:r>
        <w:rPr>
          <w:rFonts w:ascii="Arial" w:cs="Arial" w:eastAsia="Arial" w:hAnsi="Arial"/>
          <w:sz w:val="18"/>
          <w:szCs w:val="18"/>
          <w:color w:val="auto"/>
        </w:rPr>
        <w:t>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4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3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43" w:lineRule="exact"/>
        <w:rPr>
          <w:sz w:val="20"/>
          <w:szCs w:val="20"/>
          <w:color w:val="auto"/>
        </w:rPr>
      </w:pPr>
    </w:p>
    <w:p>
      <w:pPr>
        <w:jc w:val="both"/>
        <w:ind w:left="60" w:right="59" w:firstLine="486"/>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Any future collaborations that we enter into may not be successful. The success of our collaboration arrangements will depend heavily on the efforts and activities of our collaborators. Collaborators generally have significant discretion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any product we commercialize, including UKONIQ,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4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38"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Currently, the composition of matter patent for ublituximab and UKONIQ are granted in both the United States and EU, among other countries. A method of use patent covering the combination of ublituximab and UKONIQ has also been granted in the United States, European Union, Japan, and several other territories. Additionally, several method of use patents for ublituximab and UKONIQ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spacing w:after="0" w:line="1" w:lineRule="exact"/>
        <w:rPr>
          <w:rFonts w:ascii="Arial" w:cs="Arial" w:eastAsia="Arial" w:hAnsi="Arial"/>
          <w:sz w:val="18"/>
          <w:szCs w:val="18"/>
          <w:color w:val="auto"/>
        </w:rPr>
      </w:pPr>
    </w:p>
    <w:p>
      <w:pPr>
        <w:jc w:val="both"/>
        <w:ind w:left="1040" w:right="79" w:hanging="315"/>
        <w:spacing w:after="0" w:line="265"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patents are not issued that protect our products or product candidates, it could have a material adverse effect on our financial condition and results of operations.</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3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expect to continue hiring qualified development and commercialization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7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Expanding our business will increase our operating needs. As of May 3, 2021, we had 301 full -time employees, and we expect to continue to increase our number of employees and expand the scope of our operations. Our management and medical, commercial, and scientific personnel, systems and facilities currently in place may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advance the commercialization of UKONIQ and further develop and commercialize our product candidates and, accordingly, may not achieve our research, development and commercialization goals.</w:t>
      </w:r>
    </w:p>
    <w:p>
      <w:pPr>
        <w:spacing w:after="0" w:line="15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2020, we had federal net operating loss carryforwards of approximately $956.3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0"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Certain of our executive officers, directors and stockholders own more than 10%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2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Although the United Kingdom and the European Union reached a trade agreement in late 2020, the long-term impact of Brexit, including on our business and our industry, remains uncertain. Despite the Brexit developments, we do not expect macroeconomic conditions to have a significant impact on our liquidity needs, financial condition or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35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79" w:firstLine="648"/>
        <w:spacing w:after="0" w:line="307" w:lineRule="auto"/>
        <w:rPr>
          <w:sz w:val="20"/>
          <w:szCs w:val="20"/>
          <w:color w:val="auto"/>
        </w:rPr>
      </w:pPr>
      <w:r>
        <w:rPr>
          <w:rFonts w:ascii="Arial" w:cs="Arial" w:eastAsia="Arial" w:hAnsi="Arial"/>
          <w:sz w:val="16"/>
          <w:szCs w:val="16"/>
          <w:color w:val="auto"/>
        </w:rPr>
        <w:t>We may acquire additional businesses or drugs, form strategic alliances or create joint ventures with third parties that we believe will complement or augment our existing business. If we acquire businesses with promising markets or</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28" w:lineRule="auto"/>
        <w:rPr>
          <w:sz w:val="20"/>
          <w:szCs w:val="20"/>
          <w:color w:val="auto"/>
        </w:rPr>
      </w:pPr>
      <w:r>
        <w:rPr>
          <w:rFonts w:ascii="Arial" w:cs="Arial" w:eastAsia="Arial" w:hAnsi="Arial"/>
          <w:sz w:val="18"/>
          <w:szCs w:val="18"/>
          <w:color w:val="auto"/>
        </w:rPr>
        <w:t>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have implemented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virus, the duration, spread and severity of the COVID-19 pandemic, the rate of vaccination and efficacy of approved vaccines against the virus and any variant strains of the virus, other actions to contain the virus or treat its impact, and how quickly and to what extent normal economic and operating conditions can resume if and when the pandemic subsides, among others.</w:t>
      </w:r>
    </w:p>
    <w:p>
      <w:pPr>
        <w:spacing w:after="0" w:line="19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inspections of clinical sites or manufacturing facilities, or review of our regulatory submissions may be delayed, and our commercialization efforts may be impacted. For example, during the course of the pandemic the FDA has at points delayed both domestic and foreign facility inspections. The agency announced in July 2020 that domestic facility inspections would be conducted but prioritized through a risk-based approach, while foreign facility inspections remained delayed unless the FDA determines they can be conducted based on a “mission-critical” assessment. More recently, in April 2021, the FDA announced that it may request to conduct “remote interactive evaluations,” which in a variety of circumstances are inclusive of Pre-Approval Inspections (PAIs), where it is determined to be appropriate based on risk management methods and related tools and any travel limitations. We expect the impact of COVID-19 on the FDA’s operations will continue to evolve. It is unknown how long these disruptions could continue, were they to occur. Any delay in our clinical trials, PAIs or in regulatory review of our BLA submissions resulting from such disruptions could materially affect the development and commercialization of our product candidates.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commercialization of UKONIQ. If these third parties themselves are adversely impacted by restrictions resulting from the COVID-19 outbreak, we will likely experience delays and/or realize additional costs. As a result, our efforts to commercialize UKONIQ and obtain regulatory approvals for, and to commercialize, our product candidates may be delayed or disrupted.</w:t>
      </w:r>
    </w:p>
    <w:p>
      <w:pPr>
        <w:spacing w:after="0" w:line="16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as a result of government directives on social distancing and to protect the health of our workforce, we have asked our office-based employees to work remotely and have restricted domestic and international travel indefinitely. Third parties on which we rely may also increase their use of remote working arrangements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ability to successfully commercialize UKONIQ, and any of our product candidates for which we in the future obtain regulatory approval, also may be adversely impacted by restrictions and safety measures instituted due to COVID-</w:t>
      </w:r>
    </w:p>
    <w:p>
      <w:pPr>
        <w:jc w:val="both"/>
        <w:ind w:left="60" w:right="59" w:hanging="10"/>
        <w:spacing w:after="0" w:line="273" w:lineRule="auto"/>
        <w:tabs>
          <w:tab w:leader="none" w:pos="4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example, reduced access to healthcare providers and institutions as a result of social distancing protocols has impacted our commercialization activities, including, the manner in which our field teams engage with healthcare providers and facilities. Our compliance monitoring and oversight of interactions and communications with HCPs, payors, and other stakeholders may also be impacted by the remote work environment.</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We have made efforts to allow patients currently enrolled in our ongoing clinical trials to continue unimpeded and have continued to allow new patients to enroll in our trials. While we have allowed continued enrollment to our trials, many trial sites have limited enrollment or suspended enrollment entirely in response to the COVID-19 pandemic, which may affect our ability to enroll to our trials and meet our projected timelines.</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UNITY-NHL FL and MZL monotherapy cohorts, the UNITY-CLL and the ULTIMATE I and II trials are fully enrolled. However, follow-up is ongoing and data continue to be collected from these or related follow-up studies. These data collection efforts rely on study participants’ ability to contribute such data, often through study specific visits and procedures that can only be conducted in-person. While we anticipate minimal impact from COVID-19 on the previously estimated timelines for these trials, no guarantee can be made that our estimated timelines, or the ultimate outcome from these trials, will not be materially negatively impacted by the COVID-19 pandemic.</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1040" w:right="79" w:hanging="315"/>
        <w:spacing w:after="0" w:line="252"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5" w:lineRule="exact"/>
        <w:rPr>
          <w:rFonts w:ascii="Arial" w:cs="Arial" w:eastAsia="Arial" w:hAnsi="Arial"/>
          <w:sz w:val="18"/>
          <w:szCs w:val="18"/>
          <w:color w:val="auto"/>
        </w:rPr>
      </w:pPr>
    </w:p>
    <w:p>
      <w:pPr>
        <w:ind w:left="1040" w:right="79" w:hanging="315"/>
        <w:spacing w:after="0" w:line="191"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1040" w:right="79" w:hanging="315"/>
        <w:spacing w:after="0" w:line="217"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29"/>
          <w:szCs w:val="29"/>
          <w:color w:val="auto"/>
          <w:vertAlign w:val="superscript"/>
        </w:rPr>
      </w:pPr>
    </w:p>
    <w:p>
      <w:pPr>
        <w:jc w:val="both"/>
        <w:ind w:left="1040" w:right="79" w:hanging="315"/>
        <w:spacing w:after="0" w:line="250"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1040" w:right="79" w:hanging="315"/>
        <w:spacing w:after="0" w:line="208"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1040" w:right="79" w:hanging="315"/>
        <w:spacing w:after="0" w:line="191"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1040" w:right="79" w:hanging="315"/>
        <w:spacing w:after="0" w:line="250"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disruptions in or delays to regulatory reviews, responses, inspections, or other regulatory activities, including review of marketing applications and approvals of protocol changes or amendments to Special Protocol Assessments (SPA), as a result of the spread of COVID-19 affecting the operations of the FDA or other regulatory authorities;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refusal of the FDA to accept data from clinical trials in affected geographies outside the United States; and</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UKONIQ for patients with chronic lymphocytic leukemia (UNITY-CLL) and our registration program for ublituximab in relapsing multiple sclerosis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1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7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619" w:hanging="58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82">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Section 302 of the Sarbanes-Oxley Act of 2002, dated May 10, 2021.</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83">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Section 302 of the Sarbanes-Oxley Act of 2002, dated May 10, 2021.</w:t>
        </w:r>
      </w:hyperlink>
    </w:p>
    <w:p>
      <w:pPr>
        <w:spacing w:after="0" w:line="1"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32.1** </w:t>
      </w:r>
      <w:hyperlink w:anchor="page84">
        <w:r>
          <w:rPr>
            <w:rFonts w:ascii="Arial" w:cs="Arial" w:eastAsia="Arial" w:hAnsi="Arial"/>
            <w:sz w:val="16"/>
            <w:szCs w:val="16"/>
            <w:u w:val="single" w:color="auto"/>
            <w:color w:val="0000EE"/>
          </w:rPr>
          <w:t>Certification of Chief Executive Officer pursuant to 18 U.S.C. 1350, as adopted pursuant to Section</w:t>
        </w:r>
      </w:hyperlink>
    </w:p>
    <w:p>
      <w:pPr>
        <w:spacing w:after="0" w:line="32" w:lineRule="exact"/>
        <w:rPr>
          <w:sz w:val="20"/>
          <w:szCs w:val="20"/>
          <w:color w:val="auto"/>
        </w:rPr>
      </w:pPr>
    </w:p>
    <w:p>
      <w:pPr>
        <w:ind w:left="10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906 of the Sarbanes-Oxley Act of 2002, dated May 10, 2021.</w:t>
        </w:r>
      </w:hyperlink>
    </w:p>
    <w:p>
      <w:pPr>
        <w:spacing w:after="0" w:line="9"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32.2** </w:t>
      </w:r>
      <w:hyperlink w:anchor="page85">
        <w:r>
          <w:rPr>
            <w:rFonts w:ascii="Arial" w:cs="Arial" w:eastAsia="Arial" w:hAnsi="Arial"/>
            <w:sz w:val="17"/>
            <w:szCs w:val="17"/>
            <w:u w:val="single" w:color="auto"/>
            <w:color w:val="0000EE"/>
          </w:rPr>
          <w:t>Certification of Chief Financial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906 of the Sarbanes-Oxley Act of 2002, dated May 10, 2021.</w:t>
        </w:r>
      </w:hyperlink>
    </w:p>
    <w:p>
      <w:pPr>
        <w:spacing w:after="0" w:line="9" w:lineRule="exact"/>
        <w:rPr>
          <w:sz w:val="20"/>
          <w:szCs w:val="20"/>
          <w:color w:val="auto"/>
        </w:rPr>
      </w:pPr>
    </w:p>
    <w:p>
      <w:pPr>
        <w:ind w:left="1080" w:right="619" w:hanging="579"/>
        <w:spacing w:after="0" w:line="281"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period ended March 31, 2021, formatted in Inline Extensible Business Reporting Language (iXBRL):</w:t>
      </w:r>
    </w:p>
    <w:p>
      <w:pPr>
        <w:spacing w:after="0" w:line="1" w:lineRule="exact"/>
        <w:rPr>
          <w:sz w:val="20"/>
          <w:szCs w:val="20"/>
          <w:color w:val="auto"/>
        </w:rPr>
      </w:pPr>
    </w:p>
    <w:p>
      <w:pPr>
        <w:ind w:left="1080" w:right="639" w:firstLine="2"/>
        <w:spacing w:after="0" w:line="250"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TG THERAPEUTICS,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2021</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Sean A. Power</w:t>
            </w:r>
          </w:p>
        </w:tc>
      </w:tr>
      <w:tr>
        <w:trPr>
          <w:trHeight w:val="195"/>
        </w:trPr>
        <w:tc>
          <w:tcPr>
            <w:tcW w:w="2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2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2" w:name="page83"/>
    <w:bookmarkEnd w:id="8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3" w:name="page84"/>
    <w:bookmarkEnd w:id="83"/>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479"/>
        <w:spacing w:after="0" w:line="279" w:lineRule="auto"/>
        <w:rPr>
          <w:sz w:val="20"/>
          <w:szCs w:val="20"/>
          <w:color w:val="auto"/>
        </w:rPr>
      </w:pPr>
      <w:r>
        <w:rPr>
          <w:rFonts w:ascii="Arial" w:cs="Arial" w:eastAsia="Arial" w:hAnsi="Arial"/>
          <w:sz w:val="17"/>
          <w:szCs w:val="17"/>
          <w:color w:val="auto"/>
        </w:rPr>
        <w:t>In connection with the quarterly report of TG Therapeutics, Inc. (the “Company”) on Form 10-Q for the period ended March 31, 2021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71" w:lineRule="exact"/>
        <w:rPr>
          <w:sz w:val="20"/>
          <w:szCs w:val="20"/>
          <w:color w:val="auto"/>
        </w:rPr>
      </w:pPr>
    </w:p>
    <w:p>
      <w:pPr>
        <w:ind w:left="700" w:right="519" w:hanging="326"/>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4" w:name="page85"/>
    <w:bookmarkEnd w:id="84"/>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2021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9"/>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lowerRoman"/>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2021-05-10T16:54:56Z</dcterms:created>
  <dcterms:modified xsi:type="dcterms:W3CDTF">2021-05-10T16:54:56Z</dcterms:modified>
</cp:coreProperties>
</file>